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15D78" w14:textId="2FDBC852" w:rsidR="006111A6" w:rsidRPr="006111A6" w:rsidRDefault="006111A6" w:rsidP="006111A6">
      <w:pPr>
        <w:spacing w:after="0" w:line="240" w:lineRule="auto"/>
        <w:jc w:val="center"/>
        <w:rPr>
          <w:rFonts w:ascii="Times New Roman" w:hAnsi="Times New Roman" w:cs="Times New Roman"/>
          <w:b/>
          <w:bCs/>
          <w:sz w:val="24"/>
          <w:szCs w:val="24"/>
        </w:rPr>
      </w:pPr>
      <w:r w:rsidRPr="006111A6">
        <w:rPr>
          <w:rFonts w:ascii="Times New Roman" w:hAnsi="Times New Roman" w:cs="Times New Roman"/>
          <w:b/>
          <w:bCs/>
          <w:sz w:val="24"/>
          <w:szCs w:val="24"/>
        </w:rPr>
        <w:t xml:space="preserve">PROTOKÓŁ ROZBIEŻNOŚCI </w:t>
      </w:r>
    </w:p>
    <w:p w14:paraId="38D3DDA6" w14:textId="77777777" w:rsidR="006111A6" w:rsidRPr="006111A6" w:rsidRDefault="006111A6" w:rsidP="006111A6">
      <w:pPr>
        <w:spacing w:after="0" w:line="240" w:lineRule="auto"/>
        <w:jc w:val="center"/>
        <w:rPr>
          <w:rFonts w:ascii="Times New Roman" w:hAnsi="Times New Roman" w:cs="Times New Roman"/>
          <w:b/>
          <w:bCs/>
          <w:sz w:val="24"/>
          <w:szCs w:val="24"/>
        </w:rPr>
      </w:pPr>
      <w:r w:rsidRPr="006111A6">
        <w:rPr>
          <w:rFonts w:ascii="Times New Roman" w:hAnsi="Times New Roman" w:cs="Times New Roman"/>
          <w:b/>
          <w:bCs/>
          <w:sz w:val="24"/>
          <w:szCs w:val="24"/>
        </w:rPr>
        <w:t xml:space="preserve">do </w:t>
      </w:r>
      <w:r w:rsidRPr="00FF6E66">
        <w:rPr>
          <w:rFonts w:ascii="Times New Roman" w:hAnsi="Times New Roman" w:cs="Times New Roman"/>
          <w:b/>
          <w:bCs/>
          <w:i/>
          <w:iCs/>
          <w:sz w:val="24"/>
          <w:szCs w:val="24"/>
        </w:rPr>
        <w:t>projektu ustawy o zmianie ustawy – Prawo energetyczne oraz niektórych innych ustaw (UC74)</w:t>
      </w:r>
    </w:p>
    <w:p w14:paraId="7C8E37FD" w14:textId="77777777" w:rsidR="006111A6" w:rsidRPr="006111A6" w:rsidRDefault="006111A6" w:rsidP="006111A6">
      <w:pPr>
        <w:jc w:val="center"/>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570"/>
        <w:gridCol w:w="2119"/>
        <w:gridCol w:w="1984"/>
        <w:gridCol w:w="5954"/>
        <w:gridCol w:w="3367"/>
      </w:tblGrid>
      <w:tr w:rsidR="006111A6" w:rsidRPr="00906393" w14:paraId="4AC6BE52" w14:textId="77777777" w:rsidTr="00D14EA2">
        <w:tc>
          <w:tcPr>
            <w:tcW w:w="570" w:type="dxa"/>
            <w:vAlign w:val="center"/>
          </w:tcPr>
          <w:p w14:paraId="7706ED34" w14:textId="77777777" w:rsidR="006111A6" w:rsidRPr="00906393" w:rsidRDefault="006111A6" w:rsidP="00F93C40">
            <w:pPr>
              <w:jc w:val="center"/>
              <w:rPr>
                <w:rFonts w:ascii="Times New Roman" w:hAnsi="Times New Roman" w:cs="Times New Roman"/>
                <w:b/>
                <w:sz w:val="20"/>
                <w:szCs w:val="20"/>
              </w:rPr>
            </w:pPr>
            <w:r w:rsidRPr="00906393">
              <w:rPr>
                <w:rFonts w:ascii="Times New Roman" w:hAnsi="Times New Roman" w:cs="Times New Roman"/>
                <w:b/>
                <w:sz w:val="20"/>
                <w:szCs w:val="20"/>
              </w:rPr>
              <w:t>Lp.</w:t>
            </w:r>
          </w:p>
        </w:tc>
        <w:tc>
          <w:tcPr>
            <w:tcW w:w="2119" w:type="dxa"/>
            <w:vAlign w:val="center"/>
          </w:tcPr>
          <w:p w14:paraId="5FC6CD50" w14:textId="77777777" w:rsidR="006111A6" w:rsidRPr="00906393" w:rsidRDefault="006111A6" w:rsidP="00837FDF">
            <w:pPr>
              <w:jc w:val="center"/>
              <w:rPr>
                <w:rFonts w:ascii="Times New Roman" w:hAnsi="Times New Roman" w:cs="Times New Roman"/>
                <w:b/>
                <w:sz w:val="20"/>
                <w:szCs w:val="20"/>
              </w:rPr>
            </w:pPr>
            <w:r w:rsidRPr="00906393">
              <w:rPr>
                <w:rFonts w:ascii="Times New Roman" w:hAnsi="Times New Roman" w:cs="Times New Roman"/>
                <w:b/>
                <w:sz w:val="20"/>
                <w:szCs w:val="20"/>
              </w:rPr>
              <w:t>Podmiot zgłaszający uwagę</w:t>
            </w:r>
          </w:p>
        </w:tc>
        <w:tc>
          <w:tcPr>
            <w:tcW w:w="1984" w:type="dxa"/>
            <w:vAlign w:val="center"/>
          </w:tcPr>
          <w:p w14:paraId="68BF65C7" w14:textId="77777777" w:rsidR="006111A6" w:rsidRPr="00906393" w:rsidRDefault="006111A6" w:rsidP="00837FDF">
            <w:pPr>
              <w:jc w:val="center"/>
              <w:rPr>
                <w:rFonts w:ascii="Times New Roman" w:hAnsi="Times New Roman" w:cs="Times New Roman"/>
                <w:b/>
                <w:sz w:val="20"/>
                <w:szCs w:val="20"/>
              </w:rPr>
            </w:pPr>
            <w:r w:rsidRPr="00906393">
              <w:rPr>
                <w:rFonts w:ascii="Times New Roman" w:hAnsi="Times New Roman" w:cs="Times New Roman"/>
                <w:b/>
                <w:sz w:val="20"/>
                <w:szCs w:val="20"/>
              </w:rPr>
              <w:t>Jednostka redakcyjna projektu</w:t>
            </w:r>
          </w:p>
        </w:tc>
        <w:tc>
          <w:tcPr>
            <w:tcW w:w="5954" w:type="dxa"/>
            <w:vAlign w:val="center"/>
          </w:tcPr>
          <w:p w14:paraId="11B07CD4" w14:textId="77777777" w:rsidR="006111A6" w:rsidRPr="00906393" w:rsidRDefault="006111A6" w:rsidP="00837FDF">
            <w:pPr>
              <w:jc w:val="center"/>
              <w:rPr>
                <w:rFonts w:ascii="Times New Roman" w:hAnsi="Times New Roman" w:cs="Times New Roman"/>
                <w:b/>
                <w:sz w:val="20"/>
                <w:szCs w:val="20"/>
              </w:rPr>
            </w:pPr>
            <w:r w:rsidRPr="00906393">
              <w:rPr>
                <w:rFonts w:ascii="Times New Roman" w:hAnsi="Times New Roman" w:cs="Times New Roman"/>
                <w:b/>
                <w:sz w:val="20"/>
                <w:szCs w:val="20"/>
              </w:rPr>
              <w:t>Treść uwagi</w:t>
            </w:r>
          </w:p>
        </w:tc>
        <w:tc>
          <w:tcPr>
            <w:tcW w:w="3367" w:type="dxa"/>
            <w:vAlign w:val="center"/>
          </w:tcPr>
          <w:p w14:paraId="3AB19C52" w14:textId="77777777" w:rsidR="006111A6" w:rsidRPr="00906393" w:rsidRDefault="006111A6" w:rsidP="00837FDF">
            <w:pPr>
              <w:jc w:val="center"/>
              <w:rPr>
                <w:rFonts w:ascii="Times New Roman" w:hAnsi="Times New Roman" w:cs="Times New Roman"/>
                <w:b/>
                <w:sz w:val="20"/>
                <w:szCs w:val="20"/>
              </w:rPr>
            </w:pPr>
            <w:r w:rsidRPr="00906393">
              <w:rPr>
                <w:rFonts w:ascii="Times New Roman" w:hAnsi="Times New Roman" w:cs="Times New Roman"/>
                <w:b/>
                <w:sz w:val="20"/>
                <w:szCs w:val="20"/>
              </w:rPr>
              <w:t xml:space="preserve">Odniesienie </w:t>
            </w:r>
            <w:proofErr w:type="spellStart"/>
            <w:r w:rsidRPr="00906393">
              <w:rPr>
                <w:rFonts w:ascii="Times New Roman" w:hAnsi="Times New Roman" w:cs="Times New Roman"/>
                <w:b/>
                <w:sz w:val="20"/>
                <w:szCs w:val="20"/>
              </w:rPr>
              <w:t>MKiŚ</w:t>
            </w:r>
            <w:proofErr w:type="spellEnd"/>
          </w:p>
        </w:tc>
      </w:tr>
      <w:tr w:rsidR="004D5ECF" w:rsidRPr="00F67491" w14:paraId="6CD6C5E3" w14:textId="77777777" w:rsidTr="00837FDF">
        <w:tc>
          <w:tcPr>
            <w:tcW w:w="570" w:type="dxa"/>
          </w:tcPr>
          <w:p w14:paraId="27D11E4D" w14:textId="7827BC16" w:rsidR="004D5ECF" w:rsidRPr="00F67491" w:rsidRDefault="00F93C40" w:rsidP="00F93C40">
            <w:pPr>
              <w:jc w:val="center"/>
              <w:rPr>
                <w:rFonts w:ascii="Times New Roman" w:hAnsi="Times New Roman" w:cs="Times New Roman"/>
                <w:bCs/>
                <w:sz w:val="20"/>
                <w:szCs w:val="20"/>
              </w:rPr>
            </w:pPr>
            <w:r>
              <w:rPr>
                <w:rFonts w:ascii="Times New Roman" w:hAnsi="Times New Roman" w:cs="Times New Roman"/>
                <w:bCs/>
                <w:sz w:val="20"/>
                <w:szCs w:val="20"/>
              </w:rPr>
              <w:t>1</w:t>
            </w:r>
          </w:p>
        </w:tc>
        <w:tc>
          <w:tcPr>
            <w:tcW w:w="2119" w:type="dxa"/>
          </w:tcPr>
          <w:p w14:paraId="1C8428FF" w14:textId="3CAD53E7" w:rsidR="004D5ECF" w:rsidRPr="00F67491" w:rsidRDefault="004D5ECF" w:rsidP="00837FDF">
            <w:pPr>
              <w:jc w:val="center"/>
              <w:rPr>
                <w:rFonts w:ascii="Times New Roman" w:hAnsi="Times New Roman" w:cs="Times New Roman"/>
                <w:bCs/>
                <w:sz w:val="20"/>
                <w:szCs w:val="20"/>
              </w:rPr>
            </w:pPr>
            <w:r w:rsidRPr="004D5ECF">
              <w:rPr>
                <w:rFonts w:ascii="Times New Roman" w:hAnsi="Times New Roman" w:cs="Times New Roman"/>
                <w:bCs/>
                <w:sz w:val="20"/>
                <w:szCs w:val="20"/>
              </w:rPr>
              <w:t>Minister Rozwoju i Technologii</w:t>
            </w:r>
          </w:p>
        </w:tc>
        <w:tc>
          <w:tcPr>
            <w:tcW w:w="1984" w:type="dxa"/>
          </w:tcPr>
          <w:p w14:paraId="15257AE2" w14:textId="64CE2F15" w:rsidR="004D5ECF" w:rsidRDefault="004D5ECF" w:rsidP="00837FDF">
            <w:pPr>
              <w:jc w:val="center"/>
              <w:rPr>
                <w:rFonts w:ascii="Times New Roman" w:hAnsi="Times New Roman" w:cs="Times New Roman"/>
                <w:bCs/>
                <w:sz w:val="20"/>
                <w:szCs w:val="20"/>
              </w:rPr>
            </w:pPr>
            <w:r w:rsidRPr="004D5ECF">
              <w:rPr>
                <w:rFonts w:ascii="Times New Roman" w:hAnsi="Times New Roman" w:cs="Times New Roman"/>
                <w:bCs/>
                <w:sz w:val="20"/>
                <w:szCs w:val="20"/>
              </w:rPr>
              <w:t>Uwaga ogólna w zakresie</w:t>
            </w:r>
            <w:r>
              <w:rPr>
                <w:rFonts w:ascii="Times New Roman" w:hAnsi="Times New Roman" w:cs="Times New Roman"/>
                <w:bCs/>
                <w:sz w:val="20"/>
                <w:szCs w:val="20"/>
              </w:rPr>
              <w:t xml:space="preserve"> przepisów dotyczących</w:t>
            </w:r>
            <w:r w:rsidRPr="004D5ECF">
              <w:rPr>
                <w:rFonts w:ascii="Times New Roman" w:hAnsi="Times New Roman" w:cs="Times New Roman"/>
                <w:bCs/>
                <w:sz w:val="20"/>
                <w:szCs w:val="20"/>
              </w:rPr>
              <w:t xml:space="preserve"> linii bezpośrednich</w:t>
            </w:r>
          </w:p>
        </w:tc>
        <w:tc>
          <w:tcPr>
            <w:tcW w:w="5954" w:type="dxa"/>
          </w:tcPr>
          <w:p w14:paraId="05582864" w14:textId="4C79FCBA" w:rsidR="004D5ECF" w:rsidRPr="004D5ECF" w:rsidRDefault="004D5ECF" w:rsidP="004D5ECF">
            <w:pPr>
              <w:jc w:val="both"/>
              <w:rPr>
                <w:rFonts w:ascii="Times New Roman" w:hAnsi="Times New Roman" w:cs="Times New Roman"/>
                <w:bCs/>
                <w:sz w:val="20"/>
                <w:szCs w:val="20"/>
              </w:rPr>
            </w:pPr>
            <w:r w:rsidRPr="004D5ECF">
              <w:rPr>
                <w:rFonts w:ascii="Times New Roman" w:hAnsi="Times New Roman" w:cs="Times New Roman"/>
                <w:bCs/>
                <w:sz w:val="20"/>
                <w:szCs w:val="20"/>
              </w:rPr>
              <w:t>W nawiązaniu do wyłączenia z przedmiotowego projektu przepisów postanowień dotyczących linii</w:t>
            </w:r>
            <w:r>
              <w:rPr>
                <w:rFonts w:ascii="Times New Roman" w:hAnsi="Times New Roman" w:cs="Times New Roman"/>
                <w:bCs/>
                <w:sz w:val="20"/>
                <w:szCs w:val="20"/>
              </w:rPr>
              <w:t xml:space="preserve"> </w:t>
            </w:r>
            <w:r w:rsidRPr="004D5ECF">
              <w:rPr>
                <w:rFonts w:ascii="Times New Roman" w:hAnsi="Times New Roman" w:cs="Times New Roman"/>
                <w:bCs/>
                <w:sz w:val="20"/>
                <w:szCs w:val="20"/>
              </w:rPr>
              <w:t xml:space="preserve">bezpośredniej, </w:t>
            </w:r>
            <w:proofErr w:type="spellStart"/>
            <w:r w:rsidRPr="004D5ECF">
              <w:rPr>
                <w:rFonts w:ascii="Times New Roman" w:hAnsi="Times New Roman" w:cs="Times New Roman"/>
                <w:bCs/>
                <w:sz w:val="20"/>
                <w:szCs w:val="20"/>
              </w:rPr>
              <w:t>MRiT</w:t>
            </w:r>
            <w:proofErr w:type="spellEnd"/>
            <w:r w:rsidRPr="004D5ECF">
              <w:rPr>
                <w:rFonts w:ascii="Times New Roman" w:hAnsi="Times New Roman" w:cs="Times New Roman"/>
                <w:bCs/>
                <w:sz w:val="20"/>
                <w:szCs w:val="20"/>
              </w:rPr>
              <w:t xml:space="preserve"> podtrzymuje potrzebę wprowadzenia docelowych rozwiązań</w:t>
            </w:r>
            <w:r>
              <w:rPr>
                <w:rFonts w:ascii="Times New Roman" w:hAnsi="Times New Roman" w:cs="Times New Roman"/>
                <w:bCs/>
                <w:sz w:val="20"/>
                <w:szCs w:val="20"/>
              </w:rPr>
              <w:t xml:space="preserve"> </w:t>
            </w:r>
            <w:r w:rsidRPr="004D5ECF">
              <w:rPr>
                <w:rFonts w:ascii="Times New Roman" w:hAnsi="Times New Roman" w:cs="Times New Roman"/>
                <w:bCs/>
                <w:sz w:val="20"/>
                <w:szCs w:val="20"/>
              </w:rPr>
              <w:t>uwzgledniających uwagi zgłoszone na wcześniejszym etapie konsultacji. Nieprowadzenie</w:t>
            </w:r>
          </w:p>
          <w:p w14:paraId="59E7E513" w14:textId="18BAB187" w:rsidR="004D5ECF" w:rsidRPr="00F67491" w:rsidRDefault="004D5ECF" w:rsidP="004D5ECF">
            <w:pPr>
              <w:jc w:val="both"/>
              <w:rPr>
                <w:rFonts w:ascii="Times New Roman" w:hAnsi="Times New Roman" w:cs="Times New Roman"/>
                <w:bCs/>
                <w:sz w:val="20"/>
                <w:szCs w:val="20"/>
              </w:rPr>
            </w:pPr>
            <w:r w:rsidRPr="004D5ECF">
              <w:rPr>
                <w:rFonts w:ascii="Times New Roman" w:hAnsi="Times New Roman" w:cs="Times New Roman"/>
                <w:bCs/>
                <w:sz w:val="20"/>
                <w:szCs w:val="20"/>
              </w:rPr>
              <w:t>rozwiązań ułatwiających wykorzystanie linii bezpośredniej przez poszczególne sektory gospodarki,</w:t>
            </w:r>
            <w:r>
              <w:rPr>
                <w:rFonts w:ascii="Times New Roman" w:hAnsi="Times New Roman" w:cs="Times New Roman"/>
                <w:bCs/>
                <w:sz w:val="20"/>
                <w:szCs w:val="20"/>
              </w:rPr>
              <w:t xml:space="preserve"> </w:t>
            </w:r>
            <w:r w:rsidRPr="004D5ECF">
              <w:rPr>
                <w:rFonts w:ascii="Times New Roman" w:hAnsi="Times New Roman" w:cs="Times New Roman"/>
                <w:bCs/>
                <w:sz w:val="20"/>
                <w:szCs w:val="20"/>
              </w:rPr>
              <w:t>zwłaszcza przemysł energochłonny, może w istotny sposób być niekorzystne dla obniżenia kosztów</w:t>
            </w:r>
            <w:r>
              <w:rPr>
                <w:rFonts w:ascii="Times New Roman" w:hAnsi="Times New Roman" w:cs="Times New Roman"/>
                <w:bCs/>
                <w:sz w:val="20"/>
                <w:szCs w:val="20"/>
              </w:rPr>
              <w:t xml:space="preserve"> </w:t>
            </w:r>
            <w:r w:rsidRPr="004D5ECF">
              <w:rPr>
                <w:rFonts w:ascii="Times New Roman" w:hAnsi="Times New Roman" w:cs="Times New Roman"/>
                <w:bCs/>
                <w:sz w:val="20"/>
                <w:szCs w:val="20"/>
              </w:rPr>
              <w:t>produkcji dla ww. segmentu rynku, a nawet decydować o rentowności przedsiębiorstw krajowych.</w:t>
            </w:r>
          </w:p>
        </w:tc>
        <w:tc>
          <w:tcPr>
            <w:tcW w:w="3367" w:type="dxa"/>
          </w:tcPr>
          <w:p w14:paraId="304BF3DA" w14:textId="1164145C" w:rsidR="004D5ECF" w:rsidRPr="004D5ECF" w:rsidRDefault="004D5ECF" w:rsidP="004D5ECF">
            <w:pPr>
              <w:jc w:val="both"/>
              <w:rPr>
                <w:rFonts w:ascii="Times New Roman" w:hAnsi="Times New Roman" w:cs="Times New Roman"/>
                <w:bCs/>
                <w:sz w:val="20"/>
                <w:szCs w:val="20"/>
              </w:rPr>
            </w:pPr>
            <w:r w:rsidRPr="004D5ECF">
              <w:rPr>
                <w:rFonts w:ascii="Times New Roman" w:hAnsi="Times New Roman" w:cs="Times New Roman"/>
                <w:bCs/>
                <w:sz w:val="20"/>
                <w:szCs w:val="20"/>
              </w:rPr>
              <w:t>Ministerstwo Klimatu i Środowiska zapewnia, iż trwają zintensyfikowane prace o charakterze legislacyjnym, których celem jest wypracowanie nowych przepisów w zakresie linii bezpośrednich, które będą uwzględniały część postulatów rynku przy jednoczesnym zapewnieniu gwarancji stałych i niezawodnych dostaw energii elektrycznej oraz równoprawnego traktowania odbiorców.</w:t>
            </w:r>
          </w:p>
        </w:tc>
      </w:tr>
      <w:tr w:rsidR="005C3DA1" w:rsidRPr="00F67491" w14:paraId="6FF750E5" w14:textId="77777777" w:rsidTr="00837FDF">
        <w:tc>
          <w:tcPr>
            <w:tcW w:w="570" w:type="dxa"/>
          </w:tcPr>
          <w:p w14:paraId="3064509C" w14:textId="27677E1F" w:rsidR="005C3DA1" w:rsidRPr="00F67491" w:rsidRDefault="00F93C40" w:rsidP="00F93C40">
            <w:pPr>
              <w:jc w:val="center"/>
              <w:rPr>
                <w:rFonts w:ascii="Times New Roman" w:hAnsi="Times New Roman" w:cs="Times New Roman"/>
                <w:bCs/>
                <w:sz w:val="20"/>
                <w:szCs w:val="20"/>
              </w:rPr>
            </w:pPr>
            <w:r>
              <w:rPr>
                <w:rFonts w:ascii="Times New Roman" w:hAnsi="Times New Roman" w:cs="Times New Roman"/>
                <w:bCs/>
                <w:sz w:val="20"/>
                <w:szCs w:val="20"/>
              </w:rPr>
              <w:t>2</w:t>
            </w:r>
          </w:p>
        </w:tc>
        <w:tc>
          <w:tcPr>
            <w:tcW w:w="2119" w:type="dxa"/>
          </w:tcPr>
          <w:p w14:paraId="13754006" w14:textId="77777777" w:rsidR="005C3DA1" w:rsidRPr="00F67491" w:rsidRDefault="005C3DA1" w:rsidP="00837FDF">
            <w:pPr>
              <w:jc w:val="center"/>
              <w:rPr>
                <w:rFonts w:ascii="Times New Roman" w:hAnsi="Times New Roman" w:cs="Times New Roman"/>
                <w:bCs/>
                <w:sz w:val="20"/>
                <w:szCs w:val="20"/>
              </w:rPr>
            </w:pPr>
            <w:r w:rsidRPr="00F67491">
              <w:rPr>
                <w:rFonts w:ascii="Times New Roman" w:hAnsi="Times New Roman" w:cs="Times New Roman"/>
                <w:bCs/>
                <w:sz w:val="20"/>
                <w:szCs w:val="20"/>
              </w:rPr>
              <w:t>Minister Rozwoju i Technologii</w:t>
            </w:r>
          </w:p>
        </w:tc>
        <w:tc>
          <w:tcPr>
            <w:tcW w:w="1984" w:type="dxa"/>
          </w:tcPr>
          <w:p w14:paraId="1425E75F" w14:textId="77777777" w:rsidR="005C3DA1" w:rsidRDefault="005C3DA1" w:rsidP="00837FDF">
            <w:pPr>
              <w:jc w:val="center"/>
              <w:rPr>
                <w:rFonts w:ascii="Times New Roman" w:hAnsi="Times New Roman" w:cs="Times New Roman"/>
                <w:bCs/>
                <w:sz w:val="20"/>
                <w:szCs w:val="20"/>
              </w:rPr>
            </w:pPr>
            <w:r>
              <w:rPr>
                <w:rFonts w:ascii="Times New Roman" w:hAnsi="Times New Roman" w:cs="Times New Roman"/>
                <w:bCs/>
                <w:sz w:val="20"/>
                <w:szCs w:val="20"/>
              </w:rPr>
              <w:t xml:space="preserve">Art. 1 pkt 2 lit. a projektu ustawy – </w:t>
            </w:r>
          </w:p>
          <w:p w14:paraId="0D29DC0A" w14:textId="77777777" w:rsidR="005C3DA1" w:rsidRDefault="005C3DA1" w:rsidP="00837FDF">
            <w:pPr>
              <w:jc w:val="center"/>
              <w:rPr>
                <w:rFonts w:ascii="Times New Roman" w:hAnsi="Times New Roman" w:cs="Times New Roman"/>
                <w:bCs/>
                <w:sz w:val="20"/>
                <w:szCs w:val="20"/>
              </w:rPr>
            </w:pPr>
            <w:r>
              <w:rPr>
                <w:rFonts w:ascii="Times New Roman" w:hAnsi="Times New Roman" w:cs="Times New Roman"/>
                <w:bCs/>
                <w:sz w:val="20"/>
                <w:szCs w:val="20"/>
              </w:rPr>
              <w:t>w zakresie art. 3 pkt 6d ustawy – Prawo energetyczne</w:t>
            </w:r>
          </w:p>
          <w:p w14:paraId="19EB2BC6" w14:textId="77777777" w:rsidR="005C3DA1" w:rsidRPr="00F67491" w:rsidRDefault="005C3DA1" w:rsidP="00837FDF">
            <w:pPr>
              <w:jc w:val="both"/>
              <w:rPr>
                <w:rFonts w:ascii="Times New Roman" w:hAnsi="Times New Roman" w:cs="Times New Roman"/>
                <w:bCs/>
                <w:sz w:val="20"/>
                <w:szCs w:val="20"/>
              </w:rPr>
            </w:pPr>
          </w:p>
        </w:tc>
        <w:tc>
          <w:tcPr>
            <w:tcW w:w="5954" w:type="dxa"/>
          </w:tcPr>
          <w:p w14:paraId="6DFB10FC" w14:textId="77777777" w:rsidR="005C3DA1" w:rsidRPr="00F67491" w:rsidRDefault="005C3DA1" w:rsidP="00837FDF">
            <w:pPr>
              <w:jc w:val="both"/>
              <w:rPr>
                <w:rFonts w:ascii="Times New Roman" w:hAnsi="Times New Roman" w:cs="Times New Roman"/>
                <w:bCs/>
                <w:sz w:val="20"/>
                <w:szCs w:val="20"/>
              </w:rPr>
            </w:pPr>
            <w:r w:rsidRPr="00F67491">
              <w:rPr>
                <w:rFonts w:ascii="Times New Roman" w:hAnsi="Times New Roman" w:cs="Times New Roman"/>
                <w:bCs/>
                <w:sz w:val="20"/>
                <w:szCs w:val="20"/>
              </w:rPr>
              <w:t>Zgodnie z proponowanym brzmieniem przepisu art. 3 pkt 6d, agregator sam nie może być</w:t>
            </w:r>
            <w:r>
              <w:rPr>
                <w:rFonts w:ascii="Times New Roman" w:hAnsi="Times New Roman" w:cs="Times New Roman"/>
                <w:bCs/>
                <w:sz w:val="20"/>
                <w:szCs w:val="20"/>
              </w:rPr>
              <w:t xml:space="preserve"> </w:t>
            </w:r>
            <w:r w:rsidRPr="00F67491">
              <w:rPr>
                <w:rFonts w:ascii="Times New Roman" w:hAnsi="Times New Roman" w:cs="Times New Roman"/>
                <w:bCs/>
                <w:sz w:val="20"/>
                <w:szCs w:val="20"/>
              </w:rPr>
              <w:t>wytwórcą, co w przypadku np. społeczności energetycznej oznacza, że rolę tę będzie pełnić</w:t>
            </w:r>
            <w:r>
              <w:rPr>
                <w:rFonts w:ascii="Times New Roman" w:hAnsi="Times New Roman" w:cs="Times New Roman"/>
                <w:bCs/>
                <w:sz w:val="20"/>
                <w:szCs w:val="20"/>
              </w:rPr>
              <w:t xml:space="preserve"> </w:t>
            </w:r>
            <w:r w:rsidRPr="00F67491">
              <w:rPr>
                <w:rFonts w:ascii="Times New Roman" w:hAnsi="Times New Roman" w:cs="Times New Roman"/>
                <w:bCs/>
                <w:sz w:val="20"/>
                <w:szCs w:val="20"/>
              </w:rPr>
              <w:t>podmiot zewnętrzny albo członek (lub udziałowiec) społeczności energetycznej nie będący</w:t>
            </w:r>
            <w:r>
              <w:rPr>
                <w:rFonts w:ascii="Times New Roman" w:hAnsi="Times New Roman" w:cs="Times New Roman"/>
                <w:bCs/>
                <w:sz w:val="20"/>
                <w:szCs w:val="20"/>
              </w:rPr>
              <w:t xml:space="preserve"> </w:t>
            </w:r>
            <w:r w:rsidRPr="00F67491">
              <w:rPr>
                <w:rFonts w:ascii="Times New Roman" w:hAnsi="Times New Roman" w:cs="Times New Roman"/>
                <w:bCs/>
                <w:sz w:val="20"/>
                <w:szCs w:val="20"/>
              </w:rPr>
              <w:t xml:space="preserve">wytwórcą. W opinii </w:t>
            </w:r>
            <w:proofErr w:type="spellStart"/>
            <w:r w:rsidRPr="00F67491">
              <w:rPr>
                <w:rFonts w:ascii="Times New Roman" w:hAnsi="Times New Roman" w:cs="Times New Roman"/>
                <w:bCs/>
                <w:sz w:val="20"/>
                <w:szCs w:val="20"/>
              </w:rPr>
              <w:t>MRiT</w:t>
            </w:r>
            <w:proofErr w:type="spellEnd"/>
            <w:r w:rsidRPr="00F67491">
              <w:rPr>
                <w:rFonts w:ascii="Times New Roman" w:hAnsi="Times New Roman" w:cs="Times New Roman"/>
                <w:bCs/>
                <w:sz w:val="20"/>
                <w:szCs w:val="20"/>
              </w:rPr>
              <w:t>, wytwórca energii nie powinien być wykluczony z możliwości</w:t>
            </w:r>
            <w:r>
              <w:rPr>
                <w:rFonts w:ascii="Times New Roman" w:hAnsi="Times New Roman" w:cs="Times New Roman"/>
                <w:bCs/>
                <w:sz w:val="20"/>
                <w:szCs w:val="20"/>
              </w:rPr>
              <w:t xml:space="preserve"> </w:t>
            </w:r>
            <w:r w:rsidRPr="00F67491">
              <w:rPr>
                <w:rFonts w:ascii="Times New Roman" w:hAnsi="Times New Roman" w:cs="Times New Roman"/>
                <w:bCs/>
                <w:sz w:val="20"/>
                <w:szCs w:val="20"/>
              </w:rPr>
              <w:t>agregowania energii. Wprowadzałoby to dodatkową komplikację w postaci konieczności</w:t>
            </w:r>
            <w:r>
              <w:rPr>
                <w:rFonts w:ascii="Times New Roman" w:hAnsi="Times New Roman" w:cs="Times New Roman"/>
                <w:bCs/>
                <w:sz w:val="20"/>
                <w:szCs w:val="20"/>
              </w:rPr>
              <w:t xml:space="preserve"> </w:t>
            </w:r>
            <w:r w:rsidRPr="00F67491">
              <w:rPr>
                <w:rFonts w:ascii="Times New Roman" w:hAnsi="Times New Roman" w:cs="Times New Roman"/>
                <w:bCs/>
                <w:sz w:val="20"/>
                <w:szCs w:val="20"/>
              </w:rPr>
              <w:t>powołania dedykowanego podmiotu do agregacji lub zlecenia tejże stronie trzeciej.</w:t>
            </w:r>
          </w:p>
        </w:tc>
        <w:tc>
          <w:tcPr>
            <w:tcW w:w="3367" w:type="dxa"/>
          </w:tcPr>
          <w:p w14:paraId="53C78D61" w14:textId="77777777" w:rsidR="005C3DA1" w:rsidRPr="00837BFD" w:rsidRDefault="005C3DA1" w:rsidP="00837FDF">
            <w:pPr>
              <w:jc w:val="center"/>
              <w:rPr>
                <w:rFonts w:ascii="Times New Roman" w:hAnsi="Times New Roman" w:cs="Times New Roman"/>
                <w:b/>
                <w:sz w:val="20"/>
                <w:szCs w:val="20"/>
              </w:rPr>
            </w:pPr>
            <w:r w:rsidRPr="00837BFD">
              <w:rPr>
                <w:rFonts w:ascii="Times New Roman" w:hAnsi="Times New Roman" w:cs="Times New Roman"/>
                <w:b/>
                <w:sz w:val="20"/>
                <w:szCs w:val="20"/>
              </w:rPr>
              <w:t>Uwaga nieuwzględniona</w:t>
            </w:r>
          </w:p>
          <w:p w14:paraId="2987A991" w14:textId="77777777" w:rsidR="005C3DA1" w:rsidRDefault="005C3DA1" w:rsidP="00837FDF">
            <w:pPr>
              <w:jc w:val="both"/>
              <w:rPr>
                <w:rFonts w:ascii="Times New Roman" w:hAnsi="Times New Roman" w:cs="Times New Roman"/>
                <w:bCs/>
                <w:sz w:val="20"/>
                <w:szCs w:val="20"/>
              </w:rPr>
            </w:pPr>
          </w:p>
          <w:p w14:paraId="5480E5A8" w14:textId="55631BA3" w:rsidR="005C3DA1" w:rsidRPr="00F67491" w:rsidRDefault="005C3DA1" w:rsidP="00837FDF">
            <w:pPr>
              <w:jc w:val="both"/>
              <w:rPr>
                <w:rFonts w:ascii="Times New Roman" w:hAnsi="Times New Roman" w:cs="Times New Roman"/>
                <w:bCs/>
                <w:sz w:val="20"/>
                <w:szCs w:val="20"/>
              </w:rPr>
            </w:pPr>
            <w:r>
              <w:rPr>
                <w:rFonts w:ascii="Times New Roman" w:hAnsi="Times New Roman" w:cs="Times New Roman"/>
                <w:bCs/>
                <w:sz w:val="20"/>
                <w:szCs w:val="20"/>
              </w:rPr>
              <w:t xml:space="preserve">Zgodnie z dyrektywą 2019/944 obywatelska społeczność energetyczna może zajmować się agregacją, co zostało wprost wskazane w jej definicji (art. 3 pkt 13f). </w:t>
            </w:r>
          </w:p>
        </w:tc>
      </w:tr>
      <w:tr w:rsidR="005C3DA1" w:rsidRPr="00F67491" w14:paraId="46EBC4A3" w14:textId="77777777" w:rsidTr="00837FDF">
        <w:tc>
          <w:tcPr>
            <w:tcW w:w="570" w:type="dxa"/>
          </w:tcPr>
          <w:p w14:paraId="7DE74C7C" w14:textId="485E34EB" w:rsidR="005C3DA1" w:rsidRPr="00F67491" w:rsidRDefault="00F93C40" w:rsidP="00F93C40">
            <w:pPr>
              <w:jc w:val="center"/>
              <w:rPr>
                <w:rFonts w:ascii="Times New Roman" w:hAnsi="Times New Roman" w:cs="Times New Roman"/>
                <w:bCs/>
                <w:sz w:val="20"/>
                <w:szCs w:val="20"/>
              </w:rPr>
            </w:pPr>
            <w:r>
              <w:rPr>
                <w:rFonts w:ascii="Times New Roman" w:hAnsi="Times New Roman" w:cs="Times New Roman"/>
                <w:bCs/>
                <w:sz w:val="20"/>
                <w:szCs w:val="20"/>
              </w:rPr>
              <w:t>3</w:t>
            </w:r>
          </w:p>
        </w:tc>
        <w:tc>
          <w:tcPr>
            <w:tcW w:w="2119" w:type="dxa"/>
          </w:tcPr>
          <w:p w14:paraId="2D6E3572" w14:textId="77777777" w:rsidR="005C3DA1" w:rsidRPr="00F67491" w:rsidRDefault="005C3DA1" w:rsidP="00837FDF">
            <w:pPr>
              <w:jc w:val="center"/>
              <w:rPr>
                <w:rFonts w:ascii="Times New Roman" w:hAnsi="Times New Roman" w:cs="Times New Roman"/>
                <w:bCs/>
                <w:sz w:val="20"/>
                <w:szCs w:val="20"/>
              </w:rPr>
            </w:pPr>
            <w:r w:rsidRPr="00F67491">
              <w:rPr>
                <w:rFonts w:ascii="Times New Roman" w:hAnsi="Times New Roman" w:cs="Times New Roman"/>
                <w:bCs/>
                <w:sz w:val="20"/>
                <w:szCs w:val="20"/>
              </w:rPr>
              <w:t>Minister Rozwoju i Technologii</w:t>
            </w:r>
          </w:p>
        </w:tc>
        <w:tc>
          <w:tcPr>
            <w:tcW w:w="1984" w:type="dxa"/>
          </w:tcPr>
          <w:p w14:paraId="78052EC0" w14:textId="77777777" w:rsidR="005C3DA1" w:rsidRDefault="005C3DA1" w:rsidP="00837FDF">
            <w:pPr>
              <w:jc w:val="center"/>
              <w:rPr>
                <w:rFonts w:ascii="Times New Roman" w:hAnsi="Times New Roman" w:cs="Times New Roman"/>
                <w:bCs/>
                <w:sz w:val="20"/>
                <w:szCs w:val="20"/>
              </w:rPr>
            </w:pPr>
            <w:r>
              <w:rPr>
                <w:rFonts w:ascii="Times New Roman" w:hAnsi="Times New Roman" w:cs="Times New Roman"/>
                <w:bCs/>
                <w:sz w:val="20"/>
                <w:szCs w:val="20"/>
              </w:rPr>
              <w:t>Art. 1 pkt 2 lit. f projektu ustawy –</w:t>
            </w:r>
          </w:p>
          <w:p w14:paraId="79DF81DE" w14:textId="77777777" w:rsidR="005C3DA1" w:rsidRDefault="005C3DA1" w:rsidP="00837FDF">
            <w:pPr>
              <w:jc w:val="center"/>
              <w:rPr>
                <w:rFonts w:ascii="Times New Roman" w:hAnsi="Times New Roman" w:cs="Times New Roman"/>
                <w:bCs/>
                <w:sz w:val="20"/>
                <w:szCs w:val="20"/>
              </w:rPr>
            </w:pPr>
            <w:r>
              <w:rPr>
                <w:rFonts w:ascii="Times New Roman" w:hAnsi="Times New Roman" w:cs="Times New Roman"/>
                <w:bCs/>
                <w:sz w:val="20"/>
                <w:szCs w:val="20"/>
              </w:rPr>
              <w:t>w zakresie art. 3 pkt 11i ustawy – Prawo energetyczne</w:t>
            </w:r>
          </w:p>
          <w:p w14:paraId="0E862740" w14:textId="77777777" w:rsidR="005C3DA1" w:rsidRPr="00F67491" w:rsidRDefault="005C3DA1" w:rsidP="00837FDF">
            <w:pPr>
              <w:jc w:val="both"/>
              <w:rPr>
                <w:rFonts w:ascii="Times New Roman" w:hAnsi="Times New Roman" w:cs="Times New Roman"/>
                <w:bCs/>
                <w:sz w:val="20"/>
                <w:szCs w:val="20"/>
              </w:rPr>
            </w:pPr>
          </w:p>
        </w:tc>
        <w:tc>
          <w:tcPr>
            <w:tcW w:w="5954" w:type="dxa"/>
          </w:tcPr>
          <w:p w14:paraId="4B9C70A1" w14:textId="77777777" w:rsidR="005C3DA1" w:rsidRPr="00F67491" w:rsidRDefault="005C3DA1" w:rsidP="00837FDF">
            <w:pPr>
              <w:jc w:val="both"/>
              <w:rPr>
                <w:rFonts w:ascii="Times New Roman" w:hAnsi="Times New Roman" w:cs="Times New Roman"/>
                <w:bCs/>
                <w:sz w:val="20"/>
                <w:szCs w:val="20"/>
              </w:rPr>
            </w:pPr>
            <w:r w:rsidRPr="00F67491">
              <w:rPr>
                <w:rFonts w:ascii="Times New Roman" w:hAnsi="Times New Roman" w:cs="Times New Roman"/>
                <w:bCs/>
                <w:sz w:val="20"/>
                <w:szCs w:val="20"/>
              </w:rPr>
              <w:t>W odniesieniu do brzmienia art. 3 pkt 11i, proponuje się dodać „lub odpowiedź strony</w:t>
            </w:r>
            <w:r>
              <w:rPr>
                <w:rFonts w:ascii="Times New Roman" w:hAnsi="Times New Roman" w:cs="Times New Roman"/>
                <w:bCs/>
                <w:sz w:val="20"/>
                <w:szCs w:val="20"/>
              </w:rPr>
              <w:t xml:space="preserve"> </w:t>
            </w:r>
            <w:r w:rsidRPr="00F67491">
              <w:rPr>
                <w:rFonts w:ascii="Times New Roman" w:hAnsi="Times New Roman" w:cs="Times New Roman"/>
                <w:bCs/>
                <w:sz w:val="20"/>
                <w:szCs w:val="20"/>
              </w:rPr>
              <w:t>podażowej”. Włączenie do definicji odpowiedzi strony podażowej pozwoli na pełniejsze</w:t>
            </w:r>
            <w:r>
              <w:rPr>
                <w:rFonts w:ascii="Times New Roman" w:hAnsi="Times New Roman" w:cs="Times New Roman"/>
                <w:bCs/>
                <w:sz w:val="20"/>
                <w:szCs w:val="20"/>
              </w:rPr>
              <w:t xml:space="preserve"> </w:t>
            </w:r>
            <w:r w:rsidRPr="00F67491">
              <w:rPr>
                <w:rFonts w:ascii="Times New Roman" w:hAnsi="Times New Roman" w:cs="Times New Roman"/>
                <w:bCs/>
                <w:sz w:val="20"/>
                <w:szCs w:val="20"/>
              </w:rPr>
              <w:t>umożliwienie świadczenia zróżnicowanych usług elastyczności.</w:t>
            </w:r>
          </w:p>
        </w:tc>
        <w:tc>
          <w:tcPr>
            <w:tcW w:w="3367" w:type="dxa"/>
          </w:tcPr>
          <w:p w14:paraId="4B99BB09" w14:textId="77777777" w:rsidR="005C3DA1" w:rsidRPr="00837BFD" w:rsidRDefault="005C3DA1" w:rsidP="00837FDF">
            <w:pPr>
              <w:jc w:val="center"/>
              <w:rPr>
                <w:rFonts w:ascii="Times New Roman" w:hAnsi="Times New Roman" w:cs="Times New Roman"/>
                <w:b/>
                <w:sz w:val="20"/>
                <w:szCs w:val="20"/>
              </w:rPr>
            </w:pPr>
            <w:r w:rsidRPr="00837BFD">
              <w:rPr>
                <w:rFonts w:ascii="Times New Roman" w:hAnsi="Times New Roman" w:cs="Times New Roman"/>
                <w:b/>
                <w:sz w:val="20"/>
                <w:szCs w:val="20"/>
              </w:rPr>
              <w:t>Uwaga nieuwzględniona</w:t>
            </w:r>
          </w:p>
          <w:p w14:paraId="63A92D59" w14:textId="77777777" w:rsidR="005C3DA1" w:rsidRDefault="005C3DA1" w:rsidP="00837FDF">
            <w:pPr>
              <w:jc w:val="center"/>
              <w:rPr>
                <w:rFonts w:ascii="Times New Roman" w:hAnsi="Times New Roman" w:cs="Times New Roman"/>
                <w:bCs/>
                <w:sz w:val="20"/>
                <w:szCs w:val="20"/>
              </w:rPr>
            </w:pPr>
          </w:p>
          <w:p w14:paraId="6C3D8A71" w14:textId="77777777" w:rsidR="005C3DA1" w:rsidRDefault="005C3DA1" w:rsidP="00837FDF">
            <w:pPr>
              <w:jc w:val="both"/>
              <w:rPr>
                <w:rFonts w:ascii="Times New Roman" w:hAnsi="Times New Roman" w:cs="Times New Roman"/>
                <w:bCs/>
                <w:sz w:val="20"/>
                <w:szCs w:val="20"/>
              </w:rPr>
            </w:pPr>
            <w:r>
              <w:rPr>
                <w:rFonts w:ascii="Times New Roman" w:hAnsi="Times New Roman" w:cs="Times New Roman"/>
                <w:bCs/>
                <w:sz w:val="20"/>
                <w:szCs w:val="20"/>
              </w:rPr>
              <w:t>Zmiana w definicji wynika z wprowadzenia do ustawy – Prawo energetyczne definicji odpowiedzi odbioru i usług elastyczności. Wprowadzenie proponowanych zmian nie ma wartości dodanej. Poza tym w ustawie brak jest definicji „odpowiedzi strony podażowej”.</w:t>
            </w:r>
          </w:p>
          <w:p w14:paraId="0FF50C76" w14:textId="77777777" w:rsidR="005C3DA1" w:rsidRPr="00F67491" w:rsidRDefault="005C3DA1" w:rsidP="00837FDF">
            <w:pPr>
              <w:jc w:val="both"/>
              <w:rPr>
                <w:rFonts w:ascii="Times New Roman" w:hAnsi="Times New Roman" w:cs="Times New Roman"/>
                <w:bCs/>
                <w:sz w:val="20"/>
                <w:szCs w:val="20"/>
              </w:rPr>
            </w:pPr>
          </w:p>
        </w:tc>
      </w:tr>
      <w:tr w:rsidR="005C3DA1" w:rsidRPr="00F67491" w14:paraId="4A815C5A" w14:textId="77777777" w:rsidTr="00837FDF">
        <w:tc>
          <w:tcPr>
            <w:tcW w:w="570" w:type="dxa"/>
          </w:tcPr>
          <w:p w14:paraId="5DE37CC7" w14:textId="6120E40D" w:rsidR="005C3DA1" w:rsidRPr="00F67491" w:rsidRDefault="00F93C40" w:rsidP="00F93C40">
            <w:pPr>
              <w:jc w:val="center"/>
              <w:rPr>
                <w:rFonts w:ascii="Times New Roman" w:hAnsi="Times New Roman" w:cs="Times New Roman"/>
                <w:bCs/>
                <w:sz w:val="20"/>
                <w:szCs w:val="20"/>
              </w:rPr>
            </w:pPr>
            <w:r>
              <w:rPr>
                <w:rFonts w:ascii="Times New Roman" w:hAnsi="Times New Roman" w:cs="Times New Roman"/>
                <w:bCs/>
                <w:sz w:val="20"/>
                <w:szCs w:val="20"/>
              </w:rPr>
              <w:lastRenderedPageBreak/>
              <w:t>4</w:t>
            </w:r>
          </w:p>
        </w:tc>
        <w:tc>
          <w:tcPr>
            <w:tcW w:w="2119" w:type="dxa"/>
          </w:tcPr>
          <w:p w14:paraId="7B36B6C8" w14:textId="77777777" w:rsidR="005C3DA1" w:rsidRPr="00F67491" w:rsidRDefault="005C3DA1" w:rsidP="00837FDF">
            <w:pPr>
              <w:jc w:val="center"/>
              <w:rPr>
                <w:rFonts w:ascii="Times New Roman" w:hAnsi="Times New Roman" w:cs="Times New Roman"/>
                <w:bCs/>
                <w:sz w:val="20"/>
                <w:szCs w:val="20"/>
              </w:rPr>
            </w:pPr>
            <w:r w:rsidRPr="00F67491">
              <w:rPr>
                <w:rFonts w:ascii="Times New Roman" w:hAnsi="Times New Roman" w:cs="Times New Roman"/>
                <w:bCs/>
                <w:sz w:val="20"/>
                <w:szCs w:val="20"/>
              </w:rPr>
              <w:t>Minister Rozwoju i Technologii</w:t>
            </w:r>
          </w:p>
        </w:tc>
        <w:tc>
          <w:tcPr>
            <w:tcW w:w="1984" w:type="dxa"/>
          </w:tcPr>
          <w:p w14:paraId="7D0F0459" w14:textId="77777777" w:rsidR="005C3DA1" w:rsidRDefault="005C3DA1" w:rsidP="00837FDF">
            <w:pPr>
              <w:jc w:val="center"/>
              <w:rPr>
                <w:rFonts w:ascii="Times New Roman" w:hAnsi="Times New Roman" w:cs="Times New Roman"/>
                <w:bCs/>
                <w:sz w:val="20"/>
                <w:szCs w:val="20"/>
              </w:rPr>
            </w:pPr>
            <w:r>
              <w:rPr>
                <w:rFonts w:ascii="Times New Roman" w:hAnsi="Times New Roman" w:cs="Times New Roman"/>
                <w:bCs/>
                <w:sz w:val="20"/>
                <w:szCs w:val="20"/>
              </w:rPr>
              <w:t xml:space="preserve">Art. 1 pkt 2 lit. g projektu ustawy – </w:t>
            </w:r>
          </w:p>
          <w:p w14:paraId="4426C78A" w14:textId="77777777" w:rsidR="005C3DA1" w:rsidRDefault="005C3DA1" w:rsidP="00837FDF">
            <w:pPr>
              <w:jc w:val="center"/>
              <w:rPr>
                <w:rFonts w:ascii="Times New Roman" w:hAnsi="Times New Roman" w:cs="Times New Roman"/>
                <w:bCs/>
                <w:sz w:val="20"/>
                <w:szCs w:val="20"/>
              </w:rPr>
            </w:pPr>
            <w:r>
              <w:rPr>
                <w:rFonts w:ascii="Times New Roman" w:hAnsi="Times New Roman" w:cs="Times New Roman"/>
                <w:bCs/>
                <w:sz w:val="20"/>
                <w:szCs w:val="20"/>
              </w:rPr>
              <w:t>w zakresie art. 3 pkt 11k ustawy – Prawo energetyczne</w:t>
            </w:r>
          </w:p>
          <w:p w14:paraId="1EC1C0B1" w14:textId="77777777" w:rsidR="005C3DA1" w:rsidRPr="00F67491" w:rsidRDefault="005C3DA1" w:rsidP="00837FDF">
            <w:pPr>
              <w:jc w:val="both"/>
              <w:rPr>
                <w:rFonts w:ascii="Times New Roman" w:hAnsi="Times New Roman" w:cs="Times New Roman"/>
                <w:bCs/>
                <w:sz w:val="20"/>
                <w:szCs w:val="20"/>
              </w:rPr>
            </w:pPr>
          </w:p>
        </w:tc>
        <w:tc>
          <w:tcPr>
            <w:tcW w:w="5954" w:type="dxa"/>
          </w:tcPr>
          <w:p w14:paraId="0A0A0BB0" w14:textId="77777777" w:rsidR="005C3DA1" w:rsidRPr="00F67491" w:rsidRDefault="005C3DA1" w:rsidP="00837FDF">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W przypadku proponowanego brzmienia art. 3 pkt 11k, </w:t>
            </w:r>
            <w:proofErr w:type="spellStart"/>
            <w:r w:rsidRPr="00F67491">
              <w:rPr>
                <w:rFonts w:ascii="Times New Roman" w:hAnsi="Times New Roman" w:cs="Times New Roman"/>
                <w:bCs/>
                <w:sz w:val="20"/>
                <w:szCs w:val="20"/>
              </w:rPr>
              <w:t>MRiT</w:t>
            </w:r>
            <w:proofErr w:type="spellEnd"/>
            <w:r w:rsidRPr="00F67491">
              <w:rPr>
                <w:rFonts w:ascii="Times New Roman" w:hAnsi="Times New Roman" w:cs="Times New Roman"/>
                <w:bCs/>
                <w:sz w:val="20"/>
                <w:szCs w:val="20"/>
              </w:rPr>
              <w:t xml:space="preserve"> stoi na stanowisku, że usługa</w:t>
            </w:r>
            <w:r>
              <w:rPr>
                <w:rFonts w:ascii="Times New Roman" w:hAnsi="Times New Roman" w:cs="Times New Roman"/>
                <w:bCs/>
                <w:sz w:val="20"/>
                <w:szCs w:val="20"/>
              </w:rPr>
              <w:t xml:space="preserve"> </w:t>
            </w:r>
            <w:r w:rsidRPr="00F67491">
              <w:rPr>
                <w:rFonts w:ascii="Times New Roman" w:hAnsi="Times New Roman" w:cs="Times New Roman"/>
                <w:bCs/>
                <w:sz w:val="20"/>
                <w:szCs w:val="20"/>
              </w:rPr>
              <w:t>elastyczności powinna być świadczona nie tylko na rzecz operatora systemu dystrybucyjnego</w:t>
            </w:r>
            <w:r>
              <w:rPr>
                <w:rFonts w:ascii="Times New Roman" w:hAnsi="Times New Roman" w:cs="Times New Roman"/>
                <w:bCs/>
                <w:sz w:val="20"/>
                <w:szCs w:val="20"/>
              </w:rPr>
              <w:t xml:space="preserve"> </w:t>
            </w:r>
            <w:r w:rsidRPr="00F67491">
              <w:rPr>
                <w:rFonts w:ascii="Times New Roman" w:hAnsi="Times New Roman" w:cs="Times New Roman"/>
                <w:bCs/>
                <w:sz w:val="20"/>
                <w:szCs w:val="20"/>
              </w:rPr>
              <w:t>elektroenergetycznego, ale również (może bardziej na rynkowych zasadach) na rzecz innych</w:t>
            </w:r>
            <w:r>
              <w:rPr>
                <w:rFonts w:ascii="Times New Roman" w:hAnsi="Times New Roman" w:cs="Times New Roman"/>
                <w:bCs/>
                <w:sz w:val="20"/>
                <w:szCs w:val="20"/>
              </w:rPr>
              <w:t xml:space="preserve"> </w:t>
            </w:r>
            <w:r w:rsidRPr="00F67491">
              <w:rPr>
                <w:rFonts w:ascii="Times New Roman" w:hAnsi="Times New Roman" w:cs="Times New Roman"/>
                <w:bCs/>
                <w:sz w:val="20"/>
                <w:szCs w:val="20"/>
              </w:rPr>
              <w:t>podmiotów, przede wszystkim agregatorów, a także dużych przedsiębiorstw i społeczności</w:t>
            </w:r>
            <w:r>
              <w:rPr>
                <w:rFonts w:ascii="Times New Roman" w:hAnsi="Times New Roman" w:cs="Times New Roman"/>
                <w:bCs/>
                <w:sz w:val="20"/>
                <w:szCs w:val="20"/>
              </w:rPr>
              <w:t xml:space="preserve"> </w:t>
            </w:r>
            <w:r w:rsidRPr="00F67491">
              <w:rPr>
                <w:rFonts w:ascii="Times New Roman" w:hAnsi="Times New Roman" w:cs="Times New Roman"/>
                <w:bCs/>
                <w:sz w:val="20"/>
                <w:szCs w:val="20"/>
              </w:rPr>
              <w:t>energetycznych.</w:t>
            </w:r>
          </w:p>
        </w:tc>
        <w:tc>
          <w:tcPr>
            <w:tcW w:w="3367" w:type="dxa"/>
          </w:tcPr>
          <w:p w14:paraId="3E6F1A0E" w14:textId="77777777" w:rsidR="005C3DA1" w:rsidRPr="00837BFD" w:rsidRDefault="005C3DA1" w:rsidP="00837FDF">
            <w:pPr>
              <w:jc w:val="center"/>
              <w:rPr>
                <w:rFonts w:ascii="Times New Roman" w:hAnsi="Times New Roman" w:cs="Times New Roman"/>
                <w:b/>
                <w:sz w:val="20"/>
                <w:szCs w:val="20"/>
              </w:rPr>
            </w:pPr>
            <w:r w:rsidRPr="00837BFD">
              <w:rPr>
                <w:rFonts w:ascii="Times New Roman" w:hAnsi="Times New Roman" w:cs="Times New Roman"/>
                <w:b/>
                <w:sz w:val="20"/>
                <w:szCs w:val="20"/>
              </w:rPr>
              <w:t>Uwaga nieuwzględniona</w:t>
            </w:r>
          </w:p>
          <w:p w14:paraId="474770FD" w14:textId="77777777" w:rsidR="005C3DA1" w:rsidRDefault="005C3DA1" w:rsidP="00837FDF">
            <w:pPr>
              <w:jc w:val="center"/>
              <w:rPr>
                <w:rFonts w:ascii="Times New Roman" w:hAnsi="Times New Roman" w:cs="Times New Roman"/>
                <w:bCs/>
                <w:sz w:val="20"/>
                <w:szCs w:val="20"/>
              </w:rPr>
            </w:pPr>
          </w:p>
          <w:p w14:paraId="0939F64C" w14:textId="77777777" w:rsidR="005C3DA1" w:rsidRDefault="005C3DA1" w:rsidP="00837FDF">
            <w:pPr>
              <w:jc w:val="both"/>
              <w:rPr>
                <w:rFonts w:ascii="Times New Roman" w:hAnsi="Times New Roman" w:cs="Times New Roman"/>
                <w:bCs/>
                <w:sz w:val="20"/>
                <w:szCs w:val="20"/>
              </w:rPr>
            </w:pPr>
            <w:r>
              <w:rPr>
                <w:rFonts w:ascii="Times New Roman" w:hAnsi="Times New Roman" w:cs="Times New Roman"/>
                <w:bCs/>
                <w:sz w:val="20"/>
                <w:szCs w:val="20"/>
              </w:rPr>
              <w:t xml:space="preserve">Propozycja jest niezgodna z dyrektywą 2019/944, zgodnie z którą usługi elastyczności mają być świadczone na rzecz </w:t>
            </w:r>
            <w:r w:rsidRPr="00837BFD">
              <w:rPr>
                <w:rFonts w:ascii="Times New Roman" w:hAnsi="Times New Roman" w:cs="Times New Roman"/>
                <w:bCs/>
                <w:sz w:val="20"/>
                <w:szCs w:val="20"/>
              </w:rPr>
              <w:t>operatora systemu dystrybucyjnego elektroenergetycznego</w:t>
            </w:r>
            <w:r>
              <w:rPr>
                <w:rFonts w:ascii="Times New Roman" w:hAnsi="Times New Roman" w:cs="Times New Roman"/>
                <w:bCs/>
                <w:sz w:val="20"/>
                <w:szCs w:val="20"/>
              </w:rPr>
              <w:t>.</w:t>
            </w:r>
            <w:r w:rsidR="00C0051B">
              <w:rPr>
                <w:rFonts w:ascii="Times New Roman" w:hAnsi="Times New Roman" w:cs="Times New Roman"/>
                <w:bCs/>
                <w:sz w:val="20"/>
                <w:szCs w:val="20"/>
              </w:rPr>
              <w:t xml:space="preserve"> </w:t>
            </w:r>
            <w:r w:rsidR="00C0051B" w:rsidRPr="00C0051B">
              <w:rPr>
                <w:rFonts w:ascii="Times New Roman" w:hAnsi="Times New Roman" w:cs="Times New Roman"/>
                <w:bCs/>
                <w:sz w:val="20"/>
                <w:szCs w:val="20"/>
              </w:rPr>
              <w:t>Natomiast żaden z przepisów projektu nie wyklucza by operator systemu dystrybucyjnego elektroenergetycznego zamawiał te usługi, np. u agregatorów, co jest zresztą istotą przedmiotowej regulacji</w:t>
            </w:r>
            <w:r w:rsidR="00C0051B">
              <w:rPr>
                <w:rFonts w:ascii="Times New Roman" w:hAnsi="Times New Roman" w:cs="Times New Roman"/>
                <w:bCs/>
                <w:sz w:val="20"/>
                <w:szCs w:val="20"/>
              </w:rPr>
              <w:t>.</w:t>
            </w:r>
          </w:p>
          <w:p w14:paraId="1AC674F3" w14:textId="29179849" w:rsidR="00C0051B" w:rsidRPr="00F67491" w:rsidRDefault="00C0051B" w:rsidP="00837FDF">
            <w:pPr>
              <w:jc w:val="both"/>
              <w:rPr>
                <w:rFonts w:ascii="Times New Roman" w:hAnsi="Times New Roman" w:cs="Times New Roman"/>
                <w:bCs/>
                <w:sz w:val="20"/>
                <w:szCs w:val="20"/>
              </w:rPr>
            </w:pPr>
          </w:p>
        </w:tc>
      </w:tr>
      <w:tr w:rsidR="005C3DA1" w:rsidRPr="00F67491" w14:paraId="308463E4" w14:textId="77777777" w:rsidTr="00837FDF">
        <w:tc>
          <w:tcPr>
            <w:tcW w:w="570" w:type="dxa"/>
          </w:tcPr>
          <w:p w14:paraId="5FC0CCDF" w14:textId="45D9A7E8" w:rsidR="005C3DA1" w:rsidRPr="00F67491" w:rsidRDefault="00F93C40" w:rsidP="00F93C40">
            <w:pPr>
              <w:jc w:val="center"/>
              <w:rPr>
                <w:rFonts w:ascii="Times New Roman" w:hAnsi="Times New Roman" w:cs="Times New Roman"/>
                <w:bCs/>
                <w:sz w:val="20"/>
                <w:szCs w:val="20"/>
              </w:rPr>
            </w:pPr>
            <w:r>
              <w:rPr>
                <w:rFonts w:ascii="Times New Roman" w:hAnsi="Times New Roman" w:cs="Times New Roman"/>
                <w:bCs/>
                <w:sz w:val="20"/>
                <w:szCs w:val="20"/>
              </w:rPr>
              <w:t>5</w:t>
            </w:r>
          </w:p>
        </w:tc>
        <w:tc>
          <w:tcPr>
            <w:tcW w:w="2119" w:type="dxa"/>
          </w:tcPr>
          <w:p w14:paraId="02808199" w14:textId="77777777" w:rsidR="005C3DA1" w:rsidRPr="00F67491" w:rsidRDefault="005C3DA1" w:rsidP="00837FDF">
            <w:pPr>
              <w:jc w:val="center"/>
              <w:rPr>
                <w:rFonts w:ascii="Times New Roman" w:hAnsi="Times New Roman" w:cs="Times New Roman"/>
                <w:bCs/>
                <w:sz w:val="20"/>
                <w:szCs w:val="20"/>
              </w:rPr>
            </w:pPr>
            <w:r w:rsidRPr="00F67491">
              <w:rPr>
                <w:rFonts w:ascii="Times New Roman" w:hAnsi="Times New Roman" w:cs="Times New Roman"/>
                <w:bCs/>
                <w:sz w:val="20"/>
                <w:szCs w:val="20"/>
              </w:rPr>
              <w:t>Minister Rozwoju i Technologii</w:t>
            </w:r>
          </w:p>
        </w:tc>
        <w:tc>
          <w:tcPr>
            <w:tcW w:w="1984" w:type="dxa"/>
          </w:tcPr>
          <w:p w14:paraId="16F8845B" w14:textId="77777777" w:rsidR="005C3DA1" w:rsidRDefault="005C3DA1" w:rsidP="00837FDF">
            <w:pPr>
              <w:jc w:val="center"/>
              <w:rPr>
                <w:rFonts w:ascii="Times New Roman" w:hAnsi="Times New Roman" w:cs="Times New Roman"/>
                <w:bCs/>
                <w:sz w:val="20"/>
                <w:szCs w:val="20"/>
              </w:rPr>
            </w:pPr>
            <w:r>
              <w:rPr>
                <w:rFonts w:ascii="Times New Roman" w:hAnsi="Times New Roman" w:cs="Times New Roman"/>
                <w:bCs/>
                <w:sz w:val="20"/>
                <w:szCs w:val="20"/>
              </w:rPr>
              <w:t xml:space="preserve">Art. 1 pkt 2 lit. r projektu ustawy – </w:t>
            </w:r>
          </w:p>
          <w:p w14:paraId="56FA4C42" w14:textId="77777777" w:rsidR="005C3DA1" w:rsidRDefault="005C3DA1" w:rsidP="00837FDF">
            <w:pPr>
              <w:jc w:val="center"/>
              <w:rPr>
                <w:rFonts w:ascii="Times New Roman" w:hAnsi="Times New Roman" w:cs="Times New Roman"/>
                <w:bCs/>
                <w:sz w:val="20"/>
                <w:szCs w:val="20"/>
              </w:rPr>
            </w:pPr>
            <w:r>
              <w:rPr>
                <w:rFonts w:ascii="Times New Roman" w:hAnsi="Times New Roman" w:cs="Times New Roman"/>
                <w:bCs/>
                <w:sz w:val="20"/>
                <w:szCs w:val="20"/>
              </w:rPr>
              <w:t>w zakresie art. 3 pkt 59 ustawy – Prawo energetyczne</w:t>
            </w:r>
          </w:p>
          <w:p w14:paraId="5B4C6F78" w14:textId="77777777" w:rsidR="005C3DA1" w:rsidRPr="00F67491" w:rsidRDefault="005C3DA1" w:rsidP="00837FDF">
            <w:pPr>
              <w:jc w:val="both"/>
              <w:rPr>
                <w:rFonts w:ascii="Times New Roman" w:hAnsi="Times New Roman" w:cs="Times New Roman"/>
                <w:bCs/>
                <w:sz w:val="20"/>
                <w:szCs w:val="20"/>
              </w:rPr>
            </w:pPr>
          </w:p>
        </w:tc>
        <w:tc>
          <w:tcPr>
            <w:tcW w:w="5954" w:type="dxa"/>
          </w:tcPr>
          <w:p w14:paraId="1E5D333A" w14:textId="77777777" w:rsidR="005C3DA1" w:rsidRPr="00F67491" w:rsidRDefault="005C3DA1" w:rsidP="00837FDF">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„59) magazynowanie energii elektrycznej – odroczenie </w:t>
            </w:r>
            <w:r w:rsidRPr="00FA044A">
              <w:rPr>
                <w:rFonts w:ascii="Times New Roman" w:hAnsi="Times New Roman" w:cs="Times New Roman"/>
                <w:b/>
                <w:sz w:val="20"/>
                <w:szCs w:val="20"/>
              </w:rPr>
              <w:t>lub redukcja</w:t>
            </w:r>
            <w:r w:rsidRPr="00F67491">
              <w:rPr>
                <w:rFonts w:ascii="Times New Roman" w:hAnsi="Times New Roman" w:cs="Times New Roman"/>
                <w:bCs/>
                <w:sz w:val="20"/>
                <w:szCs w:val="20"/>
              </w:rPr>
              <w:t>, w systemie</w:t>
            </w:r>
            <w:r>
              <w:rPr>
                <w:rFonts w:ascii="Times New Roman" w:hAnsi="Times New Roman" w:cs="Times New Roman"/>
                <w:bCs/>
                <w:sz w:val="20"/>
                <w:szCs w:val="20"/>
              </w:rPr>
              <w:t xml:space="preserve"> </w:t>
            </w:r>
            <w:r w:rsidRPr="00F67491">
              <w:rPr>
                <w:rFonts w:ascii="Times New Roman" w:hAnsi="Times New Roman" w:cs="Times New Roman"/>
                <w:bCs/>
                <w:sz w:val="20"/>
                <w:szCs w:val="20"/>
              </w:rPr>
              <w:t xml:space="preserve">elektroenergetycznym, końcowego zużycia energii elektrycznej </w:t>
            </w:r>
            <w:r w:rsidRPr="00FA044A">
              <w:rPr>
                <w:rFonts w:ascii="Times New Roman" w:hAnsi="Times New Roman" w:cs="Times New Roman"/>
                <w:b/>
                <w:sz w:val="20"/>
                <w:szCs w:val="20"/>
              </w:rPr>
              <w:t>z wykorzystaniem magazynu energii elektrycznej</w:t>
            </w:r>
            <w:r w:rsidRPr="00F67491">
              <w:rPr>
                <w:rFonts w:ascii="Times New Roman" w:hAnsi="Times New Roman" w:cs="Times New Roman"/>
                <w:bCs/>
                <w:sz w:val="20"/>
                <w:szCs w:val="20"/>
              </w:rPr>
              <w:t xml:space="preserve"> lub przetworzenie energii elektrycznej pobranej z sieci elektroenergetycznej</w:t>
            </w:r>
          </w:p>
          <w:p w14:paraId="7882E95F" w14:textId="77777777" w:rsidR="005C3DA1" w:rsidRPr="00F67491" w:rsidRDefault="005C3DA1" w:rsidP="00837FDF">
            <w:pPr>
              <w:jc w:val="both"/>
              <w:rPr>
                <w:rFonts w:ascii="Times New Roman" w:hAnsi="Times New Roman" w:cs="Times New Roman"/>
                <w:bCs/>
                <w:sz w:val="20"/>
                <w:szCs w:val="20"/>
              </w:rPr>
            </w:pPr>
            <w:r w:rsidRPr="00F67491">
              <w:rPr>
                <w:rFonts w:ascii="Times New Roman" w:hAnsi="Times New Roman" w:cs="Times New Roman"/>
                <w:bCs/>
                <w:sz w:val="20"/>
                <w:szCs w:val="20"/>
              </w:rPr>
              <w:t>lub wytworzonej przez jednostkę wytwórczą przyłączoną do sieci elektroenergetycznej</w:t>
            </w:r>
            <w:r>
              <w:rPr>
                <w:rFonts w:ascii="Times New Roman" w:hAnsi="Times New Roman" w:cs="Times New Roman"/>
                <w:bCs/>
                <w:sz w:val="20"/>
                <w:szCs w:val="20"/>
              </w:rPr>
              <w:t xml:space="preserve"> </w:t>
            </w:r>
            <w:r w:rsidRPr="00F67491">
              <w:rPr>
                <w:rFonts w:ascii="Times New Roman" w:hAnsi="Times New Roman" w:cs="Times New Roman"/>
                <w:bCs/>
                <w:sz w:val="20"/>
                <w:szCs w:val="20"/>
              </w:rPr>
              <w:t>i współpracującą z tą siecią do innej postaci energii, przechowanie tej energii, a następnie</w:t>
            </w:r>
            <w:r>
              <w:rPr>
                <w:rFonts w:ascii="Times New Roman" w:hAnsi="Times New Roman" w:cs="Times New Roman"/>
                <w:bCs/>
                <w:sz w:val="20"/>
                <w:szCs w:val="20"/>
              </w:rPr>
              <w:t xml:space="preserve"> </w:t>
            </w:r>
            <w:r w:rsidRPr="00F67491">
              <w:rPr>
                <w:rFonts w:ascii="Times New Roman" w:hAnsi="Times New Roman" w:cs="Times New Roman"/>
                <w:bCs/>
                <w:sz w:val="20"/>
                <w:szCs w:val="20"/>
              </w:rPr>
              <w:t>ponowne jej przetworzenie na energię elektryczną;”.</w:t>
            </w:r>
          </w:p>
          <w:p w14:paraId="513FCF48" w14:textId="77777777" w:rsidR="005C3DA1" w:rsidRDefault="005C3DA1" w:rsidP="00837FDF">
            <w:pPr>
              <w:jc w:val="both"/>
              <w:rPr>
                <w:rFonts w:ascii="Times New Roman" w:hAnsi="Times New Roman" w:cs="Times New Roman"/>
                <w:bCs/>
                <w:sz w:val="20"/>
                <w:szCs w:val="20"/>
              </w:rPr>
            </w:pPr>
          </w:p>
          <w:p w14:paraId="17FFDB0B" w14:textId="77777777" w:rsidR="005C3DA1" w:rsidRDefault="005C3DA1" w:rsidP="00837FDF">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Zgodnie z zaproponowaną przez </w:t>
            </w:r>
            <w:proofErr w:type="spellStart"/>
            <w:r w:rsidRPr="00F67491">
              <w:rPr>
                <w:rFonts w:ascii="Times New Roman" w:hAnsi="Times New Roman" w:cs="Times New Roman"/>
                <w:bCs/>
                <w:sz w:val="20"/>
                <w:szCs w:val="20"/>
              </w:rPr>
              <w:t>MKiŚ</w:t>
            </w:r>
            <w:proofErr w:type="spellEnd"/>
            <w:r w:rsidRPr="00F67491">
              <w:rPr>
                <w:rFonts w:ascii="Times New Roman" w:hAnsi="Times New Roman" w:cs="Times New Roman"/>
                <w:bCs/>
                <w:sz w:val="20"/>
                <w:szCs w:val="20"/>
              </w:rPr>
              <w:t xml:space="preserve"> definicją pojęcia „magazynowanie energii elektrycznej”</w:t>
            </w:r>
            <w:r>
              <w:rPr>
                <w:rFonts w:ascii="Times New Roman" w:hAnsi="Times New Roman" w:cs="Times New Roman"/>
                <w:bCs/>
                <w:sz w:val="20"/>
                <w:szCs w:val="20"/>
              </w:rPr>
              <w:t xml:space="preserve"> </w:t>
            </w:r>
            <w:r w:rsidRPr="00F67491">
              <w:rPr>
                <w:rFonts w:ascii="Times New Roman" w:hAnsi="Times New Roman" w:cs="Times New Roman"/>
                <w:bCs/>
                <w:sz w:val="20"/>
                <w:szCs w:val="20"/>
              </w:rPr>
              <w:t>obejmowałoby przesuwanie obciążeń w czasie, które wpisuje się raczej w działanie na rzecz</w:t>
            </w:r>
            <w:r>
              <w:rPr>
                <w:rFonts w:ascii="Times New Roman" w:hAnsi="Times New Roman" w:cs="Times New Roman"/>
                <w:bCs/>
                <w:sz w:val="20"/>
                <w:szCs w:val="20"/>
              </w:rPr>
              <w:t xml:space="preserve"> </w:t>
            </w:r>
            <w:r w:rsidRPr="00F67491">
              <w:rPr>
                <w:rFonts w:ascii="Times New Roman" w:hAnsi="Times New Roman" w:cs="Times New Roman"/>
                <w:bCs/>
                <w:sz w:val="20"/>
                <w:szCs w:val="20"/>
              </w:rPr>
              <w:t>efektywności energetycznej czy też działanie w zakresie elastyczności. Ponadto przepis nie</w:t>
            </w:r>
            <w:r>
              <w:rPr>
                <w:rFonts w:ascii="Times New Roman" w:hAnsi="Times New Roman" w:cs="Times New Roman"/>
                <w:bCs/>
                <w:sz w:val="20"/>
                <w:szCs w:val="20"/>
              </w:rPr>
              <w:t xml:space="preserve"> </w:t>
            </w:r>
            <w:r w:rsidRPr="00F67491">
              <w:rPr>
                <w:rFonts w:ascii="Times New Roman" w:hAnsi="Times New Roman" w:cs="Times New Roman"/>
                <w:bCs/>
                <w:sz w:val="20"/>
                <w:szCs w:val="20"/>
              </w:rPr>
              <w:t>precyzuje także z pomocą lub za pośrednictwem jakich urządzeń proces powinien się odbywać</w:t>
            </w:r>
            <w:r>
              <w:rPr>
                <w:rFonts w:ascii="Times New Roman" w:hAnsi="Times New Roman" w:cs="Times New Roman"/>
                <w:bCs/>
                <w:sz w:val="20"/>
                <w:szCs w:val="20"/>
              </w:rPr>
              <w:t xml:space="preserve"> </w:t>
            </w:r>
            <w:r w:rsidRPr="00F67491">
              <w:rPr>
                <w:rFonts w:ascii="Times New Roman" w:hAnsi="Times New Roman" w:cs="Times New Roman"/>
                <w:bCs/>
                <w:sz w:val="20"/>
                <w:szCs w:val="20"/>
              </w:rPr>
              <w:t>(tj. czy np. ograniczenie zużycia energii sieciowej np. dzięki generacji w OZE będzie</w:t>
            </w:r>
            <w:r>
              <w:rPr>
                <w:rFonts w:ascii="Times New Roman" w:hAnsi="Times New Roman" w:cs="Times New Roman"/>
                <w:bCs/>
                <w:sz w:val="20"/>
                <w:szCs w:val="20"/>
              </w:rPr>
              <w:t xml:space="preserve"> </w:t>
            </w:r>
            <w:r w:rsidRPr="00F67491">
              <w:rPr>
                <w:rFonts w:ascii="Times New Roman" w:hAnsi="Times New Roman" w:cs="Times New Roman"/>
                <w:bCs/>
                <w:sz w:val="20"/>
                <w:szCs w:val="20"/>
              </w:rPr>
              <w:t xml:space="preserve">wystarczające czy wymaga fizycznego zmagazynowania energii). </w:t>
            </w:r>
          </w:p>
          <w:p w14:paraId="4D82FF53" w14:textId="77777777" w:rsidR="005C3DA1" w:rsidRDefault="005C3DA1" w:rsidP="00837FDF">
            <w:pPr>
              <w:jc w:val="both"/>
              <w:rPr>
                <w:rFonts w:ascii="Times New Roman" w:hAnsi="Times New Roman" w:cs="Times New Roman"/>
                <w:bCs/>
                <w:sz w:val="20"/>
                <w:szCs w:val="20"/>
              </w:rPr>
            </w:pPr>
          </w:p>
          <w:p w14:paraId="3589F42F" w14:textId="77777777" w:rsidR="005C3DA1" w:rsidRPr="00F67491" w:rsidRDefault="005C3DA1" w:rsidP="00837FDF">
            <w:pPr>
              <w:jc w:val="both"/>
              <w:rPr>
                <w:rFonts w:ascii="Times New Roman" w:hAnsi="Times New Roman" w:cs="Times New Roman"/>
                <w:bCs/>
                <w:sz w:val="20"/>
                <w:szCs w:val="20"/>
              </w:rPr>
            </w:pPr>
            <w:r w:rsidRPr="00F67491">
              <w:rPr>
                <w:rFonts w:ascii="Times New Roman" w:hAnsi="Times New Roman" w:cs="Times New Roman"/>
                <w:bCs/>
                <w:sz w:val="20"/>
                <w:szCs w:val="20"/>
              </w:rPr>
              <w:t>Przywołana definicja pojęcia</w:t>
            </w:r>
          </w:p>
          <w:p w14:paraId="08699189" w14:textId="77777777" w:rsidR="005C3DA1" w:rsidRPr="00F67491" w:rsidRDefault="005C3DA1" w:rsidP="00837FDF">
            <w:pPr>
              <w:jc w:val="both"/>
              <w:rPr>
                <w:rFonts w:ascii="Times New Roman" w:hAnsi="Times New Roman" w:cs="Times New Roman"/>
                <w:bCs/>
                <w:sz w:val="20"/>
                <w:szCs w:val="20"/>
              </w:rPr>
            </w:pPr>
            <w:r w:rsidRPr="00F67491">
              <w:rPr>
                <w:rFonts w:ascii="Times New Roman" w:hAnsi="Times New Roman" w:cs="Times New Roman"/>
                <w:bCs/>
                <w:sz w:val="20"/>
                <w:szCs w:val="20"/>
              </w:rPr>
              <w:t>„magazynowanie energii elektrycznej” implikuje wykorzystanie energii z sieci</w:t>
            </w:r>
            <w:r>
              <w:rPr>
                <w:rFonts w:ascii="Times New Roman" w:hAnsi="Times New Roman" w:cs="Times New Roman"/>
                <w:bCs/>
                <w:sz w:val="20"/>
                <w:szCs w:val="20"/>
              </w:rPr>
              <w:t xml:space="preserve"> </w:t>
            </w:r>
            <w:r w:rsidRPr="00F67491">
              <w:rPr>
                <w:rFonts w:ascii="Times New Roman" w:hAnsi="Times New Roman" w:cs="Times New Roman"/>
                <w:bCs/>
                <w:sz w:val="20"/>
                <w:szCs w:val="20"/>
              </w:rPr>
              <w:t>elektroenergetycznej. Nie odnosi się zaś do sytuacji, w której magazyn energii nie współpracuje</w:t>
            </w:r>
            <w:r>
              <w:rPr>
                <w:rFonts w:ascii="Times New Roman" w:hAnsi="Times New Roman" w:cs="Times New Roman"/>
                <w:bCs/>
                <w:sz w:val="20"/>
                <w:szCs w:val="20"/>
              </w:rPr>
              <w:t xml:space="preserve"> </w:t>
            </w:r>
            <w:r w:rsidRPr="00F67491">
              <w:rPr>
                <w:rFonts w:ascii="Times New Roman" w:hAnsi="Times New Roman" w:cs="Times New Roman"/>
                <w:bCs/>
                <w:sz w:val="20"/>
                <w:szCs w:val="20"/>
              </w:rPr>
              <w:t>z siecią elektroenergetyczną, a tylko jest przyłączony do instalacji odbiorcy końcowego i służy</w:t>
            </w:r>
            <w:r>
              <w:rPr>
                <w:rFonts w:ascii="Times New Roman" w:hAnsi="Times New Roman" w:cs="Times New Roman"/>
                <w:bCs/>
                <w:sz w:val="20"/>
                <w:szCs w:val="20"/>
              </w:rPr>
              <w:t xml:space="preserve"> </w:t>
            </w:r>
            <w:r w:rsidRPr="00F67491">
              <w:rPr>
                <w:rFonts w:ascii="Times New Roman" w:hAnsi="Times New Roman" w:cs="Times New Roman"/>
                <w:bCs/>
                <w:sz w:val="20"/>
                <w:szCs w:val="20"/>
              </w:rPr>
              <w:t>do magazynowania energii z instalacji OZE typu off-</w:t>
            </w:r>
            <w:proofErr w:type="spellStart"/>
            <w:r w:rsidRPr="00F67491">
              <w:rPr>
                <w:rFonts w:ascii="Times New Roman" w:hAnsi="Times New Roman" w:cs="Times New Roman"/>
                <w:bCs/>
                <w:sz w:val="20"/>
                <w:szCs w:val="20"/>
              </w:rPr>
              <w:t>grid</w:t>
            </w:r>
            <w:proofErr w:type="spellEnd"/>
            <w:r w:rsidRPr="00F67491">
              <w:rPr>
                <w:rFonts w:ascii="Times New Roman" w:hAnsi="Times New Roman" w:cs="Times New Roman"/>
                <w:bCs/>
                <w:sz w:val="20"/>
                <w:szCs w:val="20"/>
              </w:rPr>
              <w:t xml:space="preserve">. W związku z </w:t>
            </w:r>
            <w:r w:rsidRPr="00F67491">
              <w:rPr>
                <w:rFonts w:ascii="Times New Roman" w:hAnsi="Times New Roman" w:cs="Times New Roman"/>
                <w:bCs/>
                <w:sz w:val="20"/>
                <w:szCs w:val="20"/>
              </w:rPr>
              <w:lastRenderedPageBreak/>
              <w:t>powyższym, w opinii</w:t>
            </w:r>
            <w:r>
              <w:rPr>
                <w:rFonts w:ascii="Times New Roman" w:hAnsi="Times New Roman" w:cs="Times New Roman"/>
                <w:bCs/>
                <w:sz w:val="20"/>
                <w:szCs w:val="20"/>
              </w:rPr>
              <w:t xml:space="preserve"> </w:t>
            </w:r>
            <w:proofErr w:type="spellStart"/>
            <w:r w:rsidRPr="00F67491">
              <w:rPr>
                <w:rFonts w:ascii="Times New Roman" w:hAnsi="Times New Roman" w:cs="Times New Roman"/>
                <w:bCs/>
                <w:sz w:val="20"/>
                <w:szCs w:val="20"/>
              </w:rPr>
              <w:t>MRiT</w:t>
            </w:r>
            <w:proofErr w:type="spellEnd"/>
            <w:r w:rsidRPr="00F67491">
              <w:rPr>
                <w:rFonts w:ascii="Times New Roman" w:hAnsi="Times New Roman" w:cs="Times New Roman"/>
                <w:bCs/>
                <w:sz w:val="20"/>
                <w:szCs w:val="20"/>
              </w:rPr>
              <w:t>, zaproponowana definicja wymaga doprecyzowania i uzupełnienia.</w:t>
            </w:r>
          </w:p>
        </w:tc>
        <w:tc>
          <w:tcPr>
            <w:tcW w:w="3367" w:type="dxa"/>
          </w:tcPr>
          <w:p w14:paraId="5500DBCE" w14:textId="77777777" w:rsidR="005C3DA1" w:rsidRPr="00FA044A" w:rsidRDefault="005C3DA1" w:rsidP="00837FDF">
            <w:pPr>
              <w:jc w:val="center"/>
              <w:rPr>
                <w:rFonts w:ascii="Times New Roman" w:hAnsi="Times New Roman" w:cs="Times New Roman"/>
                <w:b/>
                <w:sz w:val="20"/>
                <w:szCs w:val="20"/>
              </w:rPr>
            </w:pPr>
            <w:r w:rsidRPr="00FA044A">
              <w:rPr>
                <w:rFonts w:ascii="Times New Roman" w:hAnsi="Times New Roman" w:cs="Times New Roman"/>
                <w:b/>
                <w:sz w:val="20"/>
                <w:szCs w:val="20"/>
              </w:rPr>
              <w:lastRenderedPageBreak/>
              <w:t xml:space="preserve">Uwaga </w:t>
            </w:r>
            <w:r>
              <w:rPr>
                <w:rFonts w:ascii="Times New Roman" w:hAnsi="Times New Roman" w:cs="Times New Roman"/>
                <w:b/>
                <w:sz w:val="20"/>
                <w:szCs w:val="20"/>
              </w:rPr>
              <w:t>nieuwzględniona</w:t>
            </w:r>
          </w:p>
          <w:p w14:paraId="1CFD6007" w14:textId="77777777" w:rsidR="005C3DA1" w:rsidRDefault="005C3DA1" w:rsidP="00837FDF">
            <w:pPr>
              <w:jc w:val="both"/>
              <w:rPr>
                <w:rFonts w:ascii="Times New Roman" w:hAnsi="Times New Roman" w:cs="Times New Roman"/>
                <w:bCs/>
                <w:sz w:val="20"/>
                <w:szCs w:val="20"/>
              </w:rPr>
            </w:pPr>
          </w:p>
          <w:p w14:paraId="3F59BF7D" w14:textId="77777777" w:rsidR="005C3DA1" w:rsidRPr="00FA044A" w:rsidRDefault="005C3DA1" w:rsidP="00837FDF">
            <w:pPr>
              <w:jc w:val="both"/>
              <w:rPr>
                <w:rFonts w:ascii="Times New Roman" w:hAnsi="Times New Roman" w:cs="Times New Roman"/>
                <w:bCs/>
                <w:sz w:val="20"/>
                <w:szCs w:val="20"/>
              </w:rPr>
            </w:pPr>
            <w:r>
              <w:rPr>
                <w:rFonts w:ascii="Times New Roman" w:hAnsi="Times New Roman" w:cs="Times New Roman"/>
                <w:bCs/>
                <w:sz w:val="20"/>
                <w:szCs w:val="20"/>
              </w:rPr>
              <w:t>Zawarta w projekcie definicja</w:t>
            </w:r>
            <w:r w:rsidRPr="00FA044A">
              <w:rPr>
                <w:rFonts w:ascii="Times New Roman" w:hAnsi="Times New Roman" w:cs="Times New Roman"/>
                <w:bCs/>
                <w:sz w:val="20"/>
                <w:szCs w:val="20"/>
              </w:rPr>
              <w:t xml:space="preserve"> opisuje proces techniczny (fizyczny)</w:t>
            </w:r>
            <w:r>
              <w:rPr>
                <w:rFonts w:ascii="Times New Roman" w:hAnsi="Times New Roman" w:cs="Times New Roman"/>
                <w:bCs/>
                <w:sz w:val="20"/>
                <w:szCs w:val="20"/>
              </w:rPr>
              <w:t xml:space="preserve">, zgodnie z </w:t>
            </w:r>
            <w:r w:rsidRPr="00FA044A">
              <w:rPr>
                <w:rFonts w:ascii="Times New Roman" w:hAnsi="Times New Roman" w:cs="Times New Roman"/>
                <w:bCs/>
                <w:sz w:val="20"/>
                <w:szCs w:val="20"/>
              </w:rPr>
              <w:t>dyrektyw</w:t>
            </w:r>
            <w:r>
              <w:rPr>
                <w:rFonts w:ascii="Times New Roman" w:hAnsi="Times New Roman" w:cs="Times New Roman"/>
                <w:bCs/>
                <w:sz w:val="20"/>
                <w:szCs w:val="20"/>
              </w:rPr>
              <w:t>ą</w:t>
            </w:r>
            <w:r w:rsidRPr="00FA044A">
              <w:rPr>
                <w:rFonts w:ascii="Times New Roman" w:hAnsi="Times New Roman" w:cs="Times New Roman"/>
                <w:bCs/>
                <w:sz w:val="20"/>
                <w:szCs w:val="20"/>
              </w:rPr>
              <w:t xml:space="preserve"> 944/2019 – i nie powinna dotyczyć sposobu</w:t>
            </w:r>
            <w:r>
              <w:rPr>
                <w:rFonts w:ascii="Times New Roman" w:hAnsi="Times New Roman" w:cs="Times New Roman"/>
                <w:bCs/>
                <w:sz w:val="20"/>
                <w:szCs w:val="20"/>
              </w:rPr>
              <w:t xml:space="preserve"> </w:t>
            </w:r>
            <w:r w:rsidRPr="00FA044A">
              <w:rPr>
                <w:rFonts w:ascii="Times New Roman" w:hAnsi="Times New Roman" w:cs="Times New Roman"/>
                <w:bCs/>
                <w:sz w:val="20"/>
                <w:szCs w:val="20"/>
              </w:rPr>
              <w:t>wykorzystania (np. redukcji, która jest ujęta od strony zachowań podmiotu).</w:t>
            </w:r>
            <w:r>
              <w:rPr>
                <w:rFonts w:ascii="Times New Roman" w:hAnsi="Times New Roman" w:cs="Times New Roman"/>
                <w:bCs/>
                <w:sz w:val="20"/>
                <w:szCs w:val="20"/>
              </w:rPr>
              <w:t xml:space="preserve"> </w:t>
            </w:r>
            <w:r w:rsidRPr="00FA044A">
              <w:rPr>
                <w:rFonts w:ascii="Times New Roman" w:hAnsi="Times New Roman" w:cs="Times New Roman"/>
                <w:bCs/>
                <w:sz w:val="20"/>
                <w:szCs w:val="20"/>
              </w:rPr>
              <w:t>Redukcja końcowego zużycia odbiorcy jest już zdefiniowana jako „odpowiedź odbioru” (art. 3 pkt 11j)</w:t>
            </w:r>
            <w:r>
              <w:rPr>
                <w:rFonts w:ascii="Times New Roman" w:hAnsi="Times New Roman" w:cs="Times New Roman"/>
                <w:bCs/>
                <w:sz w:val="20"/>
                <w:szCs w:val="20"/>
              </w:rPr>
              <w:t>.</w:t>
            </w:r>
          </w:p>
          <w:p w14:paraId="7113FB2B" w14:textId="77777777" w:rsidR="005C3DA1" w:rsidRPr="00FA044A" w:rsidRDefault="005C3DA1" w:rsidP="00837FDF">
            <w:pPr>
              <w:jc w:val="both"/>
              <w:rPr>
                <w:rFonts w:ascii="Times New Roman" w:hAnsi="Times New Roman" w:cs="Times New Roman"/>
                <w:bCs/>
                <w:sz w:val="20"/>
                <w:szCs w:val="20"/>
              </w:rPr>
            </w:pPr>
          </w:p>
          <w:p w14:paraId="26979BE1" w14:textId="77777777" w:rsidR="005C3DA1" w:rsidRPr="00FA044A" w:rsidRDefault="005C3DA1" w:rsidP="00837FDF">
            <w:pPr>
              <w:jc w:val="both"/>
              <w:rPr>
                <w:rFonts w:ascii="Times New Roman" w:hAnsi="Times New Roman" w:cs="Times New Roman"/>
                <w:bCs/>
                <w:sz w:val="20"/>
                <w:szCs w:val="20"/>
              </w:rPr>
            </w:pPr>
            <w:r w:rsidRPr="00FA044A">
              <w:rPr>
                <w:rFonts w:ascii="Times New Roman" w:hAnsi="Times New Roman" w:cs="Times New Roman"/>
                <w:bCs/>
                <w:sz w:val="20"/>
                <w:szCs w:val="20"/>
              </w:rPr>
              <w:t>Definicja odsyła do „magazynu energii elektrycznej” co jest odesłaniem zapętlonym, bo definicja magazynu energii elektrycznej odsyła do magazynowania energii elektrycznej.</w:t>
            </w:r>
            <w:r>
              <w:rPr>
                <w:rFonts w:ascii="Times New Roman" w:hAnsi="Times New Roman" w:cs="Times New Roman"/>
                <w:bCs/>
                <w:sz w:val="20"/>
                <w:szCs w:val="20"/>
              </w:rPr>
              <w:t xml:space="preserve"> </w:t>
            </w:r>
            <w:r w:rsidRPr="00FA044A">
              <w:rPr>
                <w:rFonts w:ascii="Times New Roman" w:hAnsi="Times New Roman" w:cs="Times New Roman"/>
                <w:bCs/>
                <w:sz w:val="20"/>
                <w:szCs w:val="20"/>
              </w:rPr>
              <w:t>„Odroczenie” końcowego zużycia w stosunku do momentu jej wytworzenia może mieć dwie techniczne realizacje:</w:t>
            </w:r>
          </w:p>
          <w:p w14:paraId="2143D8F0" w14:textId="77777777" w:rsidR="005C3DA1" w:rsidRPr="00FA044A" w:rsidRDefault="005C3DA1" w:rsidP="00837FDF">
            <w:pPr>
              <w:jc w:val="both"/>
              <w:rPr>
                <w:rFonts w:ascii="Times New Roman" w:hAnsi="Times New Roman" w:cs="Times New Roman"/>
                <w:bCs/>
                <w:sz w:val="20"/>
                <w:szCs w:val="20"/>
              </w:rPr>
            </w:pPr>
            <w:r w:rsidRPr="00FA044A">
              <w:rPr>
                <w:rFonts w:ascii="Times New Roman" w:hAnsi="Times New Roman" w:cs="Times New Roman"/>
                <w:bCs/>
                <w:sz w:val="20"/>
                <w:szCs w:val="20"/>
              </w:rPr>
              <w:t xml:space="preserve">a)     </w:t>
            </w:r>
            <w:r>
              <w:rPr>
                <w:rFonts w:ascii="Times New Roman" w:hAnsi="Times New Roman" w:cs="Times New Roman"/>
                <w:bCs/>
                <w:sz w:val="20"/>
                <w:szCs w:val="20"/>
              </w:rPr>
              <w:t>c</w:t>
            </w:r>
            <w:r w:rsidRPr="00FA044A">
              <w:rPr>
                <w:rFonts w:ascii="Times New Roman" w:hAnsi="Times New Roman" w:cs="Times New Roman"/>
                <w:bCs/>
                <w:sz w:val="20"/>
                <w:szCs w:val="20"/>
              </w:rPr>
              <w:t xml:space="preserve">zasowe przechowanie energii elektrycznej przez urządzenie (np. </w:t>
            </w:r>
            <w:proofErr w:type="spellStart"/>
            <w:r w:rsidRPr="00FA044A">
              <w:rPr>
                <w:rFonts w:ascii="Times New Roman" w:hAnsi="Times New Roman" w:cs="Times New Roman"/>
                <w:bCs/>
                <w:sz w:val="20"/>
                <w:szCs w:val="20"/>
              </w:rPr>
              <w:t>superkondensator</w:t>
            </w:r>
            <w:proofErr w:type="spellEnd"/>
            <w:r w:rsidRPr="00FA044A">
              <w:rPr>
                <w:rFonts w:ascii="Times New Roman" w:hAnsi="Times New Roman" w:cs="Times New Roman"/>
                <w:bCs/>
                <w:sz w:val="20"/>
                <w:szCs w:val="20"/>
              </w:rPr>
              <w:t>)</w:t>
            </w:r>
            <w:r>
              <w:rPr>
                <w:rFonts w:ascii="Times New Roman" w:hAnsi="Times New Roman" w:cs="Times New Roman"/>
                <w:bCs/>
                <w:sz w:val="20"/>
                <w:szCs w:val="20"/>
              </w:rPr>
              <w:t>,</w:t>
            </w:r>
            <w:r w:rsidRPr="00FA044A">
              <w:rPr>
                <w:rFonts w:ascii="Times New Roman" w:hAnsi="Times New Roman" w:cs="Times New Roman"/>
                <w:bCs/>
                <w:sz w:val="20"/>
                <w:szCs w:val="20"/>
              </w:rPr>
              <w:t xml:space="preserve"> a następnie jej </w:t>
            </w:r>
            <w:r w:rsidRPr="00FA044A">
              <w:rPr>
                <w:rFonts w:ascii="Times New Roman" w:hAnsi="Times New Roman" w:cs="Times New Roman"/>
                <w:bCs/>
                <w:sz w:val="20"/>
                <w:szCs w:val="20"/>
              </w:rPr>
              <w:lastRenderedPageBreak/>
              <w:t>końcowe zużycie (w późniejszym czasie)</w:t>
            </w:r>
            <w:r>
              <w:rPr>
                <w:rFonts w:ascii="Times New Roman" w:hAnsi="Times New Roman" w:cs="Times New Roman"/>
                <w:bCs/>
                <w:sz w:val="20"/>
                <w:szCs w:val="20"/>
              </w:rPr>
              <w:t>,</w:t>
            </w:r>
          </w:p>
          <w:p w14:paraId="42E62CA1" w14:textId="77777777" w:rsidR="005C3DA1" w:rsidRPr="00FA044A" w:rsidRDefault="005C3DA1" w:rsidP="00837FDF">
            <w:pPr>
              <w:jc w:val="both"/>
              <w:rPr>
                <w:rFonts w:ascii="Times New Roman" w:hAnsi="Times New Roman" w:cs="Times New Roman"/>
                <w:bCs/>
                <w:sz w:val="20"/>
                <w:szCs w:val="20"/>
              </w:rPr>
            </w:pPr>
            <w:r w:rsidRPr="00FA044A">
              <w:rPr>
                <w:rFonts w:ascii="Times New Roman" w:hAnsi="Times New Roman" w:cs="Times New Roman"/>
                <w:bCs/>
                <w:sz w:val="20"/>
                <w:szCs w:val="20"/>
              </w:rPr>
              <w:t xml:space="preserve">b)     </w:t>
            </w:r>
            <w:r>
              <w:rPr>
                <w:rFonts w:ascii="Times New Roman" w:hAnsi="Times New Roman" w:cs="Times New Roman"/>
                <w:bCs/>
                <w:sz w:val="20"/>
                <w:szCs w:val="20"/>
              </w:rPr>
              <w:t>c</w:t>
            </w:r>
            <w:r w:rsidRPr="00FA044A">
              <w:rPr>
                <w:rFonts w:ascii="Times New Roman" w:hAnsi="Times New Roman" w:cs="Times New Roman"/>
                <w:bCs/>
                <w:sz w:val="20"/>
                <w:szCs w:val="20"/>
              </w:rPr>
              <w:t xml:space="preserve">zasowe przychowanie energii elektrycznej wytworzonej np. przez </w:t>
            </w:r>
            <w:proofErr w:type="spellStart"/>
            <w:r w:rsidRPr="00FA044A">
              <w:rPr>
                <w:rFonts w:ascii="Times New Roman" w:hAnsi="Times New Roman" w:cs="Times New Roman"/>
                <w:bCs/>
                <w:sz w:val="20"/>
                <w:szCs w:val="20"/>
              </w:rPr>
              <w:t>mikroinstalację</w:t>
            </w:r>
            <w:proofErr w:type="spellEnd"/>
            <w:r w:rsidRPr="00FA044A">
              <w:rPr>
                <w:rFonts w:ascii="Times New Roman" w:hAnsi="Times New Roman" w:cs="Times New Roman"/>
                <w:bCs/>
                <w:sz w:val="20"/>
                <w:szCs w:val="20"/>
              </w:rPr>
              <w:t xml:space="preserve"> w urządzeniu (np. w akumulatorze )</w:t>
            </w:r>
            <w:r>
              <w:rPr>
                <w:rFonts w:ascii="Times New Roman" w:hAnsi="Times New Roman" w:cs="Times New Roman"/>
                <w:bCs/>
                <w:sz w:val="20"/>
                <w:szCs w:val="20"/>
              </w:rPr>
              <w:t>,</w:t>
            </w:r>
            <w:r w:rsidRPr="00FA044A">
              <w:rPr>
                <w:rFonts w:ascii="Times New Roman" w:hAnsi="Times New Roman" w:cs="Times New Roman"/>
                <w:bCs/>
                <w:sz w:val="20"/>
                <w:szCs w:val="20"/>
              </w:rPr>
              <w:t xml:space="preserve"> a następnie jej końcowe zużycie.</w:t>
            </w:r>
          </w:p>
          <w:p w14:paraId="134AF43B" w14:textId="77777777" w:rsidR="005C3DA1" w:rsidRPr="00FA044A" w:rsidRDefault="005C3DA1" w:rsidP="00837FDF">
            <w:pPr>
              <w:jc w:val="both"/>
              <w:rPr>
                <w:rFonts w:ascii="Times New Roman" w:hAnsi="Times New Roman" w:cs="Times New Roman"/>
                <w:bCs/>
                <w:sz w:val="20"/>
                <w:szCs w:val="20"/>
              </w:rPr>
            </w:pPr>
          </w:p>
          <w:p w14:paraId="3D8849CF" w14:textId="31CB2450" w:rsidR="005C3DA1" w:rsidRPr="00F67491" w:rsidRDefault="005C3DA1" w:rsidP="00837FDF">
            <w:pPr>
              <w:jc w:val="both"/>
              <w:rPr>
                <w:rFonts w:ascii="Times New Roman" w:hAnsi="Times New Roman" w:cs="Times New Roman"/>
                <w:bCs/>
                <w:sz w:val="20"/>
                <w:szCs w:val="20"/>
              </w:rPr>
            </w:pPr>
            <w:r w:rsidRPr="00FA044A">
              <w:rPr>
                <w:rFonts w:ascii="Times New Roman" w:hAnsi="Times New Roman" w:cs="Times New Roman"/>
                <w:bCs/>
                <w:sz w:val="20"/>
                <w:szCs w:val="20"/>
              </w:rPr>
              <w:t>Odnośnie uregulowania</w:t>
            </w:r>
            <w:r>
              <w:rPr>
                <w:rFonts w:ascii="Times New Roman" w:hAnsi="Times New Roman" w:cs="Times New Roman"/>
                <w:bCs/>
                <w:sz w:val="20"/>
                <w:szCs w:val="20"/>
              </w:rPr>
              <w:t xml:space="preserve"> </w:t>
            </w:r>
            <w:r w:rsidRPr="00FA044A">
              <w:rPr>
                <w:rFonts w:ascii="Times New Roman" w:hAnsi="Times New Roman" w:cs="Times New Roman"/>
                <w:bCs/>
                <w:sz w:val="20"/>
                <w:szCs w:val="20"/>
              </w:rPr>
              <w:t>sytuacji magazynu niewspółpracującego z siecią to zostało to objęte d</w:t>
            </w:r>
            <w:r>
              <w:rPr>
                <w:rFonts w:ascii="Times New Roman" w:hAnsi="Times New Roman" w:cs="Times New Roman"/>
                <w:bCs/>
                <w:sz w:val="20"/>
                <w:szCs w:val="20"/>
              </w:rPr>
              <w:t>e</w:t>
            </w:r>
            <w:r w:rsidRPr="00FA044A">
              <w:rPr>
                <w:rFonts w:ascii="Times New Roman" w:hAnsi="Times New Roman" w:cs="Times New Roman"/>
                <w:bCs/>
                <w:sz w:val="20"/>
                <w:szCs w:val="20"/>
              </w:rPr>
              <w:t>f</w:t>
            </w:r>
            <w:r w:rsidR="008D29DD">
              <w:rPr>
                <w:rFonts w:ascii="Times New Roman" w:hAnsi="Times New Roman" w:cs="Times New Roman"/>
                <w:bCs/>
                <w:sz w:val="20"/>
                <w:szCs w:val="20"/>
              </w:rPr>
              <w:t>inicją</w:t>
            </w:r>
            <w:r w:rsidRPr="00FA044A">
              <w:rPr>
                <w:rFonts w:ascii="Times New Roman" w:hAnsi="Times New Roman" w:cs="Times New Roman"/>
                <w:bCs/>
                <w:sz w:val="20"/>
                <w:szCs w:val="20"/>
              </w:rPr>
              <w:t xml:space="preserve"> magazynowania energii, gdzie mówi się wprost o możliwości wykorzystania </w:t>
            </w:r>
            <w:r>
              <w:rPr>
                <w:rFonts w:ascii="Times New Roman" w:hAnsi="Times New Roman" w:cs="Times New Roman"/>
                <w:bCs/>
                <w:sz w:val="20"/>
                <w:szCs w:val="20"/>
              </w:rPr>
              <w:t xml:space="preserve">energii elektrycznej </w:t>
            </w:r>
            <w:r w:rsidRPr="00FA044A">
              <w:rPr>
                <w:rFonts w:ascii="Times New Roman" w:hAnsi="Times New Roman" w:cs="Times New Roman"/>
                <w:bCs/>
                <w:sz w:val="20"/>
                <w:szCs w:val="20"/>
              </w:rPr>
              <w:t>w postaci innego nośnika energii nie zwróconej z powrotem do sieci elektroenergetycznej.</w:t>
            </w:r>
          </w:p>
        </w:tc>
      </w:tr>
      <w:tr w:rsidR="006111A6" w:rsidRPr="00906393" w14:paraId="4748FBD9" w14:textId="77777777" w:rsidTr="00FA044A">
        <w:tc>
          <w:tcPr>
            <w:tcW w:w="570" w:type="dxa"/>
          </w:tcPr>
          <w:p w14:paraId="04441670" w14:textId="4A0B394F" w:rsidR="006111A6" w:rsidRPr="00AE4B58" w:rsidRDefault="00F93C40" w:rsidP="00F93C40">
            <w:pPr>
              <w:jc w:val="center"/>
              <w:rPr>
                <w:rFonts w:ascii="Times New Roman" w:hAnsi="Times New Roman" w:cs="Times New Roman"/>
                <w:bCs/>
                <w:sz w:val="20"/>
                <w:szCs w:val="20"/>
              </w:rPr>
            </w:pPr>
            <w:r>
              <w:rPr>
                <w:rFonts w:ascii="Times New Roman" w:hAnsi="Times New Roman" w:cs="Times New Roman"/>
                <w:bCs/>
                <w:sz w:val="20"/>
                <w:szCs w:val="20"/>
              </w:rPr>
              <w:lastRenderedPageBreak/>
              <w:t>6</w:t>
            </w:r>
          </w:p>
        </w:tc>
        <w:tc>
          <w:tcPr>
            <w:tcW w:w="2119" w:type="dxa"/>
          </w:tcPr>
          <w:p w14:paraId="431D89DC" w14:textId="695B2F0E" w:rsidR="006111A6" w:rsidRPr="00906393" w:rsidRDefault="00906393" w:rsidP="00837FDF">
            <w:pPr>
              <w:jc w:val="center"/>
              <w:rPr>
                <w:rFonts w:ascii="Times New Roman" w:hAnsi="Times New Roman" w:cs="Times New Roman"/>
                <w:bCs/>
                <w:sz w:val="20"/>
                <w:szCs w:val="20"/>
              </w:rPr>
            </w:pPr>
            <w:r w:rsidRPr="00906393">
              <w:rPr>
                <w:rFonts w:ascii="Times New Roman" w:hAnsi="Times New Roman" w:cs="Times New Roman"/>
                <w:bCs/>
                <w:sz w:val="20"/>
                <w:szCs w:val="20"/>
              </w:rPr>
              <w:t>Minister Rozwoju i Technologii</w:t>
            </w:r>
          </w:p>
        </w:tc>
        <w:tc>
          <w:tcPr>
            <w:tcW w:w="1984" w:type="dxa"/>
          </w:tcPr>
          <w:p w14:paraId="15361A88" w14:textId="5EC5F30A" w:rsidR="006111A6" w:rsidRPr="00AE4B58" w:rsidRDefault="00AE4B58" w:rsidP="00837FDF">
            <w:pPr>
              <w:jc w:val="center"/>
              <w:rPr>
                <w:rFonts w:ascii="Times New Roman" w:hAnsi="Times New Roman" w:cs="Times New Roman"/>
                <w:bCs/>
                <w:sz w:val="20"/>
                <w:szCs w:val="20"/>
              </w:rPr>
            </w:pPr>
            <w:r w:rsidRPr="00AE4B58">
              <w:rPr>
                <w:rFonts w:ascii="Times New Roman" w:hAnsi="Times New Roman" w:cs="Times New Roman"/>
                <w:bCs/>
                <w:sz w:val="20"/>
                <w:szCs w:val="20"/>
              </w:rPr>
              <w:t>Art. 1 pkt 43 projektu ustawy –</w:t>
            </w:r>
          </w:p>
          <w:p w14:paraId="5F3EA3D6" w14:textId="5CD6B99C" w:rsidR="00AE4B58" w:rsidRPr="00906393" w:rsidRDefault="00AE4B58" w:rsidP="00837FDF">
            <w:pPr>
              <w:jc w:val="center"/>
              <w:rPr>
                <w:rFonts w:ascii="Times New Roman" w:hAnsi="Times New Roman" w:cs="Times New Roman"/>
                <w:b/>
                <w:sz w:val="20"/>
                <w:szCs w:val="20"/>
              </w:rPr>
            </w:pPr>
            <w:r w:rsidRPr="00AE4B58">
              <w:rPr>
                <w:rFonts w:ascii="Times New Roman" w:hAnsi="Times New Roman" w:cs="Times New Roman"/>
                <w:bCs/>
                <w:sz w:val="20"/>
                <w:szCs w:val="20"/>
              </w:rPr>
              <w:t>w zakresie dodawanego art. 24d ustawy – Prawo energetyczne</w:t>
            </w:r>
          </w:p>
        </w:tc>
        <w:tc>
          <w:tcPr>
            <w:tcW w:w="5954" w:type="dxa"/>
          </w:tcPr>
          <w:p w14:paraId="149491DA" w14:textId="43979E5B" w:rsidR="006111A6" w:rsidRPr="00906393" w:rsidRDefault="00906393" w:rsidP="00906393">
            <w:pPr>
              <w:jc w:val="both"/>
              <w:rPr>
                <w:rFonts w:ascii="Times New Roman" w:hAnsi="Times New Roman" w:cs="Times New Roman"/>
                <w:bCs/>
                <w:sz w:val="20"/>
                <w:szCs w:val="20"/>
              </w:rPr>
            </w:pPr>
            <w:r w:rsidRPr="00906393">
              <w:rPr>
                <w:rFonts w:ascii="Times New Roman" w:hAnsi="Times New Roman" w:cs="Times New Roman"/>
                <w:bCs/>
                <w:sz w:val="20"/>
                <w:szCs w:val="20"/>
              </w:rPr>
              <w:t xml:space="preserve">Ponadto w odniesieniu do propozycji legislacyjnych w zakresie tzw. piaskownic regulacyjnych, </w:t>
            </w:r>
            <w:proofErr w:type="spellStart"/>
            <w:r w:rsidRPr="00906393">
              <w:rPr>
                <w:rFonts w:ascii="Times New Roman" w:hAnsi="Times New Roman" w:cs="Times New Roman"/>
                <w:bCs/>
                <w:sz w:val="20"/>
                <w:szCs w:val="20"/>
              </w:rPr>
              <w:t>MRiT</w:t>
            </w:r>
            <w:proofErr w:type="spellEnd"/>
            <w:r w:rsidRPr="00906393">
              <w:rPr>
                <w:rFonts w:ascii="Times New Roman" w:hAnsi="Times New Roman" w:cs="Times New Roman"/>
                <w:bCs/>
                <w:sz w:val="20"/>
                <w:szCs w:val="20"/>
              </w:rPr>
              <w:t xml:space="preserve"> przedstawiło w załączonej tabeli dodatkową argumentację na rzecz wykorzystania niektórych szczegółowych rozwiązań wypracowanych i uzgodnionych w ramach projektu </w:t>
            </w:r>
            <w:proofErr w:type="spellStart"/>
            <w:r w:rsidRPr="00906393">
              <w:rPr>
                <w:rFonts w:ascii="Times New Roman" w:hAnsi="Times New Roman" w:cs="Times New Roman"/>
                <w:bCs/>
                <w:sz w:val="20"/>
                <w:szCs w:val="20"/>
              </w:rPr>
              <w:t>KlastER</w:t>
            </w:r>
            <w:proofErr w:type="spellEnd"/>
            <w:r w:rsidRPr="00906393">
              <w:rPr>
                <w:rFonts w:ascii="Times New Roman" w:hAnsi="Times New Roman" w:cs="Times New Roman"/>
                <w:bCs/>
                <w:sz w:val="20"/>
                <w:szCs w:val="20"/>
              </w:rPr>
              <w:t xml:space="preserve"> mających na celu zwiększenie transparentności i obiektywności oraz eliminację uznaniowości niektórych proponowanych przepisów ocenianego projektu. W załączonej tabeli znalazły się również odniesienia do innych kwestii poruszanych przez </w:t>
            </w:r>
            <w:proofErr w:type="spellStart"/>
            <w:r w:rsidRPr="00906393">
              <w:rPr>
                <w:rFonts w:ascii="Times New Roman" w:hAnsi="Times New Roman" w:cs="Times New Roman"/>
                <w:bCs/>
                <w:sz w:val="20"/>
                <w:szCs w:val="20"/>
              </w:rPr>
              <w:t>MRiT</w:t>
            </w:r>
            <w:proofErr w:type="spellEnd"/>
            <w:r w:rsidRPr="00906393">
              <w:rPr>
                <w:rFonts w:ascii="Times New Roman" w:hAnsi="Times New Roman" w:cs="Times New Roman"/>
                <w:bCs/>
                <w:sz w:val="20"/>
                <w:szCs w:val="20"/>
              </w:rPr>
              <w:t xml:space="preserve"> na poprzednim etapie uzgodnień międzyresortowych:</w:t>
            </w:r>
          </w:p>
          <w:p w14:paraId="2AA2EE83" w14:textId="47A4EF2E" w:rsidR="00906393" w:rsidRPr="00906393" w:rsidRDefault="00906393" w:rsidP="00906393">
            <w:pPr>
              <w:jc w:val="both"/>
              <w:rPr>
                <w:rFonts w:ascii="Times New Roman" w:hAnsi="Times New Roman" w:cs="Times New Roman"/>
                <w:bCs/>
                <w:sz w:val="20"/>
                <w:szCs w:val="20"/>
              </w:rPr>
            </w:pPr>
          </w:p>
          <w:p w14:paraId="7E8C10E8" w14:textId="0C507F1E" w:rsidR="00906393" w:rsidRPr="00F67491" w:rsidRDefault="00906393" w:rsidP="00906393">
            <w:pPr>
              <w:jc w:val="both"/>
              <w:rPr>
                <w:rFonts w:ascii="Times New Roman" w:hAnsi="Times New Roman" w:cs="Times New Roman"/>
                <w:b/>
                <w:sz w:val="20"/>
                <w:szCs w:val="20"/>
              </w:rPr>
            </w:pPr>
            <w:r w:rsidRPr="00F67491">
              <w:rPr>
                <w:rFonts w:ascii="Times New Roman" w:hAnsi="Times New Roman" w:cs="Times New Roman"/>
                <w:b/>
                <w:sz w:val="20"/>
                <w:szCs w:val="20"/>
              </w:rPr>
              <w:t>Dodatkowa argumentacja:</w:t>
            </w:r>
          </w:p>
          <w:p w14:paraId="0729492A" w14:textId="0DE67249" w:rsidR="00906393" w:rsidRPr="00906393" w:rsidRDefault="00906393" w:rsidP="00906393">
            <w:pPr>
              <w:jc w:val="both"/>
              <w:rPr>
                <w:rFonts w:ascii="Times New Roman" w:hAnsi="Times New Roman" w:cs="Times New Roman"/>
                <w:bCs/>
                <w:sz w:val="20"/>
                <w:szCs w:val="20"/>
              </w:rPr>
            </w:pPr>
            <w:r w:rsidRPr="00906393">
              <w:rPr>
                <w:rFonts w:ascii="Times New Roman" w:hAnsi="Times New Roman" w:cs="Times New Roman"/>
                <w:bCs/>
                <w:sz w:val="20"/>
                <w:szCs w:val="20"/>
              </w:rPr>
              <w:t xml:space="preserve">Rozwiązania w zakresie piaskownic regulacyjnych wypracowane w ramach projektu </w:t>
            </w:r>
            <w:proofErr w:type="spellStart"/>
            <w:r w:rsidRPr="00906393">
              <w:rPr>
                <w:rFonts w:ascii="Times New Roman" w:hAnsi="Times New Roman" w:cs="Times New Roman"/>
                <w:bCs/>
                <w:sz w:val="20"/>
                <w:szCs w:val="20"/>
              </w:rPr>
              <w:t>Gospostrateg</w:t>
            </w:r>
            <w:proofErr w:type="spellEnd"/>
            <w:r w:rsidRPr="00906393">
              <w:rPr>
                <w:rFonts w:ascii="Times New Roman" w:hAnsi="Times New Roman" w:cs="Times New Roman"/>
                <w:bCs/>
                <w:sz w:val="20"/>
                <w:szCs w:val="20"/>
              </w:rPr>
              <w:t xml:space="preserve"> nie są dedykowane dla klastrów energii i dopuszczają  szerszy udział podmiotowy niż wynika to z projektu przedstawionego przez MKIS. Propozycje wypracowane w ramach projektu </w:t>
            </w:r>
            <w:proofErr w:type="spellStart"/>
            <w:r w:rsidRPr="00906393">
              <w:rPr>
                <w:rFonts w:ascii="Times New Roman" w:hAnsi="Times New Roman" w:cs="Times New Roman"/>
                <w:bCs/>
                <w:sz w:val="20"/>
                <w:szCs w:val="20"/>
              </w:rPr>
              <w:t>Gospostrateg</w:t>
            </w:r>
            <w:proofErr w:type="spellEnd"/>
            <w:r w:rsidRPr="00906393">
              <w:rPr>
                <w:rFonts w:ascii="Times New Roman" w:hAnsi="Times New Roman" w:cs="Times New Roman"/>
                <w:bCs/>
                <w:sz w:val="20"/>
                <w:szCs w:val="20"/>
              </w:rPr>
              <w:t xml:space="preserve"> dzięki większemu stopniowi szczegółowości w naszej opinii mogą służyć przyspieszeniu tworzenia i realizacji oraz ewaluacji i docelowego wprowadzania do przepisów prawa wypracowanych w ramach odstępstw regulacyjnych innowacyjnych rozwiązań. Jednocześnie nie negujemy możliwości pewnego uproszczenia tych propozycji.</w:t>
            </w:r>
          </w:p>
          <w:p w14:paraId="3FCC7A30" w14:textId="4F08053B" w:rsidR="00906393" w:rsidRDefault="00906393" w:rsidP="00906393">
            <w:pPr>
              <w:jc w:val="both"/>
              <w:rPr>
                <w:rFonts w:ascii="Times New Roman" w:hAnsi="Times New Roman" w:cs="Times New Roman"/>
                <w:bCs/>
                <w:sz w:val="20"/>
                <w:szCs w:val="20"/>
              </w:rPr>
            </w:pPr>
          </w:p>
          <w:p w14:paraId="1D855AA5" w14:textId="77777777" w:rsidR="00F67491" w:rsidRPr="00F67491" w:rsidRDefault="00F67491" w:rsidP="00F67491">
            <w:pPr>
              <w:jc w:val="both"/>
              <w:rPr>
                <w:rFonts w:ascii="Times New Roman" w:hAnsi="Times New Roman" w:cs="Times New Roman"/>
                <w:bCs/>
                <w:sz w:val="20"/>
                <w:szCs w:val="20"/>
              </w:rPr>
            </w:pPr>
            <w:proofErr w:type="spellStart"/>
            <w:r w:rsidRPr="00F67491">
              <w:rPr>
                <w:rFonts w:ascii="Times New Roman" w:hAnsi="Times New Roman" w:cs="Times New Roman"/>
                <w:bCs/>
                <w:sz w:val="20"/>
                <w:szCs w:val="20"/>
              </w:rPr>
              <w:lastRenderedPageBreak/>
              <w:t>MRiT</w:t>
            </w:r>
            <w:proofErr w:type="spellEnd"/>
            <w:r w:rsidRPr="00F67491">
              <w:rPr>
                <w:rFonts w:ascii="Times New Roman" w:hAnsi="Times New Roman" w:cs="Times New Roman"/>
                <w:bCs/>
                <w:sz w:val="20"/>
                <w:szCs w:val="20"/>
              </w:rPr>
              <w:t xml:space="preserve"> dokonało przeglądu obu projektów w zakresie piaskownic regulacyjnych czego rezultatem są  następujące rekomendacje, mające na celu przyjęcie rozwiązań optymalnych m.in. pod kątem zwiększenia transparentności i obiektywności oraz eliminacji uznaniowości wynikającej z niektórych zapisów opiniowanego projektu, a także zwiększenia możliwego zakresu odstępstw:</w:t>
            </w:r>
          </w:p>
          <w:p w14:paraId="1FF31E12" w14:textId="77777777" w:rsidR="00F67491" w:rsidRPr="00F67491" w:rsidRDefault="00F67491" w:rsidP="00F67491">
            <w:pPr>
              <w:jc w:val="both"/>
              <w:rPr>
                <w:rFonts w:ascii="Times New Roman" w:hAnsi="Times New Roman" w:cs="Times New Roman"/>
                <w:bCs/>
                <w:sz w:val="20"/>
                <w:szCs w:val="20"/>
              </w:rPr>
            </w:pPr>
          </w:p>
          <w:p w14:paraId="4CD55FDF"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1.       </w:t>
            </w:r>
            <w:proofErr w:type="spellStart"/>
            <w:r w:rsidRPr="00F67491">
              <w:rPr>
                <w:rFonts w:ascii="Times New Roman" w:hAnsi="Times New Roman" w:cs="Times New Roman"/>
                <w:bCs/>
                <w:sz w:val="20"/>
                <w:szCs w:val="20"/>
              </w:rPr>
              <w:t>MRiT</w:t>
            </w:r>
            <w:proofErr w:type="spellEnd"/>
            <w:r w:rsidRPr="00F67491">
              <w:rPr>
                <w:rFonts w:ascii="Times New Roman" w:hAnsi="Times New Roman" w:cs="Times New Roman"/>
                <w:bCs/>
                <w:sz w:val="20"/>
                <w:szCs w:val="20"/>
              </w:rPr>
              <w:t xml:space="preserve"> proponuje poszerzenie proponowanego katalogu podmiotów uprawnionych do realizacji  odstępstwa regulacyjnego o osoby fizyczne, podmioty, o których mowa Prawo o szkolnictwie wyższym i nauce, jednostki samorządu terytorialnego lub klastry energii. Ponadto warto zauważyć, że wspólnik spółki zawiera się w pojęciu przedsiębiorcy. W projekcie przepisów wypracowanym w projekcie </w:t>
            </w:r>
            <w:proofErr w:type="spellStart"/>
            <w:r w:rsidRPr="00F67491">
              <w:rPr>
                <w:rFonts w:ascii="Times New Roman" w:hAnsi="Times New Roman" w:cs="Times New Roman"/>
                <w:bCs/>
                <w:sz w:val="20"/>
                <w:szCs w:val="20"/>
              </w:rPr>
              <w:t>KlastER</w:t>
            </w:r>
            <w:proofErr w:type="spellEnd"/>
            <w:r w:rsidRPr="00F67491">
              <w:rPr>
                <w:rFonts w:ascii="Times New Roman" w:hAnsi="Times New Roman" w:cs="Times New Roman"/>
                <w:bCs/>
                <w:sz w:val="20"/>
                <w:szCs w:val="20"/>
              </w:rPr>
              <w:t xml:space="preserve"> (art. 43aaa ust 7 i 8) przewidziano możliwość uczestnictwa OSD i OSP w realizacji przedsięwzięcia w ramach energetycznego porozumienia badawczego. Opiniowany projekt nie precyzuje tej kwestii.</w:t>
            </w:r>
          </w:p>
          <w:p w14:paraId="30CBC4DB" w14:textId="77777777" w:rsidR="00F67491" w:rsidRPr="00F67491" w:rsidRDefault="00F67491" w:rsidP="00F67491">
            <w:pPr>
              <w:jc w:val="both"/>
              <w:rPr>
                <w:rFonts w:ascii="Times New Roman" w:hAnsi="Times New Roman" w:cs="Times New Roman"/>
                <w:bCs/>
                <w:sz w:val="20"/>
                <w:szCs w:val="20"/>
              </w:rPr>
            </w:pPr>
          </w:p>
          <w:p w14:paraId="144BCD0B" w14:textId="593CD240"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2. Zakres udzielenia odstępstwa regulacyjnego według opiniowanego projektu (art. 24d ust 1) jest określony nieprecyzyjne i uznaniowo: „w zakresie niezbędnym do jego przeprowadzenia”. Można uznać że sformułowanie tego typu jest niepotrzebne w świetle dalszych proponowanych przepisów, które precyzują te kwestie. </w:t>
            </w:r>
          </w:p>
          <w:p w14:paraId="3B05DD69"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W opiniowanym projekcie odstępstwo może dotyczyć zamkniętego i dość wąskiego katalogu (warunków dostępu do sieci i korzystania z sieci i instalacji; obowiązku uzgadniania z Prezesem URE projektu planu rozwoju; warunków uzyskania i prowadzenia działalności objętej koncesją; lub obowiązku przedłożenia do zatwierdzenia Prezesowi URE taryfy). Zbyt wąski sztywno zdefiniowany zakres przewidzianych odstępstw może wykluczać projekty B+R+I, co może podważać celowość wdrażania instytucji piaskownicy/ odstępstwa regulacyjnego. </w:t>
            </w:r>
          </w:p>
          <w:p w14:paraId="6B0BEABF"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Według projektu przepisów wypracowanych przez projekt </w:t>
            </w:r>
            <w:proofErr w:type="spellStart"/>
            <w:r w:rsidRPr="00F67491">
              <w:rPr>
                <w:rFonts w:ascii="Times New Roman" w:hAnsi="Times New Roman" w:cs="Times New Roman"/>
                <w:bCs/>
                <w:sz w:val="20"/>
                <w:szCs w:val="20"/>
              </w:rPr>
              <w:t>KlasER</w:t>
            </w:r>
            <w:proofErr w:type="spellEnd"/>
            <w:r w:rsidRPr="00F67491">
              <w:rPr>
                <w:rFonts w:ascii="Times New Roman" w:hAnsi="Times New Roman" w:cs="Times New Roman"/>
                <w:bCs/>
                <w:sz w:val="20"/>
                <w:szCs w:val="20"/>
              </w:rPr>
              <w:t xml:space="preserve"> katalog ew. zwolnień reg. w ramach proj. pilotażowego jest szerszy i ma charakter bardziej </w:t>
            </w:r>
            <w:proofErr w:type="spellStart"/>
            <w:r w:rsidRPr="00F67491">
              <w:rPr>
                <w:rFonts w:ascii="Times New Roman" w:hAnsi="Times New Roman" w:cs="Times New Roman"/>
                <w:bCs/>
                <w:sz w:val="20"/>
                <w:szCs w:val="20"/>
              </w:rPr>
              <w:t>inkluzywny</w:t>
            </w:r>
            <w:proofErr w:type="spellEnd"/>
            <w:r w:rsidRPr="00F67491">
              <w:rPr>
                <w:rFonts w:ascii="Times New Roman" w:hAnsi="Times New Roman" w:cs="Times New Roman"/>
                <w:bCs/>
                <w:sz w:val="20"/>
                <w:szCs w:val="20"/>
              </w:rPr>
              <w:t xml:space="preserve"> (dotyczy udzielenia zwolnienia regulacyjnego w zakresie innowacyjnych produktów lub usług, modeli współpracy użytkowników systemu, rozwiązań technologicznych lub w zakresie wytwarzania i obrotu energią elektryczną lub magazynowania lub równoważenia zapotrzebowania lub  dystrybucji, lub świadczenia usług w zakresie efektywności energetycznej lub ładowania pojazdów </w:t>
            </w:r>
            <w:r w:rsidRPr="00F67491">
              <w:rPr>
                <w:rFonts w:ascii="Times New Roman" w:hAnsi="Times New Roman" w:cs="Times New Roman"/>
                <w:bCs/>
                <w:sz w:val="20"/>
                <w:szCs w:val="20"/>
              </w:rPr>
              <w:lastRenderedPageBreak/>
              <w:t xml:space="preserve">elektrycznych w ramach sieci dystrybucyjnej lub przesyłowej elektroenergetycznej). </w:t>
            </w:r>
          </w:p>
          <w:p w14:paraId="433986EA" w14:textId="77777777" w:rsidR="00F67491" w:rsidRPr="00F67491" w:rsidRDefault="00F67491" w:rsidP="00F67491">
            <w:pPr>
              <w:jc w:val="both"/>
              <w:rPr>
                <w:rFonts w:ascii="Times New Roman" w:hAnsi="Times New Roman" w:cs="Times New Roman"/>
                <w:bCs/>
                <w:sz w:val="20"/>
                <w:szCs w:val="20"/>
              </w:rPr>
            </w:pPr>
          </w:p>
          <w:p w14:paraId="10F99DA5" w14:textId="7E88C835"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3</w:t>
            </w:r>
            <w:r w:rsidR="008D29DD">
              <w:rPr>
                <w:rFonts w:ascii="Times New Roman" w:hAnsi="Times New Roman" w:cs="Times New Roman"/>
                <w:bCs/>
                <w:sz w:val="20"/>
                <w:szCs w:val="20"/>
              </w:rPr>
              <w:t>.</w:t>
            </w:r>
            <w:r w:rsidRPr="00F67491">
              <w:rPr>
                <w:rFonts w:ascii="Times New Roman" w:hAnsi="Times New Roman" w:cs="Times New Roman"/>
                <w:bCs/>
                <w:sz w:val="20"/>
                <w:szCs w:val="20"/>
              </w:rPr>
              <w:t xml:space="preserve"> Sposób sformułowania warunku udzielenia odstępstwa regulacyjnego w przedmiotowym projekcie (ust 4) jest bardzo szeroki i pozwala na dość uznaniową ocenę (uzależnione od: osiągniecia celów polityki energetycznej państwa oraz od uprawdopodobnienia korzyści wynikających z realizacji projektu). </w:t>
            </w:r>
          </w:p>
          <w:p w14:paraId="5321863A"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Ponadto przyznanie odstępstwa jest uwarunkowane „brakiem prawdopodobieństwa wpływu projektu na prawidłowe świadczenie usług przez operatorów sieci” co jest mało precyzyjne i uznaniowe. Odwołanie do prawdopodobieństwa powoduje, że występujące niskie prawdopodobieństwo, może być wykorzystane jako przyczyna decyzji odmownej.  </w:t>
            </w:r>
          </w:p>
          <w:p w14:paraId="48273D41"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Według zgłoszonej przez </w:t>
            </w:r>
            <w:proofErr w:type="spellStart"/>
            <w:r w:rsidRPr="00F67491">
              <w:rPr>
                <w:rFonts w:ascii="Times New Roman" w:hAnsi="Times New Roman" w:cs="Times New Roman"/>
                <w:bCs/>
                <w:sz w:val="20"/>
                <w:szCs w:val="20"/>
              </w:rPr>
              <w:t>MRiT</w:t>
            </w:r>
            <w:proofErr w:type="spellEnd"/>
            <w:r w:rsidRPr="00F67491">
              <w:rPr>
                <w:rFonts w:ascii="Times New Roman" w:hAnsi="Times New Roman" w:cs="Times New Roman"/>
                <w:bCs/>
                <w:sz w:val="20"/>
                <w:szCs w:val="20"/>
              </w:rPr>
              <w:t xml:space="preserve"> propozycji wypracowanej przez projekt </w:t>
            </w:r>
            <w:proofErr w:type="spellStart"/>
            <w:r w:rsidRPr="00F67491">
              <w:rPr>
                <w:rFonts w:ascii="Times New Roman" w:hAnsi="Times New Roman" w:cs="Times New Roman"/>
                <w:bCs/>
                <w:sz w:val="20"/>
                <w:szCs w:val="20"/>
              </w:rPr>
              <w:t>KlasER</w:t>
            </w:r>
            <w:proofErr w:type="spellEnd"/>
            <w:r w:rsidRPr="00F67491">
              <w:rPr>
                <w:rFonts w:ascii="Times New Roman" w:hAnsi="Times New Roman" w:cs="Times New Roman"/>
                <w:bCs/>
                <w:sz w:val="20"/>
                <w:szCs w:val="20"/>
              </w:rPr>
              <w:t xml:space="preserve"> (</w:t>
            </w:r>
            <w:proofErr w:type="spellStart"/>
            <w:r w:rsidRPr="00F67491">
              <w:rPr>
                <w:rFonts w:ascii="Times New Roman" w:hAnsi="Times New Roman" w:cs="Times New Roman"/>
                <w:bCs/>
                <w:sz w:val="20"/>
                <w:szCs w:val="20"/>
              </w:rPr>
              <w:t>zg</w:t>
            </w:r>
            <w:proofErr w:type="spellEnd"/>
            <w:r w:rsidRPr="00F67491">
              <w:rPr>
                <w:rFonts w:ascii="Times New Roman" w:hAnsi="Times New Roman" w:cs="Times New Roman"/>
                <w:bCs/>
                <w:sz w:val="20"/>
                <w:szCs w:val="20"/>
              </w:rPr>
              <w:t>. z art. 43aaf.) Prezes URE może wydać decyzję o udzieleniu zwolnienia regulacyjnego, jeżeli wnioskodawca wykaże, że spełnione są określone warunki oraz zastosowanie odstępstw jest niezbędne do przeprowadzenia projektu pilotażowego będącego celem energetycznego porozumienia badawczego. Proponowane przepisy przewidują w jakich przypadkach Prezes URE odmawia wydania decyzji o udzieleniu zwolnienia regulacyjnego oraz jakie elementy powinien zawierać wniosek o wydanie decyzji o udzieleniu zwolnienia regulacyjnego (wg. art. 43aae. m.in. wskazanie rodzaju i zakresu wnioskowanych odstępstw, w odniesieniu do każdej ze stron energetycznego porozumienia badawczego; uzasadnienie  spełnienia warunku, o którym mowa w art. 43aaf ust. 1 pkt 3 obejmujące: wstępną analizę otoczenia regulacyjnego; wykazanie niemożności wdrożenia produktów, usług, modeli lub rozwiązań będących przedmiotem projektu pilotażowego objętego wnioskiem bez uzyskania decyzji o udzieleniu zwolnienia regulacyjnego;</w:t>
            </w:r>
          </w:p>
          <w:p w14:paraId="2465CCD1"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harmonogram dotyczący poszczególnych etapów realizacji projektu pilotażowego, zamierzonych celów do realizacji na poszczególnych etapach oraz kryteriów oceny ich spełnienia)</w:t>
            </w:r>
          </w:p>
          <w:p w14:paraId="706F3E79" w14:textId="77777777" w:rsidR="00F67491" w:rsidRPr="00F67491" w:rsidRDefault="00F67491" w:rsidP="00F67491">
            <w:pPr>
              <w:jc w:val="both"/>
              <w:rPr>
                <w:rFonts w:ascii="Times New Roman" w:hAnsi="Times New Roman" w:cs="Times New Roman"/>
                <w:bCs/>
                <w:sz w:val="20"/>
                <w:szCs w:val="20"/>
              </w:rPr>
            </w:pPr>
          </w:p>
          <w:p w14:paraId="76BC8BE9"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4.       Opiniowany projekt przepisów nie przewiduje ograniczenia terytorialnego projektów dotyczących udzielania odstępstw regulacyjnych.</w:t>
            </w:r>
          </w:p>
          <w:p w14:paraId="3A504F79"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lastRenderedPageBreak/>
              <w:t xml:space="preserve">Zgodnie z projektem wypracowanym w ramach projektu </w:t>
            </w:r>
            <w:proofErr w:type="spellStart"/>
            <w:r w:rsidRPr="00F67491">
              <w:rPr>
                <w:rFonts w:ascii="Times New Roman" w:hAnsi="Times New Roman" w:cs="Times New Roman"/>
                <w:bCs/>
                <w:sz w:val="20"/>
                <w:szCs w:val="20"/>
              </w:rPr>
              <w:t>KlastER</w:t>
            </w:r>
            <w:proofErr w:type="spellEnd"/>
            <w:r w:rsidRPr="00F67491">
              <w:rPr>
                <w:rFonts w:ascii="Times New Roman" w:hAnsi="Times New Roman" w:cs="Times New Roman"/>
                <w:bCs/>
                <w:sz w:val="20"/>
                <w:szCs w:val="20"/>
              </w:rPr>
              <w:t xml:space="preserve"> ograniczenie zakresu terytorialnego odstępstwa było istotną kwestią, dlatego w projekcie tym w art. 43aaa ust 3 znalazły się odpowiednie zapisy regulujące tą kwestię, w poniższym zakresie, co zaleca się wziąć pod uwagę w przedmiotowym projekcie:</w:t>
            </w:r>
          </w:p>
          <w:p w14:paraId="3605A91A"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„3. Energetyczne porozumienie badawcze może prowadzić  działalność na obszarze więcej niż jednego operatora systemu dystrybucyjnego elektroenergetycznego pod warunkiem, że obszar działania energetycznego porozumienia badawczego nie przekracza granic dwóch sąsiadujących powiatów (…)</w:t>
            </w:r>
          </w:p>
          <w:p w14:paraId="1235239D"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4. Granice obszaru działania energetycznego porozumienia badawczego nie mogą wykraczać poza obszar, jaki jest niezbędny do realizacji projektu pilotażowego.</w:t>
            </w:r>
          </w:p>
          <w:p w14:paraId="1BA3F75C"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5. Obszar działania energetycznego porozumienia badawczego ustala się na podstawie miejsc przyłączenia stron tego porozumienia do sieci dystrybucyjnej elektroenergetycznej.”</w:t>
            </w:r>
          </w:p>
          <w:p w14:paraId="7C55362C" w14:textId="77777777" w:rsidR="00F67491" w:rsidRPr="00F67491" w:rsidRDefault="00F67491" w:rsidP="00F67491">
            <w:pPr>
              <w:jc w:val="both"/>
              <w:rPr>
                <w:rFonts w:ascii="Times New Roman" w:hAnsi="Times New Roman" w:cs="Times New Roman"/>
                <w:bCs/>
                <w:sz w:val="20"/>
                <w:szCs w:val="20"/>
              </w:rPr>
            </w:pPr>
          </w:p>
          <w:p w14:paraId="6C0C2733"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5. Okres obowiązywania odstępstwa </w:t>
            </w:r>
          </w:p>
          <w:p w14:paraId="2948BB0D"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Zgodnie z opiniowanym projektem odstępstwo może być udzielone na czas nie dłuższy niż 3 lata z możliwością 1-krotnego przedłużenia na okres do 3-ch lat. Według projektu przepisów wypracowanych przez konsorcjum </w:t>
            </w:r>
            <w:proofErr w:type="spellStart"/>
            <w:r w:rsidRPr="00F67491">
              <w:rPr>
                <w:rFonts w:ascii="Times New Roman" w:hAnsi="Times New Roman" w:cs="Times New Roman"/>
                <w:bCs/>
                <w:sz w:val="20"/>
                <w:szCs w:val="20"/>
              </w:rPr>
              <w:t>KlastER</w:t>
            </w:r>
            <w:proofErr w:type="spellEnd"/>
            <w:r w:rsidRPr="00F67491">
              <w:rPr>
                <w:rFonts w:ascii="Times New Roman" w:hAnsi="Times New Roman" w:cs="Times New Roman"/>
                <w:bCs/>
                <w:sz w:val="20"/>
                <w:szCs w:val="20"/>
              </w:rPr>
              <w:t>, proponowanych przez MRIT (</w:t>
            </w:r>
            <w:proofErr w:type="spellStart"/>
            <w:r w:rsidRPr="00F67491">
              <w:rPr>
                <w:rFonts w:ascii="Times New Roman" w:hAnsi="Times New Roman" w:cs="Times New Roman"/>
                <w:bCs/>
                <w:sz w:val="20"/>
                <w:szCs w:val="20"/>
              </w:rPr>
              <w:t>zg</w:t>
            </w:r>
            <w:proofErr w:type="spellEnd"/>
            <w:r w:rsidRPr="00F67491">
              <w:rPr>
                <w:rFonts w:ascii="Times New Roman" w:hAnsi="Times New Roman" w:cs="Times New Roman"/>
                <w:bCs/>
                <w:sz w:val="20"/>
                <w:szCs w:val="20"/>
              </w:rPr>
              <w:t>. z art. 43aaa. 9 ww. projektu) energetyczne porozumienie badawcze może zostać zawarte na okres nieprzekraczający 6 lat.</w:t>
            </w:r>
          </w:p>
          <w:p w14:paraId="663CAE5F"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Ponadto umowa energetycznego porozumienia badawczego (</w:t>
            </w:r>
            <w:proofErr w:type="spellStart"/>
            <w:r w:rsidRPr="00F67491">
              <w:rPr>
                <w:rFonts w:ascii="Times New Roman" w:hAnsi="Times New Roman" w:cs="Times New Roman"/>
                <w:bCs/>
                <w:sz w:val="20"/>
                <w:szCs w:val="20"/>
              </w:rPr>
              <w:t>zg</w:t>
            </w:r>
            <w:proofErr w:type="spellEnd"/>
            <w:r w:rsidRPr="00F67491">
              <w:rPr>
                <w:rFonts w:ascii="Times New Roman" w:hAnsi="Times New Roman" w:cs="Times New Roman"/>
                <w:bCs/>
                <w:sz w:val="20"/>
                <w:szCs w:val="20"/>
              </w:rPr>
              <w:t>. z art. 43aab. ust 1. pkt 9 postulowanego projektu) przewiduje możliwość i warunki jej wypowiedzenia przed upływem okresu, na jaki została zawarta.</w:t>
            </w:r>
          </w:p>
          <w:p w14:paraId="40FA6BBF" w14:textId="77777777" w:rsidR="00F67491" w:rsidRPr="00F67491" w:rsidRDefault="00F67491" w:rsidP="00F67491">
            <w:pPr>
              <w:jc w:val="both"/>
              <w:rPr>
                <w:rFonts w:ascii="Times New Roman" w:hAnsi="Times New Roman" w:cs="Times New Roman"/>
                <w:bCs/>
                <w:sz w:val="20"/>
                <w:szCs w:val="20"/>
              </w:rPr>
            </w:pPr>
          </w:p>
          <w:p w14:paraId="6204542E"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6.       Kontrole (w trakcie) realizacji odstępstwa regulacyjnego, raportowanie oraz sprawozdawczość</w:t>
            </w:r>
          </w:p>
          <w:p w14:paraId="5B1E41B9"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Zgodnie z art 24d ust 9. opiniowanego projektu Prezes URE z urzędu lub na pisemny wniosek podmiotu, na który oddziałuje projekt posiada możliwość przeprowadzania kontroli w zakresie przestrzegania warunków decyzji o przyznaniu odstępstwa. Nie określono jednak jak należy rozumieć oddziaływanie na ten podmiot, ponadto nie odniesiono się do problemu kompetencyjnego i zasobów do przeprowadzania ew. kontroli po stronie Prezesa URE. Rozwiązanie w tym zakresie przewidziane zostało w ramach projektu przepisów wypracowanego w </w:t>
            </w:r>
            <w:r w:rsidRPr="00F67491">
              <w:rPr>
                <w:rFonts w:ascii="Times New Roman" w:hAnsi="Times New Roman" w:cs="Times New Roman"/>
                <w:bCs/>
                <w:sz w:val="20"/>
                <w:szCs w:val="20"/>
              </w:rPr>
              <w:lastRenderedPageBreak/>
              <w:t xml:space="preserve">ramach projektu </w:t>
            </w:r>
            <w:proofErr w:type="spellStart"/>
            <w:r w:rsidRPr="00F67491">
              <w:rPr>
                <w:rFonts w:ascii="Times New Roman" w:hAnsi="Times New Roman" w:cs="Times New Roman"/>
                <w:bCs/>
                <w:sz w:val="20"/>
                <w:szCs w:val="20"/>
              </w:rPr>
              <w:t>KlasER</w:t>
            </w:r>
            <w:proofErr w:type="spellEnd"/>
            <w:r w:rsidRPr="00F67491">
              <w:rPr>
                <w:rFonts w:ascii="Times New Roman" w:hAnsi="Times New Roman" w:cs="Times New Roman"/>
                <w:bCs/>
                <w:sz w:val="20"/>
                <w:szCs w:val="20"/>
              </w:rPr>
              <w:t>, jakim jest scedowanie części uprawnień na organ kontrolno-doradczy w postaci Rady Ekspertów ds. Projektów Pilotażowych działającej przy Prezesie URE.</w:t>
            </w:r>
          </w:p>
          <w:p w14:paraId="32CC4E51"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Wątpliwości </w:t>
            </w:r>
            <w:proofErr w:type="spellStart"/>
            <w:r w:rsidRPr="00F67491">
              <w:rPr>
                <w:rFonts w:ascii="Times New Roman" w:hAnsi="Times New Roman" w:cs="Times New Roman"/>
                <w:bCs/>
                <w:sz w:val="20"/>
                <w:szCs w:val="20"/>
              </w:rPr>
              <w:t>MRiT</w:t>
            </w:r>
            <w:proofErr w:type="spellEnd"/>
            <w:r w:rsidRPr="00F67491">
              <w:rPr>
                <w:rFonts w:ascii="Times New Roman" w:hAnsi="Times New Roman" w:cs="Times New Roman"/>
                <w:bCs/>
                <w:sz w:val="20"/>
                <w:szCs w:val="20"/>
              </w:rPr>
              <w:t xml:space="preserve"> budzi kwestia częstotliwości i forma wprowadzanych przez art. 24 d ust 13 raportów okresowych składanych Prezesowi URE z przebiegu realizacji projektu oraz raport końcowy w terminie i w formie wskazanej w decyzji o udzieleniu odstępstwa. Ww. terminy raportów i ich zakres powinny być ustandaryzowane co umożliwi jednakowe podejście wobec wszystkich projektów oraz ułatwi ich porównywanie. </w:t>
            </w:r>
          </w:p>
          <w:p w14:paraId="62E559C8"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Według ocenianego projektu (</w:t>
            </w:r>
            <w:proofErr w:type="spellStart"/>
            <w:r w:rsidRPr="00F67491">
              <w:rPr>
                <w:rFonts w:ascii="Times New Roman" w:hAnsi="Times New Roman" w:cs="Times New Roman"/>
                <w:bCs/>
                <w:sz w:val="20"/>
                <w:szCs w:val="20"/>
              </w:rPr>
              <w:t>zg</w:t>
            </w:r>
            <w:proofErr w:type="spellEnd"/>
            <w:r w:rsidRPr="00F67491">
              <w:rPr>
                <w:rFonts w:ascii="Times New Roman" w:hAnsi="Times New Roman" w:cs="Times New Roman"/>
                <w:bCs/>
                <w:sz w:val="20"/>
                <w:szCs w:val="20"/>
              </w:rPr>
              <w:t xml:space="preserve">. z art. Art. 24d. ust 5) Prezes URE może zażądać od podmiotu wnioskującego o przyznanie odstępstwa przedłożenia ekspertyzy  potwierdzającej spełnienie kryteriów udzielenia odstępstwa z ust 3. Nie określono jednak precyzyjnie w jakich okolicznościach lub z jakich przyczyn ekspertyzy  potwierdzającej spełnienie kryteriów udzielenia odstępstwa powinna być wykonana, jakie wymogi powinna spełniać, według jakich kryteriów będzie oceniana oraz czy jej konkluzje będą mieć decydujący wpływ na stanowisko Prezesa URE i będą dla niego wiążące względem udzielenia zgody na wnioskowane odstępstwo. W tym zakresie występuje pełna uznaniowość Prezesa URE. </w:t>
            </w:r>
          </w:p>
          <w:p w14:paraId="13B23E20"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Projekt przepisów wypracowany przez projekt </w:t>
            </w:r>
            <w:proofErr w:type="spellStart"/>
            <w:r w:rsidRPr="00F67491">
              <w:rPr>
                <w:rFonts w:ascii="Times New Roman" w:hAnsi="Times New Roman" w:cs="Times New Roman"/>
                <w:bCs/>
                <w:sz w:val="20"/>
                <w:szCs w:val="20"/>
              </w:rPr>
              <w:t>KlastER</w:t>
            </w:r>
            <w:proofErr w:type="spellEnd"/>
            <w:r w:rsidRPr="00F67491">
              <w:rPr>
                <w:rFonts w:ascii="Times New Roman" w:hAnsi="Times New Roman" w:cs="Times New Roman"/>
                <w:bCs/>
                <w:sz w:val="20"/>
                <w:szCs w:val="20"/>
              </w:rPr>
              <w:t xml:space="preserve"> przedstawia alternatywną propozycję w tym zakresie, którą stanowi Rada Ekspertów ds. Projektów Pilotażowych działająca przy Prezesie URE, do której zadań należy przeprowadzanie  na wniosek Prezesa URE oceny wniosków o udzielenie zwolnienia regulacyjnego (</w:t>
            </w:r>
            <w:proofErr w:type="spellStart"/>
            <w:r w:rsidRPr="00F67491">
              <w:rPr>
                <w:rFonts w:ascii="Times New Roman" w:hAnsi="Times New Roman" w:cs="Times New Roman"/>
                <w:bCs/>
                <w:sz w:val="20"/>
                <w:szCs w:val="20"/>
              </w:rPr>
              <w:t>zg</w:t>
            </w:r>
            <w:proofErr w:type="spellEnd"/>
            <w:r w:rsidRPr="00F67491">
              <w:rPr>
                <w:rFonts w:ascii="Times New Roman" w:hAnsi="Times New Roman" w:cs="Times New Roman"/>
                <w:bCs/>
                <w:sz w:val="20"/>
                <w:szCs w:val="20"/>
              </w:rPr>
              <w:t>. z ww. projektem art. 43aal), oceny spełnienia przesłanki uchylenia decyzji o udzieleniu zwolnienia regulacyjnego lub ocena spełnienia przesłanki uchylenia lub zmiany zakresu odstępstw określonych w decyzji o udzieleniu zwolnienia regulacyjnego.</w:t>
            </w:r>
          </w:p>
          <w:p w14:paraId="38061DC1"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W przepisach stworzonych w ramach projektu </w:t>
            </w:r>
            <w:proofErr w:type="spellStart"/>
            <w:r w:rsidRPr="00F67491">
              <w:rPr>
                <w:rFonts w:ascii="Times New Roman" w:hAnsi="Times New Roman" w:cs="Times New Roman"/>
                <w:bCs/>
                <w:sz w:val="20"/>
                <w:szCs w:val="20"/>
              </w:rPr>
              <w:t>KlastER</w:t>
            </w:r>
            <w:proofErr w:type="spellEnd"/>
            <w:r w:rsidRPr="00F67491">
              <w:rPr>
                <w:rFonts w:ascii="Times New Roman" w:hAnsi="Times New Roman" w:cs="Times New Roman"/>
                <w:bCs/>
                <w:sz w:val="20"/>
                <w:szCs w:val="20"/>
              </w:rPr>
              <w:t xml:space="preserve"> opiniowaniem wniosków i wyborem projektów zajmuje się Rada Ekspertów ds. Projektów Pilotażowych działająca przy Prezesie URE, której działanie reguluje projektowany art. 43aal.</w:t>
            </w:r>
          </w:p>
          <w:p w14:paraId="5DB03D91"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Niezależna ekspertyza odpowiada tylko za jeden z obszarów realizowanych przez Radę Ekspertów ds. Projektów Pilotażowych i mimo że ekspertyza może wydawać się bardziej efektywnym kosztowo rozwiązaniem, ponieważ koszt jej przygotowania ponosi wnioskodawca, jednak ocena tych opracowań wymagać będzie </w:t>
            </w:r>
            <w:r w:rsidRPr="00F67491">
              <w:rPr>
                <w:rFonts w:ascii="Times New Roman" w:hAnsi="Times New Roman" w:cs="Times New Roman"/>
                <w:bCs/>
                <w:sz w:val="20"/>
                <w:szCs w:val="20"/>
              </w:rPr>
              <w:lastRenderedPageBreak/>
              <w:t xml:space="preserve">zaangażowania zasobów merytorycznych i poniesienia zw. z tym kosztów po stronie URE. Ponadto nie ustrukturyzowanie oczekiwanego zakresu tej ekspertyzy może skutkować znacznym zróżnicowaniem tych opracowań, co  może istotnie utrudniać ew. porównywanie projektów i nie dawać wystarczającej odpowiedzi co do jakości ocenianych projektów. W opinii </w:t>
            </w:r>
            <w:proofErr w:type="spellStart"/>
            <w:r w:rsidRPr="00F67491">
              <w:rPr>
                <w:rFonts w:ascii="Times New Roman" w:hAnsi="Times New Roman" w:cs="Times New Roman"/>
                <w:bCs/>
                <w:sz w:val="20"/>
                <w:szCs w:val="20"/>
              </w:rPr>
              <w:t>MRiT</w:t>
            </w:r>
            <w:proofErr w:type="spellEnd"/>
            <w:r w:rsidRPr="00F67491">
              <w:rPr>
                <w:rFonts w:ascii="Times New Roman" w:hAnsi="Times New Roman" w:cs="Times New Roman"/>
                <w:bCs/>
                <w:sz w:val="20"/>
                <w:szCs w:val="20"/>
              </w:rPr>
              <w:t xml:space="preserve"> ocena przez niezależny organ działający przy Prezesie URE jakim byłaby Rada Ekspertów ds. Projektów Pilotażowych, byłaby bardziej obiektywna i zapewniałaby sprawniejszy przebieg procesu, co ułatwiałoby sprawną obsługę projektów. Ponadto rozwiązanie w tym kształcie umożliwiłoby ciągły nabór projektów pilotażowych oraz służyłoby odciążeniu organizacyjnemu Prezesa URE w porównaniu z wyłanianiem projektów w ramach postępowania projektowego ogłaszanego co najmniej raz do roku.</w:t>
            </w:r>
          </w:p>
          <w:p w14:paraId="4D36D651" w14:textId="77777777" w:rsidR="00F67491" w:rsidRPr="00F67491" w:rsidRDefault="00F67491" w:rsidP="00F67491">
            <w:pPr>
              <w:jc w:val="both"/>
              <w:rPr>
                <w:rFonts w:ascii="Times New Roman" w:hAnsi="Times New Roman" w:cs="Times New Roman"/>
                <w:bCs/>
                <w:sz w:val="20"/>
                <w:szCs w:val="20"/>
              </w:rPr>
            </w:pPr>
          </w:p>
          <w:p w14:paraId="4BC8B7D1"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7. Propozycja wypracowana przez projekt </w:t>
            </w:r>
            <w:proofErr w:type="spellStart"/>
            <w:r w:rsidRPr="00F67491">
              <w:rPr>
                <w:rFonts w:ascii="Times New Roman" w:hAnsi="Times New Roman" w:cs="Times New Roman"/>
                <w:bCs/>
                <w:sz w:val="20"/>
                <w:szCs w:val="20"/>
              </w:rPr>
              <w:t>KlastER</w:t>
            </w:r>
            <w:proofErr w:type="spellEnd"/>
            <w:r w:rsidRPr="00F67491">
              <w:rPr>
                <w:rFonts w:ascii="Times New Roman" w:hAnsi="Times New Roman" w:cs="Times New Roman"/>
                <w:bCs/>
                <w:sz w:val="20"/>
                <w:szCs w:val="20"/>
              </w:rPr>
              <w:t xml:space="preserve"> przewiduje w sposób bardziej szczegółowy i przemyślany realizację i ewaluację odstępstw regulacyjnych. </w:t>
            </w:r>
          </w:p>
          <w:p w14:paraId="6E40B752"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Przewidziano m.in. (art. 43aag  ust 5), że umowa porozumienia badawczego regulować będzie  warunki przeprowadzenia projektu pilotażowego w zakresie: składania sprawozdań Prezesowi URE z przebiegu poszczególnych etapów projektu pilotażowego zgodnie z harmonogramem wskazanym we wniosku oraz złożenia Prezesowi URE raportu końcowego z przeprowadzenia projektu pilotażowego, przy czym oczekiwane rezultaty oraz kryteria oceny na poszczególnych etapach są zawarte w umowie energetycznego porozumienia badawczego (</w:t>
            </w:r>
            <w:proofErr w:type="spellStart"/>
            <w:r w:rsidRPr="00F67491">
              <w:rPr>
                <w:rFonts w:ascii="Times New Roman" w:hAnsi="Times New Roman" w:cs="Times New Roman"/>
                <w:bCs/>
                <w:sz w:val="20"/>
                <w:szCs w:val="20"/>
              </w:rPr>
              <w:t>zg</w:t>
            </w:r>
            <w:proofErr w:type="spellEnd"/>
            <w:r w:rsidRPr="00F67491">
              <w:rPr>
                <w:rFonts w:ascii="Times New Roman" w:hAnsi="Times New Roman" w:cs="Times New Roman"/>
                <w:bCs/>
                <w:sz w:val="20"/>
                <w:szCs w:val="20"/>
              </w:rPr>
              <w:t xml:space="preserve">. z art. 43aab. ust 2 ww. projektu). </w:t>
            </w:r>
          </w:p>
          <w:p w14:paraId="43C5C24B" w14:textId="77777777" w:rsidR="00F67491" w:rsidRPr="00F67491" w:rsidRDefault="00F67491" w:rsidP="00F67491">
            <w:pPr>
              <w:jc w:val="both"/>
              <w:rPr>
                <w:rFonts w:ascii="Times New Roman" w:hAnsi="Times New Roman" w:cs="Times New Roman"/>
                <w:bCs/>
                <w:sz w:val="20"/>
                <w:szCs w:val="20"/>
              </w:rPr>
            </w:pPr>
          </w:p>
          <w:p w14:paraId="14BB9AAE" w14:textId="77777777" w:rsidR="00F67491" w:rsidRPr="00F67491" w:rsidRDefault="00F67491" w:rsidP="00F67491">
            <w:pPr>
              <w:jc w:val="both"/>
              <w:rPr>
                <w:rFonts w:ascii="Times New Roman" w:hAnsi="Times New Roman" w:cs="Times New Roman"/>
                <w:bCs/>
                <w:sz w:val="20"/>
                <w:szCs w:val="20"/>
              </w:rPr>
            </w:pPr>
            <w:r w:rsidRPr="00F67491">
              <w:rPr>
                <w:rFonts w:ascii="Times New Roman" w:hAnsi="Times New Roman" w:cs="Times New Roman"/>
                <w:bCs/>
                <w:sz w:val="20"/>
                <w:szCs w:val="20"/>
              </w:rPr>
              <w:t xml:space="preserve">8.  Projekt przepisów wypracowany przez projekt </w:t>
            </w:r>
            <w:proofErr w:type="spellStart"/>
            <w:r w:rsidRPr="00F67491">
              <w:rPr>
                <w:rFonts w:ascii="Times New Roman" w:hAnsi="Times New Roman" w:cs="Times New Roman"/>
                <w:bCs/>
                <w:sz w:val="20"/>
                <w:szCs w:val="20"/>
              </w:rPr>
              <w:t>KlastER</w:t>
            </w:r>
            <w:proofErr w:type="spellEnd"/>
            <w:r w:rsidRPr="00F67491">
              <w:rPr>
                <w:rFonts w:ascii="Times New Roman" w:hAnsi="Times New Roman" w:cs="Times New Roman"/>
                <w:bCs/>
                <w:sz w:val="20"/>
                <w:szCs w:val="20"/>
              </w:rPr>
              <w:t xml:space="preserve"> wprowadza wykaz projektów pilotażowych w stosunku do których wydano decyzję o udzieleniu zwolnienia regulacyjnego prowadzony przez Prezesa URE, który jest jawny i udostępniany w Biuletynie Informacji Publicznej URE (art 43aah ww. projektu).</w:t>
            </w:r>
          </w:p>
          <w:p w14:paraId="012021E9" w14:textId="5A66F3AE" w:rsidR="00906393" w:rsidRPr="00906393" w:rsidRDefault="00F67491" w:rsidP="00906393">
            <w:pPr>
              <w:jc w:val="both"/>
              <w:rPr>
                <w:rFonts w:ascii="Times New Roman" w:hAnsi="Times New Roman" w:cs="Times New Roman"/>
                <w:bCs/>
                <w:sz w:val="20"/>
                <w:szCs w:val="20"/>
              </w:rPr>
            </w:pPr>
            <w:proofErr w:type="spellStart"/>
            <w:r w:rsidRPr="00F67491">
              <w:rPr>
                <w:rFonts w:ascii="Times New Roman" w:hAnsi="Times New Roman" w:cs="Times New Roman"/>
                <w:bCs/>
                <w:sz w:val="20"/>
                <w:szCs w:val="20"/>
              </w:rPr>
              <w:t>MRiT</w:t>
            </w:r>
            <w:proofErr w:type="spellEnd"/>
            <w:r w:rsidRPr="00F67491">
              <w:rPr>
                <w:rFonts w:ascii="Times New Roman" w:hAnsi="Times New Roman" w:cs="Times New Roman"/>
                <w:bCs/>
                <w:sz w:val="20"/>
                <w:szCs w:val="20"/>
              </w:rPr>
              <w:t xml:space="preserve"> rekomenduje uzupełnienie opiniowanego projektu o wprowadzenie dedykowanego zestawienia w tym zakresie. W opiniowanym projekcie (</w:t>
            </w:r>
            <w:proofErr w:type="spellStart"/>
            <w:r w:rsidRPr="00F67491">
              <w:rPr>
                <w:rFonts w:ascii="Times New Roman" w:hAnsi="Times New Roman" w:cs="Times New Roman"/>
                <w:bCs/>
                <w:sz w:val="20"/>
                <w:szCs w:val="20"/>
              </w:rPr>
              <w:t>zg</w:t>
            </w:r>
            <w:proofErr w:type="spellEnd"/>
            <w:r w:rsidRPr="00F67491">
              <w:rPr>
                <w:rFonts w:ascii="Times New Roman" w:hAnsi="Times New Roman" w:cs="Times New Roman"/>
                <w:bCs/>
                <w:sz w:val="20"/>
                <w:szCs w:val="20"/>
              </w:rPr>
              <w:t xml:space="preserve">. z art. 24d ust 14 ) mowa jest jedynie o przedstawieniu postępów z realizacji projektów wynikających z zakończonych projektów odstępstw oraz ocenie wpływu udzielonych odstępstw na realizację celów tych projektów w sprawozdaniu Prezesa </w:t>
            </w:r>
            <w:r w:rsidRPr="00F67491">
              <w:rPr>
                <w:rFonts w:ascii="Times New Roman" w:hAnsi="Times New Roman" w:cs="Times New Roman"/>
                <w:bCs/>
                <w:sz w:val="20"/>
                <w:szCs w:val="20"/>
              </w:rPr>
              <w:lastRenderedPageBreak/>
              <w:t xml:space="preserve">URE, co w opinii </w:t>
            </w:r>
            <w:proofErr w:type="spellStart"/>
            <w:r w:rsidRPr="00F67491">
              <w:rPr>
                <w:rFonts w:ascii="Times New Roman" w:hAnsi="Times New Roman" w:cs="Times New Roman"/>
                <w:bCs/>
                <w:sz w:val="20"/>
                <w:szCs w:val="20"/>
              </w:rPr>
              <w:t>MRiT</w:t>
            </w:r>
            <w:proofErr w:type="spellEnd"/>
            <w:r w:rsidRPr="00F67491">
              <w:rPr>
                <w:rFonts w:ascii="Times New Roman" w:hAnsi="Times New Roman" w:cs="Times New Roman"/>
                <w:bCs/>
                <w:sz w:val="20"/>
                <w:szCs w:val="20"/>
              </w:rPr>
              <w:t xml:space="preserve"> jest niewystarczająco szczegółowe i transparentne.</w:t>
            </w:r>
          </w:p>
        </w:tc>
        <w:tc>
          <w:tcPr>
            <w:tcW w:w="3367" w:type="dxa"/>
          </w:tcPr>
          <w:p w14:paraId="5E916E06" w14:textId="152044D4" w:rsidR="00D14EA2" w:rsidRPr="00D14EA2" w:rsidRDefault="00D14EA2" w:rsidP="00D14EA2">
            <w:pPr>
              <w:spacing w:before="100" w:beforeAutospacing="1" w:after="100" w:afterAutospacing="1"/>
              <w:jc w:val="center"/>
              <w:rPr>
                <w:rFonts w:ascii="Times New Roman" w:eastAsia="Times New Roman" w:hAnsi="Times New Roman" w:cs="Times New Roman"/>
                <w:b/>
                <w:bCs/>
                <w:sz w:val="20"/>
                <w:szCs w:val="20"/>
                <w:lang w:eastAsia="pl-PL"/>
              </w:rPr>
            </w:pPr>
            <w:r w:rsidRPr="00D14EA2">
              <w:rPr>
                <w:rFonts w:ascii="Times New Roman" w:eastAsia="Times New Roman" w:hAnsi="Times New Roman" w:cs="Times New Roman"/>
                <w:b/>
                <w:bCs/>
                <w:sz w:val="20"/>
                <w:szCs w:val="20"/>
                <w:lang w:eastAsia="pl-PL"/>
              </w:rPr>
              <w:lastRenderedPageBreak/>
              <w:t>Uwaga nieuwzględniona</w:t>
            </w:r>
          </w:p>
          <w:p w14:paraId="21664F24" w14:textId="4534C303" w:rsidR="00900EC8" w:rsidRDefault="00900EC8" w:rsidP="00FB001B">
            <w:pPr>
              <w:spacing w:before="100" w:beforeAutospacing="1" w:after="100" w:afterAutospacing="1"/>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Założenia projektowanych przepisów celowo przewidują duży stopień uznaniowości z uwagi</w:t>
            </w:r>
            <w:r w:rsidR="00291D26">
              <w:rPr>
                <w:rFonts w:ascii="Times New Roman" w:eastAsia="Times New Roman" w:hAnsi="Times New Roman" w:cs="Times New Roman"/>
                <w:sz w:val="20"/>
                <w:szCs w:val="20"/>
                <w:lang w:eastAsia="pl-PL"/>
              </w:rPr>
              <w:t xml:space="preserve"> na fakt</w:t>
            </w:r>
            <w:r w:rsidR="00FF5022">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w:t>
            </w:r>
            <w:r w:rsidR="00FF5022">
              <w:rPr>
                <w:rFonts w:ascii="Times New Roman" w:eastAsia="Times New Roman" w:hAnsi="Times New Roman" w:cs="Times New Roman"/>
                <w:sz w:val="20"/>
                <w:szCs w:val="20"/>
                <w:lang w:eastAsia="pl-PL"/>
              </w:rPr>
              <w:t>iż celem piaskownicy regulacyjnej jest zapewnienie jak najszerszego obszaru testowania innowacyjnych rozwiązań</w:t>
            </w:r>
            <w:r>
              <w:rPr>
                <w:rFonts w:ascii="Times New Roman" w:eastAsia="Times New Roman" w:hAnsi="Times New Roman" w:cs="Times New Roman"/>
                <w:sz w:val="20"/>
                <w:szCs w:val="20"/>
                <w:lang w:eastAsia="pl-PL"/>
              </w:rPr>
              <w:t>. Zakres projektów testowanych w ramach piaskownicy regulacyjnej może być bardzo szeroki, w związku z czym wąskie ramy prawne przyczynią się wyłącznie do ograniczenia szans na testowanie wysoko innowacyjnych projektów, które nie mogą zostać wdrożone na rynek energetyczny bez zwolnienia z określonych przepisów prawa.</w:t>
            </w:r>
          </w:p>
          <w:p w14:paraId="21488010" w14:textId="7023DE0F" w:rsidR="00CB59F5" w:rsidRDefault="00900EC8" w:rsidP="00CB59F5">
            <w:pPr>
              <w:spacing w:before="100" w:beforeAutospacing="1" w:after="100" w:afterAutospacing="1"/>
              <w:jc w:val="both"/>
              <w:rPr>
                <w:rFonts w:ascii="Times New Roman" w:eastAsia="Times New Roman" w:hAnsi="Times New Roman" w:cs="Times New Roman"/>
                <w:bCs/>
                <w:sz w:val="20"/>
                <w:szCs w:val="20"/>
                <w:lang w:eastAsia="pl-PL"/>
              </w:rPr>
            </w:pPr>
            <w:r>
              <w:rPr>
                <w:rFonts w:ascii="Times New Roman" w:eastAsia="Times New Roman" w:hAnsi="Times New Roman" w:cs="Times New Roman"/>
                <w:sz w:val="20"/>
                <w:szCs w:val="20"/>
                <w:lang w:eastAsia="pl-PL"/>
              </w:rPr>
              <w:t xml:space="preserve">1. Projekt </w:t>
            </w:r>
            <w:proofErr w:type="spellStart"/>
            <w:r>
              <w:rPr>
                <w:rFonts w:ascii="Times New Roman" w:eastAsia="Times New Roman" w:hAnsi="Times New Roman" w:cs="Times New Roman"/>
                <w:sz w:val="20"/>
                <w:szCs w:val="20"/>
                <w:lang w:eastAsia="pl-PL"/>
              </w:rPr>
              <w:t>MKiŚ</w:t>
            </w:r>
            <w:proofErr w:type="spellEnd"/>
            <w:r>
              <w:rPr>
                <w:rFonts w:ascii="Times New Roman" w:eastAsia="Times New Roman" w:hAnsi="Times New Roman" w:cs="Times New Roman"/>
                <w:sz w:val="20"/>
                <w:szCs w:val="20"/>
                <w:lang w:eastAsia="pl-PL"/>
              </w:rPr>
              <w:t xml:space="preserve"> nie przewiduje zawierania energetycznego </w:t>
            </w:r>
            <w:r>
              <w:rPr>
                <w:rFonts w:ascii="Times New Roman" w:eastAsia="Times New Roman" w:hAnsi="Times New Roman" w:cs="Times New Roman"/>
                <w:sz w:val="20"/>
                <w:szCs w:val="20"/>
                <w:lang w:eastAsia="pl-PL"/>
              </w:rPr>
              <w:lastRenderedPageBreak/>
              <w:t>porozumienia badawczego, w związku z czym nie przewiduje się kwestii uczestnictwa w projektach OSD i OSP</w:t>
            </w:r>
            <w:r w:rsidR="00CB59F5">
              <w:rPr>
                <w:rFonts w:ascii="Times New Roman" w:eastAsia="Times New Roman" w:hAnsi="Times New Roman" w:cs="Times New Roman"/>
                <w:sz w:val="20"/>
                <w:szCs w:val="20"/>
                <w:lang w:eastAsia="pl-PL"/>
              </w:rPr>
              <w:t xml:space="preserve">. Co więcej, art. 24d ust. 2 pkt 4 projektowanej regulacji mówi, iż odstępstwo może dotyczyć </w:t>
            </w:r>
            <w:r>
              <w:rPr>
                <w:rFonts w:ascii="Times New Roman" w:eastAsia="Times New Roman" w:hAnsi="Times New Roman" w:cs="Times New Roman"/>
                <w:sz w:val="20"/>
                <w:szCs w:val="20"/>
                <w:lang w:eastAsia="pl-PL"/>
              </w:rPr>
              <w:t xml:space="preserve"> </w:t>
            </w:r>
            <w:r w:rsidR="00CB59F5" w:rsidRPr="00CB59F5">
              <w:rPr>
                <w:rFonts w:ascii="Times New Roman" w:eastAsia="Times New Roman" w:hAnsi="Times New Roman" w:cs="Times New Roman"/>
                <w:bCs/>
                <w:sz w:val="20"/>
                <w:szCs w:val="20"/>
                <w:lang w:eastAsia="pl-PL"/>
              </w:rPr>
              <w:t>obowiązku przedłożenia do zatwierdzenia Prezesowi URE taryfy, o którym mowa w art. 47 ust. 1, w przypadku gdy wnioskodawca nie jest operatorem systemu dystrybucyjnego.</w:t>
            </w:r>
            <w:r w:rsidR="00415E67">
              <w:rPr>
                <w:rFonts w:ascii="Times New Roman" w:eastAsia="Times New Roman" w:hAnsi="Times New Roman" w:cs="Times New Roman"/>
                <w:bCs/>
                <w:sz w:val="20"/>
                <w:szCs w:val="20"/>
                <w:lang w:eastAsia="pl-PL"/>
              </w:rPr>
              <w:t xml:space="preserve"> Poszerzenie zakresu podmiotowego regulacji nie jest zasadne z uwagi na zakres zwolnień (będący katalogiem zamkniętym). Zakres podmiotowy musi być zgodny z </w:t>
            </w:r>
            <w:r w:rsidR="00AC11DF">
              <w:rPr>
                <w:rFonts w:ascii="Times New Roman" w:eastAsia="Times New Roman" w:hAnsi="Times New Roman" w:cs="Times New Roman"/>
                <w:bCs/>
                <w:sz w:val="20"/>
                <w:szCs w:val="20"/>
                <w:lang w:eastAsia="pl-PL"/>
              </w:rPr>
              <w:t xml:space="preserve">katalogiem odstępstw, nie jest bowiem możliwe zwolnienie zaproponowanych przez </w:t>
            </w:r>
            <w:proofErr w:type="spellStart"/>
            <w:r w:rsidR="00AC11DF">
              <w:rPr>
                <w:rFonts w:ascii="Times New Roman" w:eastAsia="Times New Roman" w:hAnsi="Times New Roman" w:cs="Times New Roman"/>
                <w:bCs/>
                <w:sz w:val="20"/>
                <w:szCs w:val="20"/>
                <w:lang w:eastAsia="pl-PL"/>
              </w:rPr>
              <w:t>MRiT</w:t>
            </w:r>
            <w:proofErr w:type="spellEnd"/>
            <w:r w:rsidR="00AC11DF">
              <w:rPr>
                <w:rFonts w:ascii="Times New Roman" w:eastAsia="Times New Roman" w:hAnsi="Times New Roman" w:cs="Times New Roman"/>
                <w:bCs/>
                <w:sz w:val="20"/>
                <w:szCs w:val="20"/>
                <w:lang w:eastAsia="pl-PL"/>
              </w:rPr>
              <w:t xml:space="preserve"> podmiotów z określonych w art. 24d ust. 2 obowiązków z uwagi na fakt, że na podmioty te ww. obowiązki nie mogą zostać nałożone.</w:t>
            </w:r>
          </w:p>
          <w:p w14:paraId="2B0AC9B4" w14:textId="475113EC" w:rsidR="00AC11DF" w:rsidRDefault="00AC11DF" w:rsidP="00CB59F5">
            <w:pPr>
              <w:spacing w:before="100" w:beforeAutospacing="1" w:after="100" w:afterAutospacing="1"/>
              <w:jc w:val="both"/>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 xml:space="preserve">2. Zakres odstępstw określony w projektowanej regulacji został uzgodniony z URE. Jego kształt wynika z faktu, iż piaskownice regulacyjne mają na celu umożliwienie szerokiemu zakresowi podmiotów wnioskowanie o testowanie </w:t>
            </w:r>
            <w:r w:rsidR="005F4716">
              <w:rPr>
                <w:rFonts w:ascii="Times New Roman" w:eastAsia="Times New Roman" w:hAnsi="Times New Roman" w:cs="Times New Roman"/>
                <w:bCs/>
                <w:sz w:val="20"/>
                <w:szCs w:val="20"/>
                <w:lang w:eastAsia="pl-PL"/>
              </w:rPr>
              <w:t>złożonych</w:t>
            </w:r>
            <w:r>
              <w:rPr>
                <w:rFonts w:ascii="Times New Roman" w:eastAsia="Times New Roman" w:hAnsi="Times New Roman" w:cs="Times New Roman"/>
                <w:bCs/>
                <w:sz w:val="20"/>
                <w:szCs w:val="20"/>
                <w:lang w:eastAsia="pl-PL"/>
              </w:rPr>
              <w:t xml:space="preserve">, nowoczesnych technologii na innych zasadach. W związku z powyższym, nie jest możliwe uniknięcie pewnego </w:t>
            </w:r>
            <w:r w:rsidR="00291D26">
              <w:rPr>
                <w:rFonts w:ascii="Times New Roman" w:eastAsia="Times New Roman" w:hAnsi="Times New Roman" w:cs="Times New Roman"/>
                <w:bCs/>
                <w:sz w:val="20"/>
                <w:szCs w:val="20"/>
                <w:lang w:eastAsia="pl-PL"/>
              </w:rPr>
              <w:t>stopnia</w:t>
            </w:r>
            <w:r>
              <w:rPr>
                <w:rFonts w:ascii="Times New Roman" w:eastAsia="Times New Roman" w:hAnsi="Times New Roman" w:cs="Times New Roman"/>
                <w:bCs/>
                <w:sz w:val="20"/>
                <w:szCs w:val="20"/>
                <w:lang w:eastAsia="pl-PL"/>
              </w:rPr>
              <w:t xml:space="preserve"> uznaniowości. Nie jest bowiem możliwe do przewidzenia jaki rodzaj oraz </w:t>
            </w:r>
            <w:r w:rsidR="00291D26">
              <w:rPr>
                <w:rFonts w:ascii="Times New Roman" w:eastAsia="Times New Roman" w:hAnsi="Times New Roman" w:cs="Times New Roman"/>
                <w:bCs/>
                <w:sz w:val="20"/>
                <w:szCs w:val="20"/>
                <w:lang w:eastAsia="pl-PL"/>
              </w:rPr>
              <w:t>kat</w:t>
            </w:r>
            <w:r w:rsidR="00CB6967">
              <w:rPr>
                <w:rFonts w:ascii="Times New Roman" w:eastAsia="Times New Roman" w:hAnsi="Times New Roman" w:cs="Times New Roman"/>
                <w:bCs/>
                <w:sz w:val="20"/>
                <w:szCs w:val="20"/>
                <w:lang w:eastAsia="pl-PL"/>
              </w:rPr>
              <w:t>a</w:t>
            </w:r>
            <w:r w:rsidR="00291D26">
              <w:rPr>
                <w:rFonts w:ascii="Times New Roman" w:eastAsia="Times New Roman" w:hAnsi="Times New Roman" w:cs="Times New Roman"/>
                <w:bCs/>
                <w:sz w:val="20"/>
                <w:szCs w:val="20"/>
                <w:lang w:eastAsia="pl-PL"/>
              </w:rPr>
              <w:t>log</w:t>
            </w:r>
            <w:r>
              <w:rPr>
                <w:rFonts w:ascii="Times New Roman" w:eastAsia="Times New Roman" w:hAnsi="Times New Roman" w:cs="Times New Roman"/>
                <w:bCs/>
                <w:sz w:val="20"/>
                <w:szCs w:val="20"/>
                <w:lang w:eastAsia="pl-PL"/>
              </w:rPr>
              <w:t xml:space="preserve"> podmiotów złoży wniosek o udział w piaskownicy regulacyjnej.</w:t>
            </w:r>
          </w:p>
          <w:p w14:paraId="7EA77AA2" w14:textId="4A7E0B94" w:rsidR="00AC11DF" w:rsidRDefault="00AC11DF" w:rsidP="00CB59F5">
            <w:pPr>
              <w:spacing w:before="100" w:beforeAutospacing="1" w:after="100" w:afterAutospacing="1"/>
              <w:jc w:val="both"/>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lastRenderedPageBreak/>
              <w:t xml:space="preserve">3. Jak wspomniano wyżej, </w:t>
            </w:r>
            <w:r w:rsidR="005F4716">
              <w:rPr>
                <w:rFonts w:ascii="Times New Roman" w:eastAsia="Times New Roman" w:hAnsi="Times New Roman" w:cs="Times New Roman"/>
                <w:bCs/>
                <w:sz w:val="20"/>
                <w:szCs w:val="20"/>
                <w:lang w:eastAsia="pl-PL"/>
              </w:rPr>
              <w:t>elastycznie</w:t>
            </w:r>
            <w:r>
              <w:rPr>
                <w:rFonts w:ascii="Times New Roman" w:eastAsia="Times New Roman" w:hAnsi="Times New Roman" w:cs="Times New Roman"/>
                <w:bCs/>
                <w:sz w:val="20"/>
                <w:szCs w:val="20"/>
                <w:lang w:eastAsia="pl-PL"/>
              </w:rPr>
              <w:t xml:space="preserve"> skonstruowana regulacja przewidująca pewien margines uznaniowości jest konieczna z uwagi na cel i charakter piaskownicy regulacyjnej. Należy pamiętać, iż liczba projektów uczestniczących w piaskownicy</w:t>
            </w:r>
            <w:r w:rsidR="00984244">
              <w:rPr>
                <w:rFonts w:ascii="Times New Roman" w:eastAsia="Times New Roman" w:hAnsi="Times New Roman" w:cs="Times New Roman"/>
                <w:bCs/>
                <w:sz w:val="20"/>
                <w:szCs w:val="20"/>
                <w:lang w:eastAsia="pl-PL"/>
              </w:rPr>
              <w:t xml:space="preserve"> regulacyjnej w podobnych warunkach rynkowych i prawnych w innych krajach wynosi średnio kilka projektów na turę (informacja ta stanowi wynik analiz własnych </w:t>
            </w:r>
            <w:proofErr w:type="spellStart"/>
            <w:r w:rsidR="00984244">
              <w:rPr>
                <w:rFonts w:ascii="Times New Roman" w:eastAsia="Times New Roman" w:hAnsi="Times New Roman" w:cs="Times New Roman"/>
                <w:bCs/>
                <w:sz w:val="20"/>
                <w:szCs w:val="20"/>
                <w:lang w:eastAsia="pl-PL"/>
              </w:rPr>
              <w:t>MKiŚ</w:t>
            </w:r>
            <w:proofErr w:type="spellEnd"/>
            <w:r w:rsidR="00984244">
              <w:rPr>
                <w:rFonts w:ascii="Times New Roman" w:eastAsia="Times New Roman" w:hAnsi="Times New Roman" w:cs="Times New Roman"/>
                <w:bCs/>
                <w:sz w:val="20"/>
                <w:szCs w:val="20"/>
                <w:lang w:eastAsia="pl-PL"/>
              </w:rPr>
              <w:t>). W związku z tym przewiduje się, iż także w Polsce liczba ta</w:t>
            </w:r>
            <w:r w:rsidR="008D175D">
              <w:rPr>
                <w:rFonts w:ascii="Times New Roman" w:eastAsia="Times New Roman" w:hAnsi="Times New Roman" w:cs="Times New Roman"/>
                <w:bCs/>
                <w:sz w:val="20"/>
                <w:szCs w:val="20"/>
                <w:lang w:eastAsia="pl-PL"/>
              </w:rPr>
              <w:t xml:space="preserve"> nie</w:t>
            </w:r>
            <w:r w:rsidR="00984244">
              <w:rPr>
                <w:rFonts w:ascii="Times New Roman" w:eastAsia="Times New Roman" w:hAnsi="Times New Roman" w:cs="Times New Roman"/>
                <w:bCs/>
                <w:sz w:val="20"/>
                <w:szCs w:val="20"/>
                <w:lang w:eastAsia="pl-PL"/>
              </w:rPr>
              <w:t xml:space="preserve"> będzie </w:t>
            </w:r>
            <w:r w:rsidR="00CB6967">
              <w:rPr>
                <w:rFonts w:ascii="Times New Roman" w:eastAsia="Times New Roman" w:hAnsi="Times New Roman" w:cs="Times New Roman"/>
                <w:bCs/>
                <w:sz w:val="20"/>
                <w:szCs w:val="20"/>
                <w:lang w:eastAsia="pl-PL"/>
              </w:rPr>
              <w:t>wysoka</w:t>
            </w:r>
            <w:r w:rsidR="00984244">
              <w:rPr>
                <w:rFonts w:ascii="Times New Roman" w:eastAsia="Times New Roman" w:hAnsi="Times New Roman" w:cs="Times New Roman"/>
                <w:bCs/>
                <w:sz w:val="20"/>
                <w:szCs w:val="20"/>
                <w:lang w:eastAsia="pl-PL"/>
              </w:rPr>
              <w:t>. Projekty muszą zostać dokładnie przeanalizowane na wielu płaszczyznach, w związku z czym nie można uniknąć przyznania pewnego marginesu uznaniowości Prezesowi URE przy wydawaniu decyzji o udzieleniu odstępstwa od stosowania określonych przepisów.</w:t>
            </w:r>
          </w:p>
          <w:p w14:paraId="5B894379" w14:textId="79FD7BFB" w:rsidR="00F848D2" w:rsidRDefault="00984244" w:rsidP="00F848D2">
            <w:pPr>
              <w:spacing w:before="100" w:beforeAutospacing="1" w:after="100" w:afterAutospacing="1"/>
              <w:jc w:val="both"/>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 xml:space="preserve">4. Po dokonaniu analiz przez </w:t>
            </w:r>
            <w:proofErr w:type="spellStart"/>
            <w:r>
              <w:rPr>
                <w:rFonts w:ascii="Times New Roman" w:eastAsia="Times New Roman" w:hAnsi="Times New Roman" w:cs="Times New Roman"/>
                <w:bCs/>
                <w:sz w:val="20"/>
                <w:szCs w:val="20"/>
                <w:lang w:eastAsia="pl-PL"/>
              </w:rPr>
              <w:t>MKiŚ</w:t>
            </w:r>
            <w:proofErr w:type="spellEnd"/>
            <w:r>
              <w:rPr>
                <w:rFonts w:ascii="Times New Roman" w:eastAsia="Times New Roman" w:hAnsi="Times New Roman" w:cs="Times New Roman"/>
                <w:bCs/>
                <w:sz w:val="20"/>
                <w:szCs w:val="20"/>
                <w:lang w:eastAsia="pl-PL"/>
              </w:rPr>
              <w:t xml:space="preserve">, wypracowane zostało stanowisko, iż nie ma potrzeby dokonywania ograniczeń terytorialnych w zakresie udzielania odstępstw regulacyjnych. Może to bowiem ograniczyć </w:t>
            </w:r>
            <w:r w:rsidR="008D175D">
              <w:rPr>
                <w:rFonts w:ascii="Times New Roman" w:eastAsia="Times New Roman" w:hAnsi="Times New Roman" w:cs="Times New Roman"/>
                <w:bCs/>
                <w:sz w:val="20"/>
                <w:szCs w:val="20"/>
                <w:lang w:eastAsia="pl-PL"/>
              </w:rPr>
              <w:t xml:space="preserve">zakres </w:t>
            </w:r>
            <w:r>
              <w:rPr>
                <w:rFonts w:ascii="Times New Roman" w:eastAsia="Times New Roman" w:hAnsi="Times New Roman" w:cs="Times New Roman"/>
                <w:bCs/>
                <w:sz w:val="20"/>
                <w:szCs w:val="20"/>
                <w:lang w:eastAsia="pl-PL"/>
              </w:rPr>
              <w:t xml:space="preserve">projektów, które będą stanowiły przedmiot wniosku o </w:t>
            </w:r>
            <w:r w:rsidR="00F848D2">
              <w:rPr>
                <w:rFonts w:ascii="Times New Roman" w:eastAsia="Times New Roman" w:hAnsi="Times New Roman" w:cs="Times New Roman"/>
                <w:bCs/>
                <w:sz w:val="20"/>
                <w:szCs w:val="20"/>
                <w:lang w:eastAsia="pl-PL"/>
              </w:rPr>
              <w:t>wydanie decyzji o udzieleniu odstępstwa od stosowania określonych przepisów.</w:t>
            </w:r>
          </w:p>
          <w:p w14:paraId="06A31E66" w14:textId="6B66D84A" w:rsidR="00984244" w:rsidRDefault="00F848D2" w:rsidP="00CB59F5">
            <w:pPr>
              <w:spacing w:before="100" w:beforeAutospacing="1" w:after="100" w:afterAutospacing="1"/>
              <w:jc w:val="both"/>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 xml:space="preserve">5. Okres obowiązywania odstępstwa został precyzyjnie określony po dokonaniu dokładnych analiz. Pozwala on bowiem na zintensyfikowanie prac, </w:t>
            </w:r>
            <w:r>
              <w:rPr>
                <w:rFonts w:ascii="Times New Roman" w:eastAsia="Times New Roman" w:hAnsi="Times New Roman" w:cs="Times New Roman"/>
                <w:bCs/>
                <w:sz w:val="20"/>
                <w:szCs w:val="20"/>
                <w:lang w:eastAsia="pl-PL"/>
              </w:rPr>
              <w:lastRenderedPageBreak/>
              <w:t xml:space="preserve">ich skoncentrowanie, a w przypadku nieuzyskania oczekiwanych rezultatów po trzyletnim okresie testowania, możliwe jest przedłużenie tego okresu. </w:t>
            </w:r>
          </w:p>
          <w:p w14:paraId="7CA5ED7C" w14:textId="2526DD62" w:rsidR="00F848D2" w:rsidRDefault="00F848D2" w:rsidP="00CB59F5">
            <w:pPr>
              <w:spacing w:before="100" w:beforeAutospacing="1" w:after="100" w:afterAutospacing="1"/>
              <w:jc w:val="both"/>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 xml:space="preserve">6. Kwestia oddziaływania na projekt nie została w bardziej szczegółowy sposób doprecyzowana na gruncie projektowanej regulacji z uwagi na ww. możliwość testowania bardzo szerokiego zakresu projektów. Nie jest więc możliwe precyzyjne określenie sposobu oddziaływania projektu. Ponadto, nie jest przewidziane tworzenie dodatkowego organu kontrolno-doradczego z uwagi na uregulowaną w projektowanej regulacji kwestię sprawozdawczości oraz </w:t>
            </w:r>
            <w:r w:rsidR="00E46FEE">
              <w:rPr>
                <w:rFonts w:ascii="Times New Roman" w:eastAsia="Times New Roman" w:hAnsi="Times New Roman" w:cs="Times New Roman"/>
                <w:bCs/>
                <w:sz w:val="20"/>
                <w:szCs w:val="20"/>
                <w:lang w:eastAsia="pl-PL"/>
              </w:rPr>
              <w:t xml:space="preserve">uprawnień kontrolnych przyznanych Prezesowi URE. Jest to regulacja wystarczająca w kontekście ww. niskiej liczby precyzyjnie dobranych projektów, które uzyskają decyzje o przyznaniu odstępstw od stosowania określonych przepisów. W zakresie ekspertyzy należy ponownie zaznaczyć, iż nie jest znany zakres podmiotów wnioskujących o udział w piaskownicy regulacyjnej, w związku z powyższym nie jest możliwe określenie bardziej szczegółowych kryteriów jej wykonania. Prezes URE jest organem regulującym rynek energetyczny, w związku z czym projektowana regulacja przyznaje mu szerokie możliwości w zakresie modelowania kształtu piaskownic regulacyjnych, co jest zasadne nie tylko z punktu widzenia prawnego, rynkowego czy </w:t>
            </w:r>
            <w:r w:rsidR="00E46FEE">
              <w:rPr>
                <w:rFonts w:ascii="Times New Roman" w:eastAsia="Times New Roman" w:hAnsi="Times New Roman" w:cs="Times New Roman"/>
                <w:bCs/>
                <w:sz w:val="20"/>
                <w:szCs w:val="20"/>
                <w:lang w:eastAsia="pl-PL"/>
              </w:rPr>
              <w:lastRenderedPageBreak/>
              <w:t xml:space="preserve">merytorycznego, zostało to </w:t>
            </w:r>
            <w:r w:rsidR="003E2044">
              <w:rPr>
                <w:rFonts w:ascii="Times New Roman" w:eastAsia="Times New Roman" w:hAnsi="Times New Roman" w:cs="Times New Roman"/>
                <w:bCs/>
                <w:sz w:val="20"/>
                <w:szCs w:val="20"/>
                <w:lang w:eastAsia="pl-PL"/>
              </w:rPr>
              <w:t>ponadto</w:t>
            </w:r>
            <w:r w:rsidR="00E46FEE">
              <w:rPr>
                <w:rFonts w:ascii="Times New Roman" w:eastAsia="Times New Roman" w:hAnsi="Times New Roman" w:cs="Times New Roman"/>
                <w:bCs/>
                <w:sz w:val="20"/>
                <w:szCs w:val="20"/>
                <w:lang w:eastAsia="pl-PL"/>
              </w:rPr>
              <w:t xml:space="preserve"> uzgodnione </w:t>
            </w:r>
            <w:r w:rsidR="003E2044">
              <w:rPr>
                <w:rFonts w:ascii="Times New Roman" w:eastAsia="Times New Roman" w:hAnsi="Times New Roman" w:cs="Times New Roman"/>
                <w:bCs/>
                <w:sz w:val="20"/>
                <w:szCs w:val="20"/>
                <w:lang w:eastAsia="pl-PL"/>
              </w:rPr>
              <w:t>w ramach roboczych konsultacji z URE.</w:t>
            </w:r>
          </w:p>
          <w:p w14:paraId="53C83A78" w14:textId="4789C59D" w:rsidR="00185B7E" w:rsidRDefault="003E2044" w:rsidP="00185B7E">
            <w:pPr>
              <w:spacing w:before="100" w:beforeAutospacing="1" w:after="100" w:afterAutospacing="1"/>
              <w:jc w:val="both"/>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 xml:space="preserve">7. </w:t>
            </w:r>
            <w:r w:rsidR="00185B7E">
              <w:rPr>
                <w:rFonts w:ascii="Times New Roman" w:eastAsia="Times New Roman" w:hAnsi="Times New Roman" w:cs="Times New Roman"/>
                <w:bCs/>
                <w:sz w:val="20"/>
                <w:szCs w:val="20"/>
                <w:lang w:eastAsia="pl-PL"/>
              </w:rPr>
              <w:t xml:space="preserve">W zakresie realizacji i ewaluacji odstępstw regulacyjnych, </w:t>
            </w:r>
            <w:proofErr w:type="spellStart"/>
            <w:r w:rsidR="00185B7E">
              <w:rPr>
                <w:rFonts w:ascii="Times New Roman" w:eastAsia="Times New Roman" w:hAnsi="Times New Roman" w:cs="Times New Roman"/>
                <w:bCs/>
                <w:sz w:val="20"/>
                <w:szCs w:val="20"/>
                <w:lang w:eastAsia="pl-PL"/>
              </w:rPr>
              <w:t>MKiŚ</w:t>
            </w:r>
            <w:proofErr w:type="spellEnd"/>
            <w:r w:rsidR="00185B7E">
              <w:rPr>
                <w:rFonts w:ascii="Times New Roman" w:eastAsia="Times New Roman" w:hAnsi="Times New Roman" w:cs="Times New Roman"/>
                <w:bCs/>
                <w:sz w:val="20"/>
                <w:szCs w:val="20"/>
                <w:lang w:eastAsia="pl-PL"/>
              </w:rPr>
              <w:t xml:space="preserve"> nie widzi potrzeby doprecyzowania projektu. </w:t>
            </w:r>
            <w:r w:rsidR="00523AB8">
              <w:rPr>
                <w:rFonts w:ascii="Times New Roman" w:eastAsia="Times New Roman" w:hAnsi="Times New Roman" w:cs="Times New Roman"/>
                <w:bCs/>
                <w:sz w:val="20"/>
                <w:szCs w:val="20"/>
                <w:lang w:eastAsia="pl-PL"/>
              </w:rPr>
              <w:t xml:space="preserve">Art. 24d ust. 11 nakłada na Prezesa URE obowiązek </w:t>
            </w:r>
            <w:r w:rsidR="00185B7E" w:rsidRPr="00185B7E">
              <w:rPr>
                <w:rFonts w:ascii="Times New Roman" w:eastAsia="Times New Roman" w:hAnsi="Times New Roman" w:cs="Times New Roman"/>
                <w:bCs/>
                <w:sz w:val="20"/>
                <w:szCs w:val="20"/>
                <w:lang w:eastAsia="pl-PL"/>
              </w:rPr>
              <w:t>ogł</w:t>
            </w:r>
            <w:r w:rsidR="00523AB8">
              <w:rPr>
                <w:rFonts w:ascii="Times New Roman" w:eastAsia="Times New Roman" w:hAnsi="Times New Roman" w:cs="Times New Roman"/>
                <w:bCs/>
                <w:sz w:val="20"/>
                <w:szCs w:val="20"/>
                <w:lang w:eastAsia="pl-PL"/>
              </w:rPr>
              <w:t>o</w:t>
            </w:r>
            <w:r w:rsidR="00185B7E" w:rsidRPr="00185B7E">
              <w:rPr>
                <w:rFonts w:ascii="Times New Roman" w:eastAsia="Times New Roman" w:hAnsi="Times New Roman" w:cs="Times New Roman"/>
                <w:bCs/>
                <w:sz w:val="20"/>
                <w:szCs w:val="20"/>
                <w:lang w:eastAsia="pl-PL"/>
              </w:rPr>
              <w:t>sz</w:t>
            </w:r>
            <w:r w:rsidR="00523AB8">
              <w:rPr>
                <w:rFonts w:ascii="Times New Roman" w:eastAsia="Times New Roman" w:hAnsi="Times New Roman" w:cs="Times New Roman"/>
                <w:bCs/>
                <w:sz w:val="20"/>
                <w:szCs w:val="20"/>
                <w:lang w:eastAsia="pl-PL"/>
              </w:rPr>
              <w:t>enia oraz</w:t>
            </w:r>
            <w:r w:rsidR="00185B7E" w:rsidRPr="00185B7E">
              <w:rPr>
                <w:rFonts w:ascii="Times New Roman" w:eastAsia="Times New Roman" w:hAnsi="Times New Roman" w:cs="Times New Roman"/>
                <w:bCs/>
                <w:sz w:val="20"/>
                <w:szCs w:val="20"/>
                <w:lang w:eastAsia="pl-PL"/>
              </w:rPr>
              <w:t xml:space="preserve"> organiz</w:t>
            </w:r>
            <w:r w:rsidR="00523AB8">
              <w:rPr>
                <w:rFonts w:ascii="Times New Roman" w:eastAsia="Times New Roman" w:hAnsi="Times New Roman" w:cs="Times New Roman"/>
                <w:bCs/>
                <w:sz w:val="20"/>
                <w:szCs w:val="20"/>
                <w:lang w:eastAsia="pl-PL"/>
              </w:rPr>
              <w:t>owania</w:t>
            </w:r>
            <w:r w:rsidR="00185B7E" w:rsidRPr="00185B7E">
              <w:rPr>
                <w:rFonts w:ascii="Times New Roman" w:eastAsia="Times New Roman" w:hAnsi="Times New Roman" w:cs="Times New Roman"/>
                <w:bCs/>
                <w:sz w:val="20"/>
                <w:szCs w:val="20"/>
                <w:lang w:eastAsia="pl-PL"/>
              </w:rPr>
              <w:t xml:space="preserve"> i przeprowadz</w:t>
            </w:r>
            <w:r w:rsidR="00523AB8">
              <w:rPr>
                <w:rFonts w:ascii="Times New Roman" w:eastAsia="Times New Roman" w:hAnsi="Times New Roman" w:cs="Times New Roman"/>
                <w:bCs/>
                <w:sz w:val="20"/>
                <w:szCs w:val="20"/>
                <w:lang w:eastAsia="pl-PL"/>
              </w:rPr>
              <w:t>enia</w:t>
            </w:r>
            <w:r w:rsidR="00185B7E" w:rsidRPr="00185B7E">
              <w:rPr>
                <w:rFonts w:ascii="Times New Roman" w:eastAsia="Times New Roman" w:hAnsi="Times New Roman" w:cs="Times New Roman"/>
                <w:bCs/>
                <w:sz w:val="20"/>
                <w:szCs w:val="20"/>
                <w:lang w:eastAsia="pl-PL"/>
              </w:rPr>
              <w:t xml:space="preserve"> postępowani</w:t>
            </w:r>
            <w:r w:rsidR="00523AB8">
              <w:rPr>
                <w:rFonts w:ascii="Times New Roman" w:eastAsia="Times New Roman" w:hAnsi="Times New Roman" w:cs="Times New Roman"/>
                <w:bCs/>
                <w:sz w:val="20"/>
                <w:szCs w:val="20"/>
                <w:lang w:eastAsia="pl-PL"/>
              </w:rPr>
              <w:t>a</w:t>
            </w:r>
            <w:r w:rsidR="00185B7E" w:rsidRPr="00185B7E">
              <w:rPr>
                <w:rFonts w:ascii="Times New Roman" w:eastAsia="Times New Roman" w:hAnsi="Times New Roman" w:cs="Times New Roman"/>
                <w:bCs/>
                <w:sz w:val="20"/>
                <w:szCs w:val="20"/>
                <w:lang w:eastAsia="pl-PL"/>
              </w:rPr>
              <w:t xml:space="preserve"> projektowe</w:t>
            </w:r>
            <w:r w:rsidR="00523AB8">
              <w:rPr>
                <w:rFonts w:ascii="Times New Roman" w:eastAsia="Times New Roman" w:hAnsi="Times New Roman" w:cs="Times New Roman"/>
                <w:bCs/>
                <w:sz w:val="20"/>
                <w:szCs w:val="20"/>
                <w:lang w:eastAsia="pl-PL"/>
              </w:rPr>
              <w:t xml:space="preserve">go. </w:t>
            </w:r>
            <w:r w:rsidR="00185B7E" w:rsidRPr="00185B7E">
              <w:rPr>
                <w:rFonts w:ascii="Times New Roman" w:eastAsia="Times New Roman" w:hAnsi="Times New Roman" w:cs="Times New Roman"/>
                <w:bCs/>
                <w:sz w:val="20"/>
                <w:szCs w:val="20"/>
                <w:lang w:eastAsia="pl-PL"/>
              </w:rPr>
              <w:t>W celu</w:t>
            </w:r>
            <w:r w:rsidR="00523AB8">
              <w:rPr>
                <w:rFonts w:ascii="Times New Roman" w:eastAsia="Times New Roman" w:hAnsi="Times New Roman" w:cs="Times New Roman"/>
                <w:bCs/>
                <w:sz w:val="20"/>
                <w:szCs w:val="20"/>
                <w:lang w:eastAsia="pl-PL"/>
              </w:rPr>
              <w:t xml:space="preserve"> jego</w:t>
            </w:r>
            <w:r w:rsidR="00185B7E" w:rsidRPr="00185B7E">
              <w:rPr>
                <w:rFonts w:ascii="Times New Roman" w:eastAsia="Times New Roman" w:hAnsi="Times New Roman" w:cs="Times New Roman"/>
                <w:bCs/>
                <w:sz w:val="20"/>
                <w:szCs w:val="20"/>
                <w:lang w:eastAsia="pl-PL"/>
              </w:rPr>
              <w:t xml:space="preserve"> przeprowadzenia Prezes URE publikuje w Biuletynie Informacji Publicznej Urzędu Regulacji Energetyki informator postępowania projektowego.</w:t>
            </w:r>
            <w:r w:rsidR="00523AB8">
              <w:rPr>
                <w:rFonts w:ascii="Times New Roman" w:eastAsia="Times New Roman" w:hAnsi="Times New Roman" w:cs="Times New Roman"/>
                <w:bCs/>
                <w:sz w:val="20"/>
                <w:szCs w:val="20"/>
                <w:lang w:eastAsia="pl-PL"/>
              </w:rPr>
              <w:t xml:space="preserve"> Informator ten może przewidywać możliwości ewaluacji odstępstw. Nie jest to materia, która musi zostać uregulowana na poziomie ustawowym.</w:t>
            </w:r>
          </w:p>
          <w:p w14:paraId="718DA96B" w14:textId="725E7E93" w:rsidR="00512240" w:rsidRPr="00512240" w:rsidRDefault="00523AB8" w:rsidP="00512240">
            <w:pPr>
              <w:spacing w:before="100" w:beforeAutospacing="1" w:after="100" w:afterAutospacing="1"/>
              <w:jc w:val="both"/>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8. Zgodnie z art. 24d ust. 13,</w:t>
            </w:r>
            <w:r w:rsidR="00512240">
              <w:rPr>
                <w:rFonts w:ascii="Times New Roman" w:eastAsia="Times New Roman" w:hAnsi="Times New Roman" w:cs="Times New Roman"/>
                <w:bCs/>
                <w:sz w:val="20"/>
                <w:szCs w:val="20"/>
                <w:lang w:eastAsia="pl-PL"/>
              </w:rPr>
              <w:t xml:space="preserve"> p</w:t>
            </w:r>
            <w:r w:rsidR="00512240" w:rsidRPr="00512240">
              <w:rPr>
                <w:rFonts w:ascii="Times New Roman" w:eastAsia="Times New Roman" w:hAnsi="Times New Roman" w:cs="Times New Roman"/>
                <w:bCs/>
                <w:sz w:val="20"/>
                <w:szCs w:val="20"/>
                <w:lang w:eastAsia="pl-PL"/>
              </w:rPr>
              <w:t>odmiot, któremu przyznane zostało odstępstwo w celu realizacji projektu</w:t>
            </w:r>
            <w:r>
              <w:rPr>
                <w:rFonts w:ascii="Times New Roman" w:eastAsia="Times New Roman" w:hAnsi="Times New Roman" w:cs="Times New Roman"/>
                <w:bCs/>
                <w:sz w:val="20"/>
                <w:szCs w:val="20"/>
                <w:lang w:eastAsia="pl-PL"/>
              </w:rPr>
              <w:t xml:space="preserve"> </w:t>
            </w:r>
            <w:r w:rsidRPr="00523AB8">
              <w:rPr>
                <w:rFonts w:ascii="Times New Roman" w:eastAsia="Times New Roman" w:hAnsi="Times New Roman" w:cs="Times New Roman"/>
                <w:bCs/>
                <w:sz w:val="20"/>
                <w:szCs w:val="20"/>
                <w:lang w:eastAsia="pl-PL"/>
              </w:rPr>
              <w:t>informuje zainteresowane podmioty, na które oddziałuje projekt, o eksperymentalnym charakterze projektu, a także o warunkach wykonywania obowiązków, od których przyznane zostało odstępstwo przed przystąpieniem do jego realizacji, w postaci elektronicznej</w:t>
            </w:r>
            <w:r w:rsidR="00512240">
              <w:rPr>
                <w:rFonts w:ascii="Times New Roman" w:eastAsia="Times New Roman" w:hAnsi="Times New Roman" w:cs="Times New Roman"/>
                <w:bCs/>
                <w:sz w:val="20"/>
                <w:szCs w:val="20"/>
                <w:lang w:eastAsia="pl-PL"/>
              </w:rPr>
              <w:t xml:space="preserve"> oraz </w:t>
            </w:r>
            <w:r w:rsidR="00512240" w:rsidRPr="00512240">
              <w:rPr>
                <w:rFonts w:ascii="Times New Roman" w:eastAsia="Times New Roman" w:hAnsi="Times New Roman" w:cs="Times New Roman"/>
                <w:bCs/>
                <w:sz w:val="20"/>
                <w:szCs w:val="20"/>
                <w:lang w:eastAsia="pl-PL"/>
              </w:rPr>
              <w:t>publikuje na swojej stronie internetowej informację o uzyskaniu odstępstwa, o którym mowa w ust. 1, oraz sposobie korzystania z tego odstępstwa</w:t>
            </w:r>
            <w:r w:rsidR="00512240">
              <w:rPr>
                <w:rFonts w:ascii="Times New Roman" w:eastAsia="Times New Roman" w:hAnsi="Times New Roman" w:cs="Times New Roman"/>
                <w:bCs/>
                <w:sz w:val="20"/>
                <w:szCs w:val="20"/>
                <w:lang w:eastAsia="pl-PL"/>
              </w:rPr>
              <w:t xml:space="preserve">. </w:t>
            </w:r>
            <w:proofErr w:type="spellStart"/>
            <w:r w:rsidR="00512240">
              <w:rPr>
                <w:rFonts w:ascii="Times New Roman" w:eastAsia="Times New Roman" w:hAnsi="Times New Roman" w:cs="Times New Roman"/>
                <w:bCs/>
                <w:sz w:val="20"/>
                <w:szCs w:val="20"/>
                <w:lang w:eastAsia="pl-PL"/>
              </w:rPr>
              <w:t>MKiŚ</w:t>
            </w:r>
            <w:proofErr w:type="spellEnd"/>
            <w:r w:rsidR="00512240">
              <w:rPr>
                <w:rFonts w:ascii="Times New Roman" w:eastAsia="Times New Roman" w:hAnsi="Times New Roman" w:cs="Times New Roman"/>
                <w:bCs/>
                <w:sz w:val="20"/>
                <w:szCs w:val="20"/>
                <w:lang w:eastAsia="pl-PL"/>
              </w:rPr>
              <w:t xml:space="preserve"> stoi na stanowisku, iż nie ma potrzeby dodatkowego obciążania Prezesa URE </w:t>
            </w:r>
            <w:r w:rsidR="00512240">
              <w:rPr>
                <w:rFonts w:ascii="Times New Roman" w:eastAsia="Times New Roman" w:hAnsi="Times New Roman" w:cs="Times New Roman"/>
                <w:bCs/>
                <w:sz w:val="20"/>
                <w:szCs w:val="20"/>
                <w:lang w:eastAsia="pl-PL"/>
              </w:rPr>
              <w:lastRenderedPageBreak/>
              <w:t>prowadzeniem wykazu projektów w kontekście ww. obowiązków informacyjnych.</w:t>
            </w:r>
          </w:p>
          <w:p w14:paraId="3F199379" w14:textId="62A96934" w:rsidR="00523AB8" w:rsidRPr="00523AB8" w:rsidRDefault="00523AB8" w:rsidP="00523AB8">
            <w:pPr>
              <w:spacing w:before="100" w:beforeAutospacing="1" w:after="100" w:afterAutospacing="1"/>
              <w:jc w:val="both"/>
              <w:rPr>
                <w:rFonts w:ascii="Times New Roman" w:eastAsia="Times New Roman" w:hAnsi="Times New Roman" w:cs="Times New Roman"/>
                <w:bCs/>
                <w:sz w:val="20"/>
                <w:szCs w:val="20"/>
                <w:lang w:eastAsia="pl-PL"/>
              </w:rPr>
            </w:pPr>
          </w:p>
          <w:p w14:paraId="0B6F04FC" w14:textId="533B66D7" w:rsidR="00523AB8" w:rsidRPr="00185B7E" w:rsidRDefault="00523AB8" w:rsidP="00185B7E">
            <w:pPr>
              <w:spacing w:before="100" w:beforeAutospacing="1" w:after="100" w:afterAutospacing="1"/>
              <w:jc w:val="both"/>
              <w:rPr>
                <w:rFonts w:ascii="Times New Roman" w:eastAsia="Times New Roman" w:hAnsi="Times New Roman" w:cs="Times New Roman"/>
                <w:bCs/>
                <w:sz w:val="20"/>
                <w:szCs w:val="20"/>
                <w:lang w:eastAsia="pl-PL"/>
              </w:rPr>
            </w:pPr>
          </w:p>
          <w:p w14:paraId="5F07BD16" w14:textId="4377E3D6" w:rsidR="003E2044" w:rsidRPr="00CB59F5" w:rsidRDefault="003E2044" w:rsidP="00CB59F5">
            <w:pPr>
              <w:spacing w:before="100" w:beforeAutospacing="1" w:after="100" w:afterAutospacing="1"/>
              <w:jc w:val="both"/>
              <w:rPr>
                <w:rFonts w:ascii="Times New Roman" w:eastAsia="Times New Roman" w:hAnsi="Times New Roman" w:cs="Times New Roman"/>
                <w:bCs/>
                <w:sz w:val="20"/>
                <w:szCs w:val="20"/>
                <w:lang w:eastAsia="pl-PL"/>
              </w:rPr>
            </w:pPr>
          </w:p>
          <w:p w14:paraId="0EDE2815" w14:textId="7565A892" w:rsidR="00900EC8" w:rsidRPr="00FB001B" w:rsidRDefault="00900EC8" w:rsidP="00FB001B">
            <w:pPr>
              <w:spacing w:before="100" w:beforeAutospacing="1" w:after="100" w:afterAutospacing="1"/>
              <w:jc w:val="both"/>
              <w:rPr>
                <w:rFonts w:ascii="Times New Roman" w:eastAsia="Times New Roman" w:hAnsi="Times New Roman" w:cs="Times New Roman"/>
                <w:sz w:val="20"/>
                <w:szCs w:val="20"/>
                <w:lang w:eastAsia="pl-PL"/>
              </w:rPr>
            </w:pPr>
          </w:p>
          <w:p w14:paraId="48C1A0F7" w14:textId="77777777" w:rsidR="006111A6" w:rsidRPr="00FB001B" w:rsidRDefault="006111A6" w:rsidP="005C3DA1">
            <w:pPr>
              <w:spacing w:before="100" w:beforeAutospacing="1" w:after="100" w:afterAutospacing="1"/>
              <w:jc w:val="both"/>
              <w:rPr>
                <w:rFonts w:ascii="Times New Roman" w:hAnsi="Times New Roman" w:cs="Times New Roman"/>
                <w:b/>
                <w:sz w:val="20"/>
                <w:szCs w:val="20"/>
              </w:rPr>
            </w:pPr>
          </w:p>
        </w:tc>
      </w:tr>
      <w:tr w:rsidR="006111A6" w:rsidRPr="00F67491" w14:paraId="404A3E9D" w14:textId="77777777" w:rsidTr="00FA044A">
        <w:tc>
          <w:tcPr>
            <w:tcW w:w="570" w:type="dxa"/>
          </w:tcPr>
          <w:p w14:paraId="2AA85FB1" w14:textId="2BA27739" w:rsidR="006111A6" w:rsidRPr="00F67491" w:rsidRDefault="00F93C40" w:rsidP="00F93C40">
            <w:pPr>
              <w:jc w:val="center"/>
              <w:rPr>
                <w:rFonts w:ascii="Times New Roman" w:hAnsi="Times New Roman" w:cs="Times New Roman"/>
                <w:bCs/>
                <w:sz w:val="20"/>
                <w:szCs w:val="20"/>
              </w:rPr>
            </w:pPr>
            <w:r>
              <w:rPr>
                <w:rFonts w:ascii="Times New Roman" w:hAnsi="Times New Roman" w:cs="Times New Roman"/>
                <w:bCs/>
                <w:sz w:val="20"/>
                <w:szCs w:val="20"/>
              </w:rPr>
              <w:lastRenderedPageBreak/>
              <w:t>7</w:t>
            </w:r>
          </w:p>
        </w:tc>
        <w:tc>
          <w:tcPr>
            <w:tcW w:w="2119" w:type="dxa"/>
          </w:tcPr>
          <w:p w14:paraId="186BD19C" w14:textId="072D0721" w:rsidR="006111A6" w:rsidRPr="00F67491" w:rsidRDefault="00FB001B" w:rsidP="00FB001B">
            <w:pPr>
              <w:jc w:val="center"/>
              <w:rPr>
                <w:rFonts w:ascii="Times New Roman" w:hAnsi="Times New Roman" w:cs="Times New Roman"/>
                <w:bCs/>
                <w:sz w:val="20"/>
                <w:szCs w:val="20"/>
              </w:rPr>
            </w:pPr>
            <w:r>
              <w:rPr>
                <w:rFonts w:ascii="Times New Roman" w:hAnsi="Times New Roman" w:cs="Times New Roman"/>
                <w:bCs/>
                <w:sz w:val="20"/>
                <w:szCs w:val="20"/>
              </w:rPr>
              <w:t>Minister do spraw Unii Europejskiej</w:t>
            </w:r>
          </w:p>
        </w:tc>
        <w:tc>
          <w:tcPr>
            <w:tcW w:w="1984" w:type="dxa"/>
          </w:tcPr>
          <w:p w14:paraId="7B550C02" w14:textId="6070E4BB" w:rsidR="006111A6" w:rsidRPr="00F67491" w:rsidRDefault="00011D61" w:rsidP="00011D61">
            <w:pPr>
              <w:jc w:val="center"/>
              <w:rPr>
                <w:rFonts w:ascii="Times New Roman" w:hAnsi="Times New Roman" w:cs="Times New Roman"/>
                <w:bCs/>
                <w:sz w:val="20"/>
                <w:szCs w:val="20"/>
              </w:rPr>
            </w:pPr>
            <w:r>
              <w:rPr>
                <w:rFonts w:ascii="Times New Roman" w:hAnsi="Times New Roman" w:cs="Times New Roman"/>
                <w:bCs/>
                <w:sz w:val="20"/>
                <w:szCs w:val="20"/>
              </w:rPr>
              <w:t>Art. 30 projektu ustawy</w:t>
            </w:r>
          </w:p>
        </w:tc>
        <w:tc>
          <w:tcPr>
            <w:tcW w:w="5954" w:type="dxa"/>
          </w:tcPr>
          <w:p w14:paraId="60FB11D0" w14:textId="77777777" w:rsidR="00FB001B" w:rsidRPr="00FB001B" w:rsidRDefault="00FB001B" w:rsidP="00FB001B">
            <w:pPr>
              <w:jc w:val="both"/>
              <w:rPr>
                <w:rFonts w:ascii="Times New Roman" w:hAnsi="Times New Roman" w:cs="Times New Roman"/>
                <w:bCs/>
                <w:sz w:val="20"/>
                <w:szCs w:val="20"/>
              </w:rPr>
            </w:pPr>
            <w:r w:rsidRPr="00FB001B">
              <w:rPr>
                <w:rFonts w:ascii="Times New Roman" w:hAnsi="Times New Roman" w:cs="Times New Roman"/>
                <w:bCs/>
                <w:sz w:val="20"/>
                <w:szCs w:val="20"/>
              </w:rPr>
              <w:t xml:space="preserve">W projektowanym przepisie przewidziano szereg wyjątków od terminu wejścia w życie przepisów ustawy (14 dni od dnia ogłoszenia), tj.: </w:t>
            </w:r>
          </w:p>
          <w:p w14:paraId="1AE7424A" w14:textId="77777777" w:rsidR="00FB001B" w:rsidRPr="00FB001B" w:rsidRDefault="00FB001B" w:rsidP="00FB001B">
            <w:pPr>
              <w:jc w:val="both"/>
              <w:rPr>
                <w:rFonts w:ascii="Times New Roman" w:hAnsi="Times New Roman" w:cs="Times New Roman"/>
                <w:bCs/>
                <w:sz w:val="20"/>
                <w:szCs w:val="20"/>
              </w:rPr>
            </w:pPr>
            <w:r w:rsidRPr="00FB001B">
              <w:rPr>
                <w:rFonts w:ascii="Times New Roman" w:hAnsi="Times New Roman" w:cs="Times New Roman"/>
                <w:bCs/>
                <w:sz w:val="20"/>
                <w:szCs w:val="20"/>
              </w:rPr>
              <w:t>1)</w:t>
            </w:r>
            <w:r w:rsidRPr="00FB001B">
              <w:rPr>
                <w:rFonts w:ascii="Times New Roman" w:hAnsi="Times New Roman" w:cs="Times New Roman"/>
                <w:bCs/>
                <w:sz w:val="20"/>
                <w:szCs w:val="20"/>
              </w:rPr>
              <w:tab/>
              <w:t>art. 1 pkt 5 lit. b w zakresie zmienianego art. 4j ust. 3a; pkt 6 lit. f w zakresie dodawanego art. 5 ust. 3b; art. 1 pkt 5 lit. h w zakresie dodawanego art. 5 ust. 4d oraz art. 1 pkt 11 lit. b w zakresie art. 7 ust. 3f-3l, które wchodzą w życie po upływie 2 miesięcy od dnia ogłoszenia;</w:t>
            </w:r>
          </w:p>
          <w:p w14:paraId="34E6CFAC" w14:textId="77777777" w:rsidR="00FB001B" w:rsidRPr="00FB001B" w:rsidRDefault="00FB001B" w:rsidP="00FB001B">
            <w:pPr>
              <w:jc w:val="both"/>
              <w:rPr>
                <w:rFonts w:ascii="Times New Roman" w:hAnsi="Times New Roman" w:cs="Times New Roman"/>
                <w:bCs/>
                <w:sz w:val="20"/>
                <w:szCs w:val="20"/>
              </w:rPr>
            </w:pPr>
            <w:r w:rsidRPr="00FB001B">
              <w:rPr>
                <w:rFonts w:ascii="Times New Roman" w:hAnsi="Times New Roman" w:cs="Times New Roman"/>
                <w:bCs/>
                <w:sz w:val="20"/>
                <w:szCs w:val="20"/>
              </w:rPr>
              <w:t>2)</w:t>
            </w:r>
            <w:r w:rsidRPr="00FB001B">
              <w:rPr>
                <w:rFonts w:ascii="Times New Roman" w:hAnsi="Times New Roman" w:cs="Times New Roman"/>
                <w:bCs/>
                <w:sz w:val="20"/>
                <w:szCs w:val="20"/>
              </w:rPr>
              <w:tab/>
              <w:t>art. 1 pkt 6 lit. f w zakresie dodawanego art. 5 ust. 3a; art. 1 pkt 5 lit. m w zakresie dodawanego art. 5 ust. 6ca pkt 1 lit. a oraz art. 16, które wchodzą w życie po upływie 6 miesięcy od dnia ogłoszenia;</w:t>
            </w:r>
          </w:p>
          <w:p w14:paraId="15B9DB92" w14:textId="77777777" w:rsidR="00FB001B" w:rsidRPr="00FB001B" w:rsidRDefault="00FB001B" w:rsidP="00FB001B">
            <w:pPr>
              <w:jc w:val="both"/>
              <w:rPr>
                <w:rFonts w:ascii="Times New Roman" w:hAnsi="Times New Roman" w:cs="Times New Roman"/>
                <w:bCs/>
                <w:sz w:val="20"/>
                <w:szCs w:val="20"/>
              </w:rPr>
            </w:pPr>
            <w:r w:rsidRPr="00FB001B">
              <w:rPr>
                <w:rFonts w:ascii="Times New Roman" w:hAnsi="Times New Roman" w:cs="Times New Roman"/>
                <w:bCs/>
                <w:sz w:val="20"/>
                <w:szCs w:val="20"/>
              </w:rPr>
              <w:t>3)</w:t>
            </w:r>
            <w:r w:rsidRPr="00FB001B">
              <w:rPr>
                <w:rFonts w:ascii="Times New Roman" w:hAnsi="Times New Roman" w:cs="Times New Roman"/>
                <w:bCs/>
                <w:sz w:val="20"/>
                <w:szCs w:val="20"/>
              </w:rPr>
              <w:tab/>
              <w:t>art. 1 pkt 6 lit. i w zakresie dodawanego art. 5 ust. 4d-4h; art. 1 pkt 6 lit. l w zakresie zmienianego art. 5 ust. 6, które wchodzą w życie 9 miesięcy od dnia ogłoszenia;</w:t>
            </w:r>
          </w:p>
          <w:p w14:paraId="16291A9A" w14:textId="77777777" w:rsidR="00FB001B" w:rsidRPr="00FB001B" w:rsidRDefault="00FB001B" w:rsidP="00FB001B">
            <w:pPr>
              <w:jc w:val="both"/>
              <w:rPr>
                <w:rFonts w:ascii="Times New Roman" w:hAnsi="Times New Roman" w:cs="Times New Roman"/>
                <w:bCs/>
                <w:sz w:val="20"/>
                <w:szCs w:val="20"/>
              </w:rPr>
            </w:pPr>
            <w:r w:rsidRPr="00FB001B">
              <w:rPr>
                <w:rFonts w:ascii="Times New Roman" w:hAnsi="Times New Roman" w:cs="Times New Roman"/>
                <w:bCs/>
                <w:sz w:val="20"/>
                <w:szCs w:val="20"/>
              </w:rPr>
              <w:t>4)</w:t>
            </w:r>
            <w:r w:rsidRPr="00FB001B">
              <w:rPr>
                <w:rFonts w:ascii="Times New Roman" w:hAnsi="Times New Roman" w:cs="Times New Roman"/>
                <w:bCs/>
                <w:sz w:val="20"/>
                <w:szCs w:val="20"/>
              </w:rPr>
              <w:tab/>
              <w:t xml:space="preserve">art. 1 pkt 6 w zakresie dodawanego art. 5 ust. 4e–4g, ust. 6ca pkt 1 lit. b i ust. 6g oraz art. 1 pkt 16 lit. d w zakresie dodawanego art. 9c ust. 4c oraz art. 1 pkt 50 w zakresie dodawanego art. 31g, które wchodzą w życie po upływie 12 miesięcy od dnia ogłoszenia; </w:t>
            </w:r>
          </w:p>
          <w:p w14:paraId="41EE4004" w14:textId="77777777" w:rsidR="00FB001B" w:rsidRPr="00FB001B" w:rsidRDefault="00FB001B" w:rsidP="00FB001B">
            <w:pPr>
              <w:jc w:val="both"/>
              <w:rPr>
                <w:rFonts w:ascii="Times New Roman" w:hAnsi="Times New Roman" w:cs="Times New Roman"/>
                <w:bCs/>
                <w:sz w:val="20"/>
                <w:szCs w:val="20"/>
              </w:rPr>
            </w:pPr>
            <w:r w:rsidRPr="00FB001B">
              <w:rPr>
                <w:rFonts w:ascii="Times New Roman" w:hAnsi="Times New Roman" w:cs="Times New Roman"/>
                <w:bCs/>
                <w:sz w:val="20"/>
                <w:szCs w:val="20"/>
              </w:rPr>
              <w:t>5)</w:t>
            </w:r>
            <w:r w:rsidRPr="00FB001B">
              <w:rPr>
                <w:rFonts w:ascii="Times New Roman" w:hAnsi="Times New Roman" w:cs="Times New Roman"/>
                <w:bCs/>
                <w:sz w:val="20"/>
                <w:szCs w:val="20"/>
              </w:rPr>
              <w:tab/>
              <w:t xml:space="preserve">art. 1 pkt 6 lit. c </w:t>
            </w:r>
            <w:proofErr w:type="spellStart"/>
            <w:r w:rsidRPr="00FB001B">
              <w:rPr>
                <w:rFonts w:ascii="Times New Roman" w:hAnsi="Times New Roman" w:cs="Times New Roman"/>
                <w:bCs/>
                <w:sz w:val="20"/>
                <w:szCs w:val="20"/>
              </w:rPr>
              <w:t>tiret</w:t>
            </w:r>
            <w:proofErr w:type="spellEnd"/>
            <w:r w:rsidRPr="00FB001B">
              <w:rPr>
                <w:rFonts w:ascii="Times New Roman" w:hAnsi="Times New Roman" w:cs="Times New Roman"/>
                <w:bCs/>
                <w:sz w:val="20"/>
                <w:szCs w:val="20"/>
              </w:rPr>
              <w:t xml:space="preserve"> drugie w zakresie art. 5 ust. 2a pkt 1 i 2 oraz art. 1 pkt 30-33 w zakresie art. 11z, 11zb, 11zc i 11zg, które wchodzą w życie z dniem 1 lipca 2024 r.;</w:t>
            </w:r>
          </w:p>
          <w:p w14:paraId="6C1AAA86" w14:textId="77777777" w:rsidR="00FB001B" w:rsidRPr="00FB001B" w:rsidRDefault="00FB001B" w:rsidP="00FB001B">
            <w:pPr>
              <w:jc w:val="both"/>
              <w:rPr>
                <w:rFonts w:ascii="Times New Roman" w:hAnsi="Times New Roman" w:cs="Times New Roman"/>
                <w:bCs/>
                <w:sz w:val="20"/>
                <w:szCs w:val="20"/>
              </w:rPr>
            </w:pPr>
            <w:r w:rsidRPr="00FB001B">
              <w:rPr>
                <w:rFonts w:ascii="Times New Roman" w:hAnsi="Times New Roman" w:cs="Times New Roman"/>
                <w:bCs/>
                <w:sz w:val="20"/>
                <w:szCs w:val="20"/>
              </w:rPr>
              <w:t>6)</w:t>
            </w:r>
            <w:r w:rsidRPr="00FB001B">
              <w:rPr>
                <w:rFonts w:ascii="Times New Roman" w:hAnsi="Times New Roman" w:cs="Times New Roman"/>
                <w:bCs/>
                <w:sz w:val="20"/>
                <w:szCs w:val="20"/>
              </w:rPr>
              <w:tab/>
              <w:t>art. 1 pkt 6 lit. m w zakresie dodawanego art. 5 ust. 6ca pkt 2, który wchodzi w życie z dniem 21 maja 2024 r.;</w:t>
            </w:r>
          </w:p>
          <w:p w14:paraId="560CC50C" w14:textId="77777777" w:rsidR="00FB001B" w:rsidRPr="00FB001B" w:rsidRDefault="00FB001B" w:rsidP="00FB001B">
            <w:pPr>
              <w:jc w:val="both"/>
              <w:rPr>
                <w:rFonts w:ascii="Times New Roman" w:hAnsi="Times New Roman" w:cs="Times New Roman"/>
                <w:bCs/>
                <w:sz w:val="20"/>
                <w:szCs w:val="20"/>
              </w:rPr>
            </w:pPr>
            <w:r w:rsidRPr="00FB001B">
              <w:rPr>
                <w:rFonts w:ascii="Times New Roman" w:hAnsi="Times New Roman" w:cs="Times New Roman"/>
                <w:bCs/>
                <w:sz w:val="20"/>
                <w:szCs w:val="20"/>
              </w:rPr>
              <w:t>7)</w:t>
            </w:r>
            <w:r w:rsidRPr="00FB001B">
              <w:rPr>
                <w:rFonts w:ascii="Times New Roman" w:hAnsi="Times New Roman" w:cs="Times New Roman"/>
                <w:bCs/>
                <w:sz w:val="20"/>
                <w:szCs w:val="20"/>
              </w:rPr>
              <w:tab/>
              <w:t>art. 1 pkt 5 lit. d w zakresie dodawanego art. 4j ust. 6a–6d, oraz art. 1 pkt 7 w zakresie dodawanego art. 5a1 ust. 8, które wchodzą w życie z dniem 1 stycznia 2026 r.</w:t>
            </w:r>
          </w:p>
          <w:p w14:paraId="08BAADBA" w14:textId="42F04CA1" w:rsidR="006111A6" w:rsidRPr="00F67491" w:rsidRDefault="00FB001B" w:rsidP="00FB001B">
            <w:pPr>
              <w:jc w:val="both"/>
              <w:rPr>
                <w:rFonts w:ascii="Times New Roman" w:hAnsi="Times New Roman" w:cs="Times New Roman"/>
                <w:bCs/>
                <w:sz w:val="20"/>
                <w:szCs w:val="20"/>
              </w:rPr>
            </w:pPr>
            <w:r w:rsidRPr="00FB001B">
              <w:rPr>
                <w:rFonts w:ascii="Times New Roman" w:hAnsi="Times New Roman" w:cs="Times New Roman"/>
                <w:bCs/>
                <w:sz w:val="20"/>
                <w:szCs w:val="20"/>
              </w:rPr>
              <w:t>W związku z powyższym, biorąc pod uwagę, że termin wprowadzenia w życie przepisów niezbędnych do wykonania dyrektywy 2019/944  upłynął w dniu 31 grudnia 2020 r. zgodnie z jej art. 71 ust. 1, należy zapewnić jak najszybsze wdrożenie jej przepisów. Analogiczna sytuacja dotyczy dyrektywy 2018/2001/UE, której art. 36 ust. 1 przewiduje termin na transpozycję do dnia 30 czerwca 2021 r. a także rozporządzenia 2019/943, które zgodnie z art. 71 ust. 2 stosuje się od dnia 1 stycznia 2020 r. Ponadto należy podkreślić, że akty te nie przewidują okresów przejściowych przewidzianych w art. 30 projektu.</w:t>
            </w:r>
          </w:p>
        </w:tc>
        <w:tc>
          <w:tcPr>
            <w:tcW w:w="3367" w:type="dxa"/>
          </w:tcPr>
          <w:p w14:paraId="686772ED" w14:textId="77777777" w:rsidR="00AE4B58" w:rsidRPr="00FA044A" w:rsidRDefault="00AE4B58" w:rsidP="00AE4B58">
            <w:pPr>
              <w:jc w:val="center"/>
              <w:rPr>
                <w:rFonts w:ascii="Times New Roman" w:hAnsi="Times New Roman" w:cs="Times New Roman"/>
                <w:b/>
                <w:sz w:val="20"/>
                <w:szCs w:val="20"/>
              </w:rPr>
            </w:pPr>
            <w:r w:rsidRPr="00FA044A">
              <w:rPr>
                <w:rFonts w:ascii="Times New Roman" w:hAnsi="Times New Roman" w:cs="Times New Roman"/>
                <w:b/>
                <w:sz w:val="20"/>
                <w:szCs w:val="20"/>
              </w:rPr>
              <w:t xml:space="preserve">Uwaga </w:t>
            </w:r>
            <w:r>
              <w:rPr>
                <w:rFonts w:ascii="Times New Roman" w:hAnsi="Times New Roman" w:cs="Times New Roman"/>
                <w:b/>
                <w:sz w:val="20"/>
                <w:szCs w:val="20"/>
              </w:rPr>
              <w:t>nieuwzględniona</w:t>
            </w:r>
          </w:p>
          <w:p w14:paraId="3AF9F7BA" w14:textId="77777777" w:rsidR="006111A6" w:rsidRDefault="006111A6" w:rsidP="00F67491">
            <w:pPr>
              <w:jc w:val="both"/>
              <w:rPr>
                <w:rFonts w:ascii="Times New Roman" w:hAnsi="Times New Roman" w:cs="Times New Roman"/>
                <w:bCs/>
                <w:sz w:val="20"/>
                <w:szCs w:val="20"/>
              </w:rPr>
            </w:pPr>
          </w:p>
          <w:p w14:paraId="1D9C86D2" w14:textId="4D83B9D2" w:rsidR="00011D61" w:rsidRDefault="00D6182E" w:rsidP="00F67491">
            <w:pPr>
              <w:jc w:val="both"/>
              <w:rPr>
                <w:rFonts w:ascii="Times New Roman" w:hAnsi="Times New Roman" w:cs="Times New Roman"/>
                <w:bCs/>
                <w:sz w:val="20"/>
                <w:szCs w:val="20"/>
              </w:rPr>
            </w:pPr>
            <w:r>
              <w:rPr>
                <w:rFonts w:ascii="Times New Roman" w:hAnsi="Times New Roman" w:cs="Times New Roman"/>
                <w:bCs/>
                <w:sz w:val="20"/>
                <w:szCs w:val="20"/>
              </w:rPr>
              <w:t>Przepisy d</w:t>
            </w:r>
            <w:r w:rsidR="008D29DD">
              <w:rPr>
                <w:rFonts w:ascii="Times New Roman" w:hAnsi="Times New Roman" w:cs="Times New Roman"/>
                <w:bCs/>
                <w:sz w:val="20"/>
                <w:szCs w:val="20"/>
              </w:rPr>
              <w:t xml:space="preserve">yrektyw 2019/944 i 2018/2001 oraz </w:t>
            </w:r>
            <w:r w:rsidR="008D29DD" w:rsidRPr="008D29DD">
              <w:rPr>
                <w:rFonts w:ascii="Times New Roman" w:hAnsi="Times New Roman" w:cs="Times New Roman"/>
                <w:bCs/>
                <w:sz w:val="20"/>
                <w:szCs w:val="20"/>
              </w:rPr>
              <w:t>rozporządzeni</w:t>
            </w:r>
            <w:r>
              <w:rPr>
                <w:rFonts w:ascii="Times New Roman" w:hAnsi="Times New Roman" w:cs="Times New Roman"/>
                <w:bCs/>
                <w:sz w:val="20"/>
                <w:szCs w:val="20"/>
              </w:rPr>
              <w:t>a</w:t>
            </w:r>
            <w:r w:rsidR="008D29DD" w:rsidRPr="008D29DD">
              <w:rPr>
                <w:rFonts w:ascii="Times New Roman" w:hAnsi="Times New Roman" w:cs="Times New Roman"/>
                <w:bCs/>
                <w:sz w:val="20"/>
                <w:szCs w:val="20"/>
              </w:rPr>
              <w:t xml:space="preserve"> 2019/943</w:t>
            </w:r>
            <w:r w:rsidR="008D29DD">
              <w:rPr>
                <w:rFonts w:ascii="Times New Roman" w:hAnsi="Times New Roman" w:cs="Times New Roman"/>
                <w:bCs/>
                <w:sz w:val="20"/>
                <w:szCs w:val="20"/>
              </w:rPr>
              <w:t xml:space="preserve"> </w:t>
            </w:r>
            <w:r w:rsidRPr="00D6182E">
              <w:rPr>
                <w:rFonts w:ascii="Times New Roman" w:hAnsi="Times New Roman" w:cs="Times New Roman"/>
                <w:bCs/>
                <w:sz w:val="20"/>
                <w:szCs w:val="20"/>
              </w:rPr>
              <w:t>nie przewidują okresów przejściowych</w:t>
            </w:r>
            <w:r>
              <w:rPr>
                <w:rFonts w:ascii="Times New Roman" w:hAnsi="Times New Roman" w:cs="Times New Roman"/>
                <w:bCs/>
                <w:sz w:val="20"/>
                <w:szCs w:val="20"/>
              </w:rPr>
              <w:t xml:space="preserve">, </w:t>
            </w:r>
            <w:r w:rsidR="00A905C7">
              <w:rPr>
                <w:rFonts w:ascii="Times New Roman" w:hAnsi="Times New Roman" w:cs="Times New Roman"/>
                <w:bCs/>
                <w:sz w:val="20"/>
                <w:szCs w:val="20"/>
              </w:rPr>
              <w:t xml:space="preserve">jednak ich </w:t>
            </w:r>
            <w:r w:rsidR="00F835B6">
              <w:rPr>
                <w:rFonts w:ascii="Times New Roman" w:hAnsi="Times New Roman" w:cs="Times New Roman"/>
                <w:bCs/>
                <w:sz w:val="20"/>
                <w:szCs w:val="20"/>
              </w:rPr>
              <w:t>wprowadzenie</w:t>
            </w:r>
            <w:r w:rsidR="00A905C7">
              <w:rPr>
                <w:rFonts w:ascii="Times New Roman" w:hAnsi="Times New Roman" w:cs="Times New Roman"/>
                <w:bCs/>
                <w:sz w:val="20"/>
                <w:szCs w:val="20"/>
              </w:rPr>
              <w:t xml:space="preserve"> w projekcie ustawy wdrażających ww. akty do krajowego porządku prawnego jest niezbędne z uwagi na konieczność zapewnienia adresatom czasu na </w:t>
            </w:r>
            <w:r w:rsidR="00F835B6">
              <w:rPr>
                <w:rFonts w:ascii="Times New Roman" w:hAnsi="Times New Roman" w:cs="Times New Roman"/>
                <w:bCs/>
                <w:sz w:val="20"/>
                <w:szCs w:val="20"/>
              </w:rPr>
              <w:t xml:space="preserve">dostosowanie się do nowej </w:t>
            </w:r>
            <w:r w:rsidR="00FE32BD">
              <w:rPr>
                <w:rFonts w:ascii="Times New Roman" w:hAnsi="Times New Roman" w:cs="Times New Roman"/>
                <w:bCs/>
                <w:sz w:val="20"/>
                <w:szCs w:val="20"/>
              </w:rPr>
              <w:t>sytuacji prawnej, która nakłada na nich dodatkowe obowiązki</w:t>
            </w:r>
            <w:r w:rsidR="00425B02">
              <w:rPr>
                <w:rFonts w:ascii="Times New Roman" w:hAnsi="Times New Roman" w:cs="Times New Roman"/>
                <w:bCs/>
                <w:sz w:val="20"/>
                <w:szCs w:val="20"/>
              </w:rPr>
              <w:t xml:space="preserve"> </w:t>
            </w:r>
            <w:r w:rsidR="004A2D3A">
              <w:rPr>
                <w:rFonts w:ascii="Times New Roman" w:hAnsi="Times New Roman" w:cs="Times New Roman"/>
                <w:bCs/>
                <w:sz w:val="20"/>
                <w:szCs w:val="20"/>
              </w:rPr>
              <w:t>(</w:t>
            </w:r>
            <w:r w:rsidR="00FE32BD">
              <w:rPr>
                <w:rFonts w:ascii="Times New Roman" w:hAnsi="Times New Roman" w:cs="Times New Roman"/>
                <w:bCs/>
                <w:sz w:val="20"/>
                <w:szCs w:val="20"/>
              </w:rPr>
              <w:t>co wiąże się z m.in. z  nakładami finansowymi, zatrudnieniem nowych pracowników</w:t>
            </w:r>
            <w:r w:rsidR="00425B02">
              <w:rPr>
                <w:rFonts w:ascii="Times New Roman" w:hAnsi="Times New Roman" w:cs="Times New Roman"/>
                <w:bCs/>
                <w:sz w:val="20"/>
                <w:szCs w:val="20"/>
              </w:rPr>
              <w:t>, czy dostosowaniem do innych regulacji, których wejście w życie również zostało odłożone w czasie</w:t>
            </w:r>
            <w:r w:rsidR="004A2D3A">
              <w:rPr>
                <w:rFonts w:ascii="Times New Roman" w:hAnsi="Times New Roman" w:cs="Times New Roman"/>
                <w:bCs/>
                <w:sz w:val="20"/>
                <w:szCs w:val="20"/>
              </w:rPr>
              <w:t>)</w:t>
            </w:r>
            <w:r w:rsidR="00FE32BD">
              <w:rPr>
                <w:rFonts w:ascii="Times New Roman" w:hAnsi="Times New Roman" w:cs="Times New Roman"/>
                <w:bCs/>
                <w:sz w:val="20"/>
                <w:szCs w:val="20"/>
              </w:rPr>
              <w:t>.</w:t>
            </w:r>
          </w:p>
          <w:p w14:paraId="7CA77BED" w14:textId="39CF06FA" w:rsidR="00425B02" w:rsidRPr="00F67491" w:rsidRDefault="00425B02" w:rsidP="00F67491">
            <w:pPr>
              <w:jc w:val="both"/>
              <w:rPr>
                <w:rFonts w:ascii="Times New Roman" w:hAnsi="Times New Roman" w:cs="Times New Roman"/>
                <w:bCs/>
                <w:sz w:val="20"/>
                <w:szCs w:val="20"/>
              </w:rPr>
            </w:pPr>
            <w:r>
              <w:rPr>
                <w:rFonts w:ascii="Times New Roman" w:hAnsi="Times New Roman" w:cs="Times New Roman"/>
                <w:bCs/>
                <w:sz w:val="20"/>
                <w:szCs w:val="20"/>
              </w:rPr>
              <w:t>Należ</w:t>
            </w:r>
            <w:r w:rsidR="004A2D3A">
              <w:rPr>
                <w:rFonts w:ascii="Times New Roman" w:hAnsi="Times New Roman" w:cs="Times New Roman"/>
                <w:bCs/>
                <w:sz w:val="20"/>
                <w:szCs w:val="20"/>
              </w:rPr>
              <w:t>y</w:t>
            </w:r>
            <w:r>
              <w:rPr>
                <w:rFonts w:ascii="Times New Roman" w:hAnsi="Times New Roman" w:cs="Times New Roman"/>
                <w:bCs/>
                <w:sz w:val="20"/>
                <w:szCs w:val="20"/>
              </w:rPr>
              <w:t xml:space="preserve"> wskazać,</w:t>
            </w:r>
            <w:r w:rsidR="004A2D3A">
              <w:rPr>
                <w:rFonts w:ascii="Times New Roman" w:hAnsi="Times New Roman" w:cs="Times New Roman"/>
                <w:bCs/>
                <w:sz w:val="20"/>
                <w:szCs w:val="20"/>
              </w:rPr>
              <w:t xml:space="preserve"> że</w:t>
            </w:r>
            <w:r>
              <w:rPr>
                <w:rFonts w:ascii="Times New Roman" w:hAnsi="Times New Roman" w:cs="Times New Roman"/>
                <w:bCs/>
                <w:sz w:val="20"/>
                <w:szCs w:val="20"/>
              </w:rPr>
              <w:t xml:space="preserve"> uzasadnienie dla wprowadzenia okresów przejściowych dla poszczególnych przepisów zostało wskazane w uzasadnieniu do przedmiotowego projektu. </w:t>
            </w:r>
          </w:p>
        </w:tc>
      </w:tr>
    </w:tbl>
    <w:p w14:paraId="4892CD95" w14:textId="32EB00E6" w:rsidR="0035765A" w:rsidRDefault="006111A6" w:rsidP="006111A6">
      <w:pPr>
        <w:jc w:val="center"/>
      </w:pPr>
      <w:r>
        <w:t xml:space="preserve"> </w:t>
      </w:r>
    </w:p>
    <w:sectPr w:rsidR="0035765A" w:rsidSect="006111A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3FFD7" w14:textId="77777777" w:rsidR="00DD297A" w:rsidRDefault="00DD297A" w:rsidP="00E46FEE">
      <w:pPr>
        <w:spacing w:after="0" w:line="240" w:lineRule="auto"/>
      </w:pPr>
      <w:r>
        <w:separator/>
      </w:r>
    </w:p>
  </w:endnote>
  <w:endnote w:type="continuationSeparator" w:id="0">
    <w:p w14:paraId="7B7B2E22" w14:textId="77777777" w:rsidR="00DD297A" w:rsidRDefault="00DD297A" w:rsidP="00E46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024CB" w14:textId="77777777" w:rsidR="00DD297A" w:rsidRDefault="00DD297A" w:rsidP="00E46FEE">
      <w:pPr>
        <w:spacing w:after="0" w:line="240" w:lineRule="auto"/>
      </w:pPr>
      <w:r>
        <w:separator/>
      </w:r>
    </w:p>
  </w:footnote>
  <w:footnote w:type="continuationSeparator" w:id="0">
    <w:p w14:paraId="7FC2E8A9" w14:textId="77777777" w:rsidR="00DD297A" w:rsidRDefault="00DD297A" w:rsidP="00E46F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64DF5"/>
    <w:multiLevelType w:val="hybridMultilevel"/>
    <w:tmpl w:val="F94217E2"/>
    <w:lvl w:ilvl="0" w:tplc="C75CAB3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B345C8"/>
    <w:multiLevelType w:val="hybridMultilevel"/>
    <w:tmpl w:val="B45CD0F6"/>
    <w:lvl w:ilvl="0" w:tplc="2C74A796">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3952394">
    <w:abstractNumId w:val="1"/>
  </w:num>
  <w:num w:numId="2" w16cid:durableId="2118089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1A6"/>
    <w:rsid w:val="00011D61"/>
    <w:rsid w:val="00130A1C"/>
    <w:rsid w:val="00185B7E"/>
    <w:rsid w:val="002242ED"/>
    <w:rsid w:val="00291D26"/>
    <w:rsid w:val="002C0412"/>
    <w:rsid w:val="00325F9A"/>
    <w:rsid w:val="0035765A"/>
    <w:rsid w:val="003D048B"/>
    <w:rsid w:val="003E2044"/>
    <w:rsid w:val="00415E67"/>
    <w:rsid w:val="00425B02"/>
    <w:rsid w:val="004A2D3A"/>
    <w:rsid w:val="004D5ECF"/>
    <w:rsid w:val="00512240"/>
    <w:rsid w:val="00523AB8"/>
    <w:rsid w:val="00565830"/>
    <w:rsid w:val="005A4AA9"/>
    <w:rsid w:val="005C3DA1"/>
    <w:rsid w:val="005F4716"/>
    <w:rsid w:val="006111A6"/>
    <w:rsid w:val="00837144"/>
    <w:rsid w:val="00837BFD"/>
    <w:rsid w:val="008D1258"/>
    <w:rsid w:val="008D175D"/>
    <w:rsid w:val="008D29DD"/>
    <w:rsid w:val="00900EC8"/>
    <w:rsid w:val="00906393"/>
    <w:rsid w:val="00920239"/>
    <w:rsid w:val="00984244"/>
    <w:rsid w:val="009B3B8D"/>
    <w:rsid w:val="00A01A11"/>
    <w:rsid w:val="00A6114F"/>
    <w:rsid w:val="00A905C7"/>
    <w:rsid w:val="00AB284F"/>
    <w:rsid w:val="00AC0C5C"/>
    <w:rsid w:val="00AC11DF"/>
    <w:rsid w:val="00AE4B58"/>
    <w:rsid w:val="00B12F15"/>
    <w:rsid w:val="00C0051B"/>
    <w:rsid w:val="00C11705"/>
    <w:rsid w:val="00C17BE6"/>
    <w:rsid w:val="00C36F46"/>
    <w:rsid w:val="00C915B0"/>
    <w:rsid w:val="00CB59F5"/>
    <w:rsid w:val="00CB6967"/>
    <w:rsid w:val="00D14EA2"/>
    <w:rsid w:val="00D6182E"/>
    <w:rsid w:val="00D8603F"/>
    <w:rsid w:val="00DD297A"/>
    <w:rsid w:val="00DF0735"/>
    <w:rsid w:val="00E2245E"/>
    <w:rsid w:val="00E46FEE"/>
    <w:rsid w:val="00EE5EDB"/>
    <w:rsid w:val="00F67491"/>
    <w:rsid w:val="00F835B6"/>
    <w:rsid w:val="00F83751"/>
    <w:rsid w:val="00F848D2"/>
    <w:rsid w:val="00F93C40"/>
    <w:rsid w:val="00FA044A"/>
    <w:rsid w:val="00FB001B"/>
    <w:rsid w:val="00FE32BD"/>
    <w:rsid w:val="00FF5022"/>
    <w:rsid w:val="00FF6E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488FC"/>
  <w15:chartTrackingRefBased/>
  <w15:docId w15:val="{6D3C1D18-F3EA-414B-918A-C480E9B9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111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ct">
    <w:name w:val="object"/>
    <w:basedOn w:val="Domylnaczcionkaakapitu"/>
    <w:rsid w:val="00FB001B"/>
  </w:style>
  <w:style w:type="paragraph" w:styleId="Akapitzlist">
    <w:name w:val="List Paragraph"/>
    <w:basedOn w:val="Normalny"/>
    <w:uiPriority w:val="34"/>
    <w:qFormat/>
    <w:rsid w:val="00B12F15"/>
    <w:pPr>
      <w:ind w:left="720"/>
      <w:contextualSpacing/>
    </w:pPr>
  </w:style>
  <w:style w:type="paragraph" w:styleId="Tekstprzypisukocowego">
    <w:name w:val="endnote text"/>
    <w:basedOn w:val="Normalny"/>
    <w:link w:val="TekstprzypisukocowegoZnak"/>
    <w:uiPriority w:val="99"/>
    <w:semiHidden/>
    <w:unhideWhenUsed/>
    <w:rsid w:val="00E46F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6FEE"/>
    <w:rPr>
      <w:sz w:val="20"/>
      <w:szCs w:val="20"/>
    </w:rPr>
  </w:style>
  <w:style w:type="character" w:styleId="Odwoanieprzypisukocowego">
    <w:name w:val="endnote reference"/>
    <w:basedOn w:val="Domylnaczcionkaakapitu"/>
    <w:uiPriority w:val="99"/>
    <w:semiHidden/>
    <w:unhideWhenUsed/>
    <w:rsid w:val="00E46F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64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50CBA-5936-4A95-963D-2D67C4E0B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3903</Words>
  <Characters>23419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SIWEK Magdalena</dc:creator>
  <cp:keywords/>
  <dc:description/>
  <cp:lastModifiedBy>AUGUSTYNIAK Łukasz</cp:lastModifiedBy>
  <cp:revision>2</cp:revision>
  <dcterms:created xsi:type="dcterms:W3CDTF">2022-06-10T12:50:00Z</dcterms:created>
  <dcterms:modified xsi:type="dcterms:W3CDTF">2022-06-10T12:50:00Z</dcterms:modified>
</cp:coreProperties>
</file>