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E94A8" w14:textId="75343C8E" w:rsidR="00740F63" w:rsidRPr="00613198" w:rsidRDefault="00740F63" w:rsidP="006974E8">
      <w:pPr>
        <w:pStyle w:val="Tekstpodstawowywcity3"/>
        <w:spacing w:after="0" w:line="360" w:lineRule="auto"/>
        <w:ind w:left="0"/>
        <w:jc w:val="center"/>
        <w:rPr>
          <w:b/>
          <w:smallCaps/>
          <w:color w:val="000000"/>
          <w:spacing w:val="8"/>
          <w:sz w:val="24"/>
          <w:szCs w:val="24"/>
        </w:rPr>
      </w:pPr>
      <w:r w:rsidRPr="00613198">
        <w:rPr>
          <w:b/>
          <w:smallCaps/>
          <w:color w:val="000000"/>
          <w:spacing w:val="8"/>
          <w:sz w:val="24"/>
          <w:szCs w:val="24"/>
        </w:rPr>
        <w:t>Uzasadnienie</w:t>
      </w:r>
    </w:p>
    <w:p w14:paraId="4D69DAC1" w14:textId="77777777" w:rsidR="00D321AF" w:rsidRPr="00613198" w:rsidRDefault="00D321AF" w:rsidP="006974E8">
      <w:pPr>
        <w:pStyle w:val="Tekstpodstawowywcity3"/>
        <w:spacing w:after="0" w:line="360" w:lineRule="auto"/>
        <w:ind w:left="0"/>
        <w:jc w:val="center"/>
        <w:rPr>
          <w:b/>
          <w:color w:val="000000"/>
          <w:sz w:val="24"/>
          <w:szCs w:val="24"/>
        </w:rPr>
      </w:pPr>
    </w:p>
    <w:p w14:paraId="70FA0344" w14:textId="7E1FEB43" w:rsidR="00740F63" w:rsidRPr="00613198" w:rsidRDefault="00740F63" w:rsidP="006974E8">
      <w:pPr>
        <w:spacing w:line="360" w:lineRule="auto"/>
        <w:jc w:val="both"/>
        <w:rPr>
          <w:rFonts w:ascii="Times New Roman" w:hAnsi="Times New Roman" w:cs="Times New Roman"/>
          <w:sz w:val="24"/>
          <w:szCs w:val="24"/>
        </w:rPr>
      </w:pPr>
      <w:r w:rsidRPr="00613198">
        <w:rPr>
          <w:rFonts w:ascii="Times New Roman" w:hAnsi="Times New Roman" w:cs="Times New Roman"/>
          <w:sz w:val="24"/>
          <w:szCs w:val="24"/>
        </w:rPr>
        <w:t xml:space="preserve">Projekt ustawy o zmianie ustawy – </w:t>
      </w:r>
      <w:r w:rsidR="00BF79A7" w:rsidRPr="00613198">
        <w:rPr>
          <w:rFonts w:ascii="Times New Roman" w:hAnsi="Times New Roman" w:cs="Times New Roman"/>
          <w:sz w:val="24"/>
          <w:szCs w:val="24"/>
        </w:rPr>
        <w:t>Prawo energetyczne</w:t>
      </w:r>
      <w:r w:rsidRPr="00613198">
        <w:rPr>
          <w:rFonts w:ascii="Times New Roman" w:hAnsi="Times New Roman" w:cs="Times New Roman"/>
          <w:sz w:val="24"/>
          <w:szCs w:val="24"/>
        </w:rPr>
        <w:t xml:space="preserve"> </w:t>
      </w:r>
      <w:r w:rsidR="0098461E" w:rsidRPr="00613198">
        <w:rPr>
          <w:rFonts w:ascii="Times New Roman" w:hAnsi="Times New Roman" w:cs="Times New Roman"/>
          <w:sz w:val="24"/>
          <w:szCs w:val="24"/>
        </w:rPr>
        <w:t xml:space="preserve">oraz </w:t>
      </w:r>
      <w:r w:rsidR="00635266">
        <w:rPr>
          <w:rFonts w:ascii="Times New Roman" w:hAnsi="Times New Roman" w:cs="Times New Roman"/>
          <w:sz w:val="24"/>
          <w:szCs w:val="24"/>
        </w:rPr>
        <w:t>niektórych innych ustaw</w:t>
      </w:r>
      <w:r w:rsidR="0098461E" w:rsidRPr="00613198">
        <w:rPr>
          <w:rFonts w:ascii="Times New Roman" w:hAnsi="Times New Roman" w:cs="Times New Roman"/>
          <w:sz w:val="24"/>
          <w:szCs w:val="24"/>
        </w:rPr>
        <w:t xml:space="preserve"> </w:t>
      </w:r>
      <w:r w:rsidR="00D42AD6">
        <w:rPr>
          <w:rFonts w:ascii="Times New Roman" w:hAnsi="Times New Roman" w:cs="Times New Roman"/>
          <w:sz w:val="24"/>
          <w:szCs w:val="24"/>
        </w:rPr>
        <w:t xml:space="preserve">(UC74) </w:t>
      </w:r>
      <w:r w:rsidR="00264936" w:rsidRPr="00613198">
        <w:rPr>
          <w:rFonts w:ascii="Times New Roman" w:hAnsi="Times New Roman" w:cs="Times New Roman"/>
          <w:sz w:val="24"/>
          <w:szCs w:val="24"/>
        </w:rPr>
        <w:t xml:space="preserve">obejmuje </w:t>
      </w:r>
      <w:r w:rsidR="00EF320E" w:rsidRPr="00613198">
        <w:rPr>
          <w:rFonts w:ascii="Times New Roman" w:hAnsi="Times New Roman" w:cs="Times New Roman"/>
          <w:sz w:val="24"/>
          <w:szCs w:val="24"/>
        </w:rPr>
        <w:t xml:space="preserve">w szczególności </w:t>
      </w:r>
      <w:r w:rsidR="00264936" w:rsidRPr="00613198">
        <w:rPr>
          <w:rFonts w:ascii="Times New Roman" w:hAnsi="Times New Roman" w:cs="Times New Roman"/>
          <w:sz w:val="24"/>
          <w:szCs w:val="24"/>
        </w:rPr>
        <w:t>propozycje przepisów implementujących</w:t>
      </w:r>
      <w:r w:rsidRPr="00613198">
        <w:rPr>
          <w:rFonts w:ascii="Times New Roman" w:hAnsi="Times New Roman" w:cs="Times New Roman"/>
          <w:sz w:val="24"/>
          <w:szCs w:val="24"/>
        </w:rPr>
        <w:t xml:space="preserve"> do polskiego porządku prawnego dyrektywę Parlamentu Europejskiego i Rady (UE) 2019/944 z dnia 5 czerwca 2019 r. w sprawie wspólnych zasad rynku wewnętrznego energii elektrycznej oraz zmieniającą dyrektywę 2012/27/UE</w:t>
      </w:r>
      <w:r w:rsidR="00EF1747" w:rsidRPr="00613198">
        <w:rPr>
          <w:rFonts w:ascii="Times New Roman" w:hAnsi="Times New Roman" w:cs="Times New Roman"/>
          <w:sz w:val="24"/>
          <w:szCs w:val="24"/>
        </w:rPr>
        <w:t>, zwaną dalej „dyrektywą 2019/944”</w:t>
      </w:r>
      <w:r w:rsidR="003308AE">
        <w:rPr>
          <w:rFonts w:ascii="Times New Roman" w:hAnsi="Times New Roman" w:cs="Times New Roman"/>
          <w:sz w:val="24"/>
          <w:szCs w:val="24"/>
        </w:rPr>
        <w:t>.</w:t>
      </w:r>
      <w:r w:rsidR="00784A8E">
        <w:rPr>
          <w:rFonts w:ascii="Times New Roman" w:hAnsi="Times New Roman" w:cs="Times New Roman"/>
          <w:sz w:val="24"/>
          <w:szCs w:val="24"/>
        </w:rPr>
        <w:t xml:space="preserve"> </w:t>
      </w:r>
      <w:r w:rsidR="008E13D2">
        <w:rPr>
          <w:rFonts w:ascii="Times New Roman" w:hAnsi="Times New Roman" w:cs="Times New Roman"/>
          <w:sz w:val="24"/>
          <w:szCs w:val="24"/>
        </w:rPr>
        <w:t xml:space="preserve"> </w:t>
      </w:r>
      <w:r w:rsidR="009F75C8">
        <w:rPr>
          <w:rFonts w:ascii="Times New Roman" w:hAnsi="Times New Roman" w:cs="Times New Roman"/>
          <w:sz w:val="24"/>
          <w:szCs w:val="24"/>
        </w:rPr>
        <w:t xml:space="preserve"> </w:t>
      </w:r>
    </w:p>
    <w:p w14:paraId="425C29C9" w14:textId="77777777" w:rsidR="00EF1747" w:rsidRPr="00613198" w:rsidRDefault="00EF1747" w:rsidP="006974E8">
      <w:pPr>
        <w:spacing w:line="360" w:lineRule="auto"/>
        <w:jc w:val="both"/>
        <w:rPr>
          <w:rFonts w:ascii="Times New Roman" w:hAnsi="Times New Roman" w:cs="Times New Roman"/>
          <w:sz w:val="24"/>
          <w:szCs w:val="24"/>
        </w:rPr>
      </w:pPr>
    </w:p>
    <w:p w14:paraId="64BBD504" w14:textId="77777777" w:rsidR="00740F63" w:rsidRPr="00613198" w:rsidRDefault="00264936" w:rsidP="006974E8">
      <w:pPr>
        <w:spacing w:line="360" w:lineRule="auto"/>
        <w:jc w:val="both"/>
        <w:rPr>
          <w:rFonts w:ascii="Times New Roman" w:hAnsi="Times New Roman" w:cs="Times New Roman"/>
          <w:sz w:val="24"/>
          <w:szCs w:val="24"/>
        </w:rPr>
      </w:pPr>
      <w:r w:rsidRPr="00613198">
        <w:rPr>
          <w:rFonts w:ascii="Times New Roman" w:hAnsi="Times New Roman" w:cs="Times New Roman"/>
          <w:sz w:val="24"/>
          <w:szCs w:val="24"/>
        </w:rPr>
        <w:t>W p</w:t>
      </w:r>
      <w:r w:rsidR="00740F63" w:rsidRPr="00613198">
        <w:rPr>
          <w:rFonts w:ascii="Times New Roman" w:hAnsi="Times New Roman" w:cs="Times New Roman"/>
          <w:sz w:val="24"/>
          <w:szCs w:val="24"/>
        </w:rPr>
        <w:t>rojek</w:t>
      </w:r>
      <w:r w:rsidRPr="00613198">
        <w:rPr>
          <w:rFonts w:ascii="Times New Roman" w:hAnsi="Times New Roman" w:cs="Times New Roman"/>
          <w:sz w:val="24"/>
          <w:szCs w:val="24"/>
        </w:rPr>
        <w:t>cie proponuje się</w:t>
      </w:r>
      <w:r w:rsidR="00740F63" w:rsidRPr="00613198">
        <w:rPr>
          <w:rFonts w:ascii="Times New Roman" w:hAnsi="Times New Roman" w:cs="Times New Roman"/>
          <w:sz w:val="24"/>
          <w:szCs w:val="24"/>
        </w:rPr>
        <w:t xml:space="preserve"> wprowadz</w:t>
      </w:r>
      <w:r w:rsidRPr="00613198">
        <w:rPr>
          <w:rFonts w:ascii="Times New Roman" w:hAnsi="Times New Roman" w:cs="Times New Roman"/>
          <w:sz w:val="24"/>
          <w:szCs w:val="24"/>
        </w:rPr>
        <w:t>enie zmian</w:t>
      </w:r>
      <w:r w:rsidR="00740F63" w:rsidRPr="00613198">
        <w:rPr>
          <w:rFonts w:ascii="Times New Roman" w:hAnsi="Times New Roman" w:cs="Times New Roman"/>
          <w:sz w:val="24"/>
          <w:szCs w:val="24"/>
        </w:rPr>
        <w:t xml:space="preserve"> w następujących obszarach: </w:t>
      </w:r>
    </w:p>
    <w:p w14:paraId="14E7E1DB" w14:textId="3D686EA3" w:rsidR="00D010D1" w:rsidRPr="00613198" w:rsidRDefault="00D010D1" w:rsidP="00B36147">
      <w:pPr>
        <w:pStyle w:val="Akapitzlist"/>
        <w:numPr>
          <w:ilvl w:val="0"/>
          <w:numId w:val="5"/>
        </w:numPr>
        <w:spacing w:line="360" w:lineRule="auto"/>
        <w:jc w:val="both"/>
        <w:rPr>
          <w:rFonts w:ascii="Times New Roman" w:hAnsi="Times New Roman" w:cs="Times New Roman"/>
          <w:sz w:val="24"/>
          <w:szCs w:val="24"/>
        </w:rPr>
      </w:pPr>
      <w:r w:rsidRPr="00613198">
        <w:rPr>
          <w:rFonts w:ascii="Times New Roman" w:hAnsi="Times New Roman" w:cs="Times New Roman"/>
          <w:sz w:val="24"/>
          <w:szCs w:val="24"/>
        </w:rPr>
        <w:t>wprowadza się przepisy umożliwiające od 2026 r. techniczną zmianę sprzedawcy en</w:t>
      </w:r>
      <w:r w:rsidR="003F39A0" w:rsidRPr="00613198">
        <w:rPr>
          <w:rFonts w:ascii="Times New Roman" w:hAnsi="Times New Roman" w:cs="Times New Roman"/>
          <w:sz w:val="24"/>
          <w:szCs w:val="24"/>
        </w:rPr>
        <w:t>ergii elektrycznej w 24 godziny</w:t>
      </w:r>
      <w:r w:rsidR="0097481D" w:rsidRPr="00613198">
        <w:rPr>
          <w:rFonts w:ascii="Times New Roman" w:hAnsi="Times New Roman" w:cs="Times New Roman"/>
          <w:sz w:val="24"/>
          <w:szCs w:val="24"/>
        </w:rPr>
        <w:t>;</w:t>
      </w:r>
    </w:p>
    <w:p w14:paraId="1ED05B83" w14:textId="6A693230" w:rsidR="006974E8" w:rsidRPr="00613198" w:rsidRDefault="00264936" w:rsidP="00B36147">
      <w:pPr>
        <w:pStyle w:val="Akapitzlist"/>
        <w:numPr>
          <w:ilvl w:val="0"/>
          <w:numId w:val="5"/>
        </w:numPr>
        <w:spacing w:line="360" w:lineRule="auto"/>
        <w:jc w:val="both"/>
        <w:rPr>
          <w:rFonts w:ascii="Times New Roman" w:hAnsi="Times New Roman" w:cs="Times New Roman"/>
          <w:sz w:val="24"/>
          <w:szCs w:val="24"/>
        </w:rPr>
      </w:pPr>
      <w:r w:rsidRPr="00613198">
        <w:rPr>
          <w:rFonts w:ascii="Times New Roman" w:hAnsi="Times New Roman" w:cs="Times New Roman"/>
          <w:sz w:val="24"/>
          <w:szCs w:val="24"/>
        </w:rPr>
        <w:t>w</w:t>
      </w:r>
      <w:r w:rsidR="006974E8" w:rsidRPr="00613198">
        <w:rPr>
          <w:rFonts w:ascii="Times New Roman" w:hAnsi="Times New Roman" w:cs="Times New Roman"/>
          <w:sz w:val="24"/>
          <w:szCs w:val="24"/>
        </w:rPr>
        <w:t xml:space="preserve">prowadza </w:t>
      </w:r>
      <w:r w:rsidRPr="00613198">
        <w:rPr>
          <w:rFonts w:ascii="Times New Roman" w:hAnsi="Times New Roman" w:cs="Times New Roman"/>
          <w:sz w:val="24"/>
          <w:szCs w:val="24"/>
        </w:rPr>
        <w:t xml:space="preserve">się </w:t>
      </w:r>
      <w:r w:rsidR="006974E8" w:rsidRPr="00613198">
        <w:rPr>
          <w:rFonts w:ascii="Times New Roman" w:hAnsi="Times New Roman" w:cs="Times New Roman"/>
          <w:sz w:val="24"/>
          <w:szCs w:val="24"/>
        </w:rPr>
        <w:t>dostęp dla odbiorców energii elektrycznej w gospodarstwach domowych i mikro przedsiębiorców o rocznym zużyciu poniżej 100 000 kWh</w:t>
      </w:r>
      <w:r w:rsidR="00C308AE" w:rsidRPr="00613198">
        <w:rPr>
          <w:rFonts w:ascii="Times New Roman" w:hAnsi="Times New Roman" w:cs="Times New Roman"/>
          <w:sz w:val="24"/>
          <w:szCs w:val="24"/>
        </w:rPr>
        <w:t xml:space="preserve"> do</w:t>
      </w:r>
      <w:r w:rsidR="006974E8" w:rsidRPr="00613198">
        <w:rPr>
          <w:rFonts w:ascii="Times New Roman" w:hAnsi="Times New Roman" w:cs="Times New Roman"/>
          <w:sz w:val="24"/>
          <w:szCs w:val="24"/>
        </w:rPr>
        <w:t xml:space="preserve"> narzędzi</w:t>
      </w:r>
      <w:r w:rsidR="00C308AE" w:rsidRPr="00613198">
        <w:rPr>
          <w:rFonts w:ascii="Times New Roman" w:hAnsi="Times New Roman" w:cs="Times New Roman"/>
          <w:sz w:val="24"/>
          <w:szCs w:val="24"/>
        </w:rPr>
        <w:t>a</w:t>
      </w:r>
      <w:r w:rsidR="006974E8" w:rsidRPr="00613198">
        <w:rPr>
          <w:rFonts w:ascii="Times New Roman" w:hAnsi="Times New Roman" w:cs="Times New Roman"/>
          <w:sz w:val="24"/>
          <w:szCs w:val="24"/>
        </w:rPr>
        <w:t xml:space="preserve"> porówn</w:t>
      </w:r>
      <w:r w:rsidR="003F39A0" w:rsidRPr="00613198">
        <w:rPr>
          <w:rFonts w:ascii="Times New Roman" w:hAnsi="Times New Roman" w:cs="Times New Roman"/>
          <w:sz w:val="24"/>
          <w:szCs w:val="24"/>
        </w:rPr>
        <w:t xml:space="preserve">ywania </w:t>
      </w:r>
      <w:r w:rsidR="00A74805" w:rsidRPr="00613198">
        <w:rPr>
          <w:rFonts w:ascii="Times New Roman" w:hAnsi="Times New Roman" w:cs="Times New Roman"/>
          <w:sz w:val="24"/>
          <w:szCs w:val="24"/>
        </w:rPr>
        <w:t>ofert  sp</w:t>
      </w:r>
      <w:r w:rsidR="00DF7AF2" w:rsidRPr="00613198">
        <w:rPr>
          <w:rFonts w:ascii="Times New Roman" w:hAnsi="Times New Roman" w:cs="Times New Roman"/>
          <w:sz w:val="24"/>
          <w:szCs w:val="24"/>
        </w:rPr>
        <w:t>rz</w:t>
      </w:r>
      <w:r w:rsidR="00A74805" w:rsidRPr="00613198">
        <w:rPr>
          <w:rFonts w:ascii="Times New Roman" w:hAnsi="Times New Roman" w:cs="Times New Roman"/>
          <w:sz w:val="24"/>
          <w:szCs w:val="24"/>
        </w:rPr>
        <w:t>edaży</w:t>
      </w:r>
      <w:r w:rsidR="003F39A0" w:rsidRPr="00613198">
        <w:rPr>
          <w:rFonts w:ascii="Times New Roman" w:hAnsi="Times New Roman" w:cs="Times New Roman"/>
          <w:sz w:val="24"/>
          <w:szCs w:val="24"/>
        </w:rPr>
        <w:t xml:space="preserve"> energii elektrycznej</w:t>
      </w:r>
      <w:r w:rsidR="0097481D" w:rsidRPr="00613198">
        <w:rPr>
          <w:rFonts w:ascii="Times New Roman" w:hAnsi="Times New Roman" w:cs="Times New Roman"/>
          <w:sz w:val="24"/>
          <w:szCs w:val="24"/>
        </w:rPr>
        <w:t>;</w:t>
      </w:r>
    </w:p>
    <w:p w14:paraId="3A5378F9" w14:textId="60B74682" w:rsidR="006974E8" w:rsidRPr="00613198" w:rsidRDefault="00264936" w:rsidP="00B36147">
      <w:pPr>
        <w:pStyle w:val="Akapitzlist"/>
        <w:numPr>
          <w:ilvl w:val="0"/>
          <w:numId w:val="5"/>
        </w:numPr>
        <w:spacing w:line="360" w:lineRule="auto"/>
        <w:jc w:val="both"/>
        <w:rPr>
          <w:rFonts w:ascii="Times New Roman" w:hAnsi="Times New Roman" w:cs="Times New Roman"/>
          <w:sz w:val="24"/>
          <w:szCs w:val="24"/>
        </w:rPr>
      </w:pPr>
      <w:r w:rsidRPr="00613198">
        <w:rPr>
          <w:rFonts w:ascii="Times New Roman" w:hAnsi="Times New Roman" w:cs="Times New Roman"/>
          <w:sz w:val="24"/>
          <w:szCs w:val="24"/>
        </w:rPr>
        <w:t>w</w:t>
      </w:r>
      <w:r w:rsidR="006974E8" w:rsidRPr="00613198">
        <w:rPr>
          <w:rFonts w:ascii="Times New Roman" w:hAnsi="Times New Roman" w:cs="Times New Roman"/>
          <w:sz w:val="24"/>
          <w:szCs w:val="24"/>
        </w:rPr>
        <w:t>prowadza</w:t>
      </w:r>
      <w:r w:rsidRPr="00613198">
        <w:rPr>
          <w:rFonts w:ascii="Times New Roman" w:hAnsi="Times New Roman" w:cs="Times New Roman"/>
          <w:sz w:val="24"/>
          <w:szCs w:val="24"/>
        </w:rPr>
        <w:t xml:space="preserve"> się</w:t>
      </w:r>
      <w:r w:rsidR="006974E8" w:rsidRPr="00613198">
        <w:rPr>
          <w:rFonts w:ascii="Times New Roman" w:hAnsi="Times New Roman" w:cs="Times New Roman"/>
          <w:sz w:val="24"/>
          <w:szCs w:val="24"/>
        </w:rPr>
        <w:t xml:space="preserve"> ramy prawne do funkcjonowania obywatelskich społeczności energetycznych, reguluje ich prawa i obowiązki, w tym prawo odbiorcy do przystąpienia do obywatelskiej społeczności energetycznej przy zachowaniu pełni praw konsumenckich i do opusz</w:t>
      </w:r>
      <w:r w:rsidR="003F39A0" w:rsidRPr="00613198">
        <w:rPr>
          <w:rFonts w:ascii="Times New Roman" w:hAnsi="Times New Roman" w:cs="Times New Roman"/>
          <w:sz w:val="24"/>
          <w:szCs w:val="24"/>
        </w:rPr>
        <w:t>czenia społeczności bez sankcji</w:t>
      </w:r>
      <w:r w:rsidR="0097481D" w:rsidRPr="00613198">
        <w:rPr>
          <w:rFonts w:ascii="Times New Roman" w:hAnsi="Times New Roman" w:cs="Times New Roman"/>
          <w:sz w:val="24"/>
          <w:szCs w:val="24"/>
        </w:rPr>
        <w:t>;</w:t>
      </w:r>
    </w:p>
    <w:p w14:paraId="2F54ADC4" w14:textId="7218D8B8" w:rsidR="006974E8" w:rsidRPr="00613198" w:rsidRDefault="00264936" w:rsidP="00B36147">
      <w:pPr>
        <w:pStyle w:val="Akapitzlist"/>
        <w:numPr>
          <w:ilvl w:val="0"/>
          <w:numId w:val="5"/>
        </w:numPr>
        <w:spacing w:line="360" w:lineRule="auto"/>
        <w:jc w:val="both"/>
        <w:rPr>
          <w:rFonts w:ascii="Times New Roman" w:hAnsi="Times New Roman" w:cs="Times New Roman"/>
          <w:sz w:val="24"/>
          <w:szCs w:val="24"/>
        </w:rPr>
      </w:pPr>
      <w:r w:rsidRPr="00613198">
        <w:rPr>
          <w:rFonts w:ascii="Times New Roman" w:hAnsi="Times New Roman" w:cs="Times New Roman"/>
          <w:sz w:val="24"/>
          <w:szCs w:val="24"/>
        </w:rPr>
        <w:t>w</w:t>
      </w:r>
      <w:r w:rsidR="006974E8" w:rsidRPr="00613198">
        <w:rPr>
          <w:rFonts w:ascii="Times New Roman" w:hAnsi="Times New Roman" w:cs="Times New Roman"/>
          <w:sz w:val="24"/>
          <w:szCs w:val="24"/>
        </w:rPr>
        <w:t xml:space="preserve">prowadza </w:t>
      </w:r>
      <w:r w:rsidRPr="00613198">
        <w:rPr>
          <w:rFonts w:ascii="Times New Roman" w:hAnsi="Times New Roman" w:cs="Times New Roman"/>
          <w:sz w:val="24"/>
          <w:szCs w:val="24"/>
        </w:rPr>
        <w:t xml:space="preserve">się </w:t>
      </w:r>
      <w:r w:rsidR="006974E8" w:rsidRPr="00613198">
        <w:rPr>
          <w:rFonts w:ascii="Times New Roman" w:hAnsi="Times New Roman" w:cs="Times New Roman"/>
          <w:sz w:val="24"/>
          <w:szCs w:val="24"/>
        </w:rPr>
        <w:t>prawo odbiorcy do zawierania umów z cenami dynamicznymi energii elektrycznej z co najmniej jednym sprzedawcą i każdym sprzedawcą, który ma ponad 200 000 odbiorców, oraz prawo do otrzymywania informacji na temat korzyści i ry</w:t>
      </w:r>
      <w:r w:rsidR="003F39A0" w:rsidRPr="00613198">
        <w:rPr>
          <w:rFonts w:ascii="Times New Roman" w:hAnsi="Times New Roman" w:cs="Times New Roman"/>
          <w:sz w:val="24"/>
          <w:szCs w:val="24"/>
        </w:rPr>
        <w:t>zyk związanych z takimi umowami</w:t>
      </w:r>
      <w:r w:rsidR="0097481D" w:rsidRPr="00613198">
        <w:rPr>
          <w:rFonts w:ascii="Times New Roman" w:hAnsi="Times New Roman" w:cs="Times New Roman"/>
          <w:sz w:val="24"/>
          <w:szCs w:val="24"/>
        </w:rPr>
        <w:t>;</w:t>
      </w:r>
    </w:p>
    <w:p w14:paraId="5E9B12B7" w14:textId="3E3EEF79" w:rsidR="006974E8" w:rsidRPr="00613198" w:rsidRDefault="00264936" w:rsidP="00B36147">
      <w:pPr>
        <w:pStyle w:val="Akapitzlist"/>
        <w:numPr>
          <w:ilvl w:val="0"/>
          <w:numId w:val="5"/>
        </w:numPr>
        <w:spacing w:line="360" w:lineRule="auto"/>
        <w:jc w:val="both"/>
        <w:rPr>
          <w:rFonts w:ascii="Times New Roman" w:hAnsi="Times New Roman" w:cs="Times New Roman"/>
          <w:sz w:val="24"/>
          <w:szCs w:val="24"/>
        </w:rPr>
      </w:pPr>
      <w:r w:rsidRPr="00613198">
        <w:rPr>
          <w:rFonts w:ascii="Times New Roman" w:hAnsi="Times New Roman" w:cs="Times New Roman"/>
          <w:sz w:val="24"/>
          <w:szCs w:val="24"/>
        </w:rPr>
        <w:t>w</w:t>
      </w:r>
      <w:r w:rsidR="006974E8" w:rsidRPr="00613198">
        <w:rPr>
          <w:rFonts w:ascii="Times New Roman" w:hAnsi="Times New Roman" w:cs="Times New Roman"/>
          <w:sz w:val="24"/>
          <w:szCs w:val="24"/>
        </w:rPr>
        <w:t xml:space="preserve">prowadza </w:t>
      </w:r>
      <w:r w:rsidRPr="00613198">
        <w:rPr>
          <w:rFonts w:ascii="Times New Roman" w:hAnsi="Times New Roman" w:cs="Times New Roman"/>
          <w:sz w:val="24"/>
          <w:szCs w:val="24"/>
        </w:rPr>
        <w:t xml:space="preserve">się </w:t>
      </w:r>
      <w:r w:rsidR="006974E8" w:rsidRPr="00613198">
        <w:rPr>
          <w:rFonts w:ascii="Times New Roman" w:hAnsi="Times New Roman" w:cs="Times New Roman"/>
          <w:sz w:val="24"/>
          <w:szCs w:val="24"/>
        </w:rPr>
        <w:t>przepisy dotyczące agregatora na rynku energii elektrycznej, jego zadań i u</w:t>
      </w:r>
      <w:r w:rsidR="003F39A0" w:rsidRPr="00613198">
        <w:rPr>
          <w:rFonts w:ascii="Times New Roman" w:hAnsi="Times New Roman" w:cs="Times New Roman"/>
          <w:sz w:val="24"/>
          <w:szCs w:val="24"/>
        </w:rPr>
        <w:t>prawnień</w:t>
      </w:r>
      <w:r w:rsidR="0097481D" w:rsidRPr="00613198">
        <w:rPr>
          <w:rFonts w:ascii="Times New Roman" w:hAnsi="Times New Roman" w:cs="Times New Roman"/>
          <w:sz w:val="24"/>
          <w:szCs w:val="24"/>
        </w:rPr>
        <w:t>;</w:t>
      </w:r>
    </w:p>
    <w:p w14:paraId="7E29E080" w14:textId="501E8F1D" w:rsidR="006974E8" w:rsidRPr="00613198" w:rsidRDefault="00264936" w:rsidP="00B36147">
      <w:pPr>
        <w:pStyle w:val="Akapitzlist"/>
        <w:numPr>
          <w:ilvl w:val="0"/>
          <w:numId w:val="5"/>
        </w:numPr>
        <w:spacing w:line="360" w:lineRule="auto"/>
        <w:jc w:val="both"/>
        <w:rPr>
          <w:rFonts w:ascii="Times New Roman" w:hAnsi="Times New Roman" w:cs="Times New Roman"/>
          <w:sz w:val="24"/>
          <w:szCs w:val="24"/>
        </w:rPr>
      </w:pPr>
      <w:r w:rsidRPr="00613198">
        <w:rPr>
          <w:rFonts w:ascii="Times New Roman" w:hAnsi="Times New Roman" w:cs="Times New Roman"/>
          <w:sz w:val="24"/>
          <w:szCs w:val="24"/>
        </w:rPr>
        <w:t>w</w:t>
      </w:r>
      <w:r w:rsidR="006974E8" w:rsidRPr="00613198">
        <w:rPr>
          <w:rFonts w:ascii="Times New Roman" w:hAnsi="Times New Roman" w:cs="Times New Roman"/>
          <w:sz w:val="24"/>
          <w:szCs w:val="24"/>
        </w:rPr>
        <w:t xml:space="preserve">prowadza </w:t>
      </w:r>
      <w:r w:rsidRPr="00613198">
        <w:rPr>
          <w:rFonts w:ascii="Times New Roman" w:hAnsi="Times New Roman" w:cs="Times New Roman"/>
          <w:sz w:val="24"/>
          <w:szCs w:val="24"/>
        </w:rPr>
        <w:t xml:space="preserve">się </w:t>
      </w:r>
      <w:r w:rsidR="006974E8" w:rsidRPr="00613198">
        <w:rPr>
          <w:rFonts w:ascii="Times New Roman" w:hAnsi="Times New Roman" w:cs="Times New Roman"/>
          <w:sz w:val="24"/>
          <w:szCs w:val="24"/>
        </w:rPr>
        <w:t>przepisy dotyczące odpowiedzi odbioru i odbi</w:t>
      </w:r>
      <w:r w:rsidR="003F39A0" w:rsidRPr="00613198">
        <w:rPr>
          <w:rFonts w:ascii="Times New Roman" w:hAnsi="Times New Roman" w:cs="Times New Roman"/>
          <w:sz w:val="24"/>
          <w:szCs w:val="24"/>
        </w:rPr>
        <w:t>orcy aktywnego na rynku energii</w:t>
      </w:r>
      <w:r w:rsidR="0097481D" w:rsidRPr="00613198">
        <w:rPr>
          <w:rFonts w:ascii="Times New Roman" w:hAnsi="Times New Roman" w:cs="Times New Roman"/>
          <w:sz w:val="24"/>
          <w:szCs w:val="24"/>
        </w:rPr>
        <w:t>;</w:t>
      </w:r>
    </w:p>
    <w:p w14:paraId="27968F87" w14:textId="1DA8BA82" w:rsidR="00234351" w:rsidRPr="00B011EA" w:rsidRDefault="00234351" w:rsidP="00B011EA">
      <w:pPr>
        <w:pStyle w:val="Akapitzlist"/>
        <w:numPr>
          <w:ilvl w:val="0"/>
          <w:numId w:val="5"/>
        </w:numPr>
        <w:spacing w:line="360" w:lineRule="auto"/>
        <w:jc w:val="both"/>
        <w:rPr>
          <w:rFonts w:ascii="Times New Roman" w:hAnsi="Times New Roman" w:cs="Times New Roman"/>
          <w:sz w:val="24"/>
          <w:szCs w:val="24"/>
        </w:rPr>
      </w:pPr>
      <w:r w:rsidRPr="00613198">
        <w:rPr>
          <w:rFonts w:ascii="Times New Roman" w:hAnsi="Times New Roman" w:cs="Times New Roman"/>
          <w:sz w:val="24"/>
          <w:szCs w:val="24"/>
        </w:rPr>
        <w:t>wzmacnia się obowiązujące prawa odbiorców oraz wprowadza nowe prawa w zakresie  sprzedaży energii elektrycznej (nowe warunki umowne, obowiązki dotyczące rozliczeń, rozwiązywania sporów ze sprzedawcą, obowiązki informacyjne</w:t>
      </w:r>
      <w:r w:rsidR="003F39A0" w:rsidRPr="00613198">
        <w:rPr>
          <w:rFonts w:ascii="Times New Roman" w:hAnsi="Times New Roman" w:cs="Times New Roman"/>
          <w:sz w:val="24"/>
          <w:szCs w:val="24"/>
        </w:rPr>
        <w:t>)</w:t>
      </w:r>
      <w:r w:rsidR="00B011EA">
        <w:rPr>
          <w:rFonts w:ascii="Times New Roman" w:hAnsi="Times New Roman" w:cs="Times New Roman"/>
          <w:sz w:val="24"/>
          <w:szCs w:val="24"/>
        </w:rPr>
        <w:t>, a także dostosowuje się przepisy ustawy do postanowień Polityki Energetycznej Polski do 2040 r. w zakresie obowiązku zawierania z odbiorcą energii elektrycznej w gospodarstwie domowym wyłącznie umów kompleksowych</w:t>
      </w:r>
      <w:r w:rsidR="0097481D" w:rsidRPr="00B011EA">
        <w:rPr>
          <w:rFonts w:ascii="Times New Roman" w:hAnsi="Times New Roman" w:cs="Times New Roman"/>
          <w:sz w:val="24"/>
          <w:szCs w:val="24"/>
        </w:rPr>
        <w:t>;</w:t>
      </w:r>
    </w:p>
    <w:p w14:paraId="4BBDC8BD" w14:textId="33FD8CA6" w:rsidR="006974E8" w:rsidRPr="00613198" w:rsidRDefault="00264936" w:rsidP="00B36147">
      <w:pPr>
        <w:pStyle w:val="Akapitzlist"/>
        <w:numPr>
          <w:ilvl w:val="0"/>
          <w:numId w:val="5"/>
        </w:numPr>
        <w:spacing w:line="360" w:lineRule="auto"/>
        <w:jc w:val="both"/>
        <w:rPr>
          <w:rFonts w:ascii="Times New Roman" w:hAnsi="Times New Roman" w:cs="Times New Roman"/>
          <w:color w:val="000000" w:themeColor="text1"/>
          <w:sz w:val="24"/>
          <w:szCs w:val="24"/>
        </w:rPr>
      </w:pPr>
      <w:r w:rsidRPr="00613198">
        <w:rPr>
          <w:rFonts w:ascii="Times New Roman" w:hAnsi="Times New Roman" w:cs="Times New Roman"/>
          <w:color w:val="000000" w:themeColor="text1"/>
          <w:sz w:val="24"/>
          <w:szCs w:val="24"/>
        </w:rPr>
        <w:t>d</w:t>
      </w:r>
      <w:r w:rsidR="006974E8" w:rsidRPr="00613198">
        <w:rPr>
          <w:rFonts w:ascii="Times New Roman" w:hAnsi="Times New Roman" w:cs="Times New Roman"/>
          <w:color w:val="000000" w:themeColor="text1"/>
          <w:sz w:val="24"/>
          <w:szCs w:val="24"/>
        </w:rPr>
        <w:t>ostosowuje</w:t>
      </w:r>
      <w:r w:rsidRPr="00613198">
        <w:rPr>
          <w:rFonts w:ascii="Times New Roman" w:hAnsi="Times New Roman" w:cs="Times New Roman"/>
          <w:color w:val="000000" w:themeColor="text1"/>
          <w:sz w:val="24"/>
          <w:szCs w:val="24"/>
        </w:rPr>
        <w:t xml:space="preserve"> się</w:t>
      </w:r>
      <w:r w:rsidR="006974E8" w:rsidRPr="00613198">
        <w:rPr>
          <w:rFonts w:ascii="Times New Roman" w:hAnsi="Times New Roman" w:cs="Times New Roman"/>
          <w:color w:val="000000" w:themeColor="text1"/>
          <w:sz w:val="24"/>
          <w:szCs w:val="24"/>
        </w:rPr>
        <w:t xml:space="preserve"> zadania operatora sy</w:t>
      </w:r>
      <w:r w:rsidR="00D321AF" w:rsidRPr="00613198">
        <w:rPr>
          <w:rFonts w:ascii="Times New Roman" w:hAnsi="Times New Roman" w:cs="Times New Roman"/>
          <w:color w:val="000000" w:themeColor="text1"/>
          <w:sz w:val="24"/>
          <w:szCs w:val="24"/>
        </w:rPr>
        <w:t>stemu przesyłowego</w:t>
      </w:r>
      <w:r w:rsidR="00EC3431">
        <w:rPr>
          <w:rFonts w:ascii="Times New Roman" w:hAnsi="Times New Roman" w:cs="Times New Roman"/>
          <w:color w:val="000000" w:themeColor="text1"/>
          <w:sz w:val="24"/>
          <w:szCs w:val="24"/>
        </w:rPr>
        <w:t xml:space="preserve"> elektroenergetycznego</w:t>
      </w:r>
      <w:r w:rsidR="00D321AF" w:rsidRPr="00613198">
        <w:rPr>
          <w:rFonts w:ascii="Times New Roman" w:hAnsi="Times New Roman" w:cs="Times New Roman"/>
          <w:color w:val="000000" w:themeColor="text1"/>
          <w:sz w:val="24"/>
          <w:szCs w:val="24"/>
        </w:rPr>
        <w:t xml:space="preserve"> i operatorów</w:t>
      </w:r>
      <w:r w:rsidR="006974E8" w:rsidRPr="00613198">
        <w:rPr>
          <w:rFonts w:ascii="Times New Roman" w:hAnsi="Times New Roman" w:cs="Times New Roman"/>
          <w:color w:val="000000" w:themeColor="text1"/>
          <w:sz w:val="24"/>
          <w:szCs w:val="24"/>
        </w:rPr>
        <w:t xml:space="preserve"> systemów dystrybucyjnych</w:t>
      </w:r>
      <w:r w:rsidR="00EC3431">
        <w:rPr>
          <w:rFonts w:ascii="Times New Roman" w:hAnsi="Times New Roman" w:cs="Times New Roman"/>
          <w:color w:val="000000" w:themeColor="text1"/>
          <w:sz w:val="24"/>
          <w:szCs w:val="24"/>
        </w:rPr>
        <w:t xml:space="preserve"> elektroenergetycznych</w:t>
      </w:r>
      <w:r w:rsidR="006974E8" w:rsidRPr="00613198">
        <w:rPr>
          <w:rFonts w:ascii="Times New Roman" w:hAnsi="Times New Roman" w:cs="Times New Roman"/>
          <w:color w:val="000000" w:themeColor="text1"/>
          <w:sz w:val="24"/>
          <w:szCs w:val="24"/>
        </w:rPr>
        <w:t xml:space="preserve"> do przepisów dyrektyw</w:t>
      </w:r>
      <w:r w:rsidR="00FD274D" w:rsidRPr="00613198">
        <w:rPr>
          <w:rFonts w:ascii="Times New Roman" w:hAnsi="Times New Roman" w:cs="Times New Roman"/>
          <w:color w:val="000000" w:themeColor="text1"/>
          <w:sz w:val="24"/>
          <w:szCs w:val="24"/>
        </w:rPr>
        <w:t>y</w:t>
      </w:r>
      <w:r w:rsidR="00EC3431">
        <w:rPr>
          <w:rFonts w:ascii="Times New Roman" w:hAnsi="Times New Roman" w:cs="Times New Roman"/>
          <w:color w:val="000000" w:themeColor="text1"/>
          <w:sz w:val="24"/>
          <w:szCs w:val="24"/>
        </w:rPr>
        <w:t xml:space="preserve"> </w:t>
      </w:r>
      <w:r w:rsidR="00EC3431">
        <w:rPr>
          <w:rFonts w:ascii="Times New Roman" w:hAnsi="Times New Roman" w:cs="Times New Roman"/>
          <w:color w:val="000000" w:themeColor="text1"/>
          <w:sz w:val="24"/>
          <w:szCs w:val="24"/>
        </w:rPr>
        <w:lastRenderedPageBreak/>
        <w:t>2019/944</w:t>
      </w:r>
      <w:r w:rsidR="006974E8" w:rsidRPr="00613198">
        <w:rPr>
          <w:rFonts w:ascii="Times New Roman" w:hAnsi="Times New Roman" w:cs="Times New Roman"/>
          <w:color w:val="000000" w:themeColor="text1"/>
          <w:sz w:val="24"/>
          <w:szCs w:val="24"/>
        </w:rPr>
        <w:t>, w tym wprowadza przepis</w:t>
      </w:r>
      <w:r w:rsidR="00D321AF" w:rsidRPr="00613198">
        <w:rPr>
          <w:rFonts w:ascii="Times New Roman" w:hAnsi="Times New Roman" w:cs="Times New Roman"/>
          <w:color w:val="000000" w:themeColor="text1"/>
          <w:sz w:val="24"/>
          <w:szCs w:val="24"/>
        </w:rPr>
        <w:t>y</w:t>
      </w:r>
      <w:r w:rsidR="006974E8" w:rsidRPr="00613198">
        <w:rPr>
          <w:rFonts w:ascii="Times New Roman" w:hAnsi="Times New Roman" w:cs="Times New Roman"/>
          <w:color w:val="000000" w:themeColor="text1"/>
          <w:sz w:val="24"/>
          <w:szCs w:val="24"/>
        </w:rPr>
        <w:t xml:space="preserve"> dotyczące usług </w:t>
      </w:r>
      <w:r w:rsidR="00D321AF" w:rsidRPr="00613198">
        <w:rPr>
          <w:rFonts w:ascii="Times New Roman" w:hAnsi="Times New Roman" w:cs="Times New Roman"/>
          <w:color w:val="000000" w:themeColor="text1"/>
          <w:sz w:val="24"/>
          <w:szCs w:val="24"/>
        </w:rPr>
        <w:t>systemowych</w:t>
      </w:r>
      <w:r w:rsidR="006974E8" w:rsidRPr="00613198">
        <w:rPr>
          <w:rFonts w:ascii="Times New Roman" w:hAnsi="Times New Roman" w:cs="Times New Roman"/>
          <w:color w:val="000000" w:themeColor="text1"/>
          <w:sz w:val="24"/>
          <w:szCs w:val="24"/>
        </w:rPr>
        <w:t xml:space="preserve">, usług elastyczności oraz wprowadza </w:t>
      </w:r>
      <w:r w:rsidR="00D321AF" w:rsidRPr="00613198">
        <w:rPr>
          <w:rFonts w:ascii="Times New Roman" w:hAnsi="Times New Roman" w:cs="Times New Roman"/>
          <w:color w:val="000000" w:themeColor="text1"/>
          <w:sz w:val="24"/>
          <w:szCs w:val="24"/>
        </w:rPr>
        <w:t xml:space="preserve">się </w:t>
      </w:r>
      <w:r w:rsidR="003F39A0" w:rsidRPr="00613198">
        <w:rPr>
          <w:rFonts w:ascii="Times New Roman" w:hAnsi="Times New Roman" w:cs="Times New Roman"/>
          <w:color w:val="000000" w:themeColor="text1"/>
          <w:sz w:val="24"/>
          <w:szCs w:val="24"/>
        </w:rPr>
        <w:t>zmiany w zakresie bilansowania</w:t>
      </w:r>
      <w:r w:rsidR="007F2FA2" w:rsidRPr="00613198">
        <w:rPr>
          <w:rFonts w:ascii="Times New Roman" w:hAnsi="Times New Roman" w:cs="Times New Roman"/>
          <w:color w:val="000000" w:themeColor="text1"/>
          <w:sz w:val="24"/>
          <w:szCs w:val="24"/>
        </w:rPr>
        <w:t>;</w:t>
      </w:r>
    </w:p>
    <w:p w14:paraId="4ACAEB21" w14:textId="66383BEE" w:rsidR="006974E8" w:rsidRPr="00613198" w:rsidRDefault="00264936" w:rsidP="00B36147">
      <w:pPr>
        <w:pStyle w:val="Akapitzlist"/>
        <w:numPr>
          <w:ilvl w:val="0"/>
          <w:numId w:val="5"/>
        </w:numPr>
        <w:spacing w:line="360" w:lineRule="auto"/>
        <w:jc w:val="both"/>
        <w:rPr>
          <w:rFonts w:ascii="Times New Roman" w:hAnsi="Times New Roman" w:cs="Times New Roman"/>
          <w:sz w:val="24"/>
          <w:szCs w:val="24"/>
        </w:rPr>
      </w:pPr>
      <w:r w:rsidRPr="00613198">
        <w:rPr>
          <w:rFonts w:ascii="Times New Roman" w:hAnsi="Times New Roman" w:cs="Times New Roman"/>
          <w:sz w:val="24"/>
          <w:szCs w:val="24"/>
        </w:rPr>
        <w:t>d</w:t>
      </w:r>
      <w:r w:rsidR="006974E8" w:rsidRPr="00613198">
        <w:rPr>
          <w:rFonts w:ascii="Times New Roman" w:hAnsi="Times New Roman" w:cs="Times New Roman"/>
          <w:sz w:val="24"/>
          <w:szCs w:val="24"/>
        </w:rPr>
        <w:t xml:space="preserve">ostosowuje </w:t>
      </w:r>
      <w:r w:rsidRPr="00613198">
        <w:rPr>
          <w:rFonts w:ascii="Times New Roman" w:hAnsi="Times New Roman" w:cs="Times New Roman"/>
          <w:sz w:val="24"/>
          <w:szCs w:val="24"/>
        </w:rPr>
        <w:t xml:space="preserve">się </w:t>
      </w:r>
      <w:r w:rsidR="006974E8" w:rsidRPr="00613198">
        <w:rPr>
          <w:rFonts w:ascii="Times New Roman" w:hAnsi="Times New Roman" w:cs="Times New Roman"/>
          <w:sz w:val="24"/>
          <w:szCs w:val="24"/>
        </w:rPr>
        <w:t>zadania regulatora do przepisów dyrektywy</w:t>
      </w:r>
      <w:r w:rsidR="00EC3431">
        <w:rPr>
          <w:rFonts w:ascii="Times New Roman" w:hAnsi="Times New Roman" w:cs="Times New Roman"/>
          <w:sz w:val="24"/>
          <w:szCs w:val="24"/>
        </w:rPr>
        <w:t xml:space="preserve"> 2019/944</w:t>
      </w:r>
      <w:r w:rsidR="006974E8" w:rsidRPr="00613198">
        <w:rPr>
          <w:rFonts w:ascii="Times New Roman" w:hAnsi="Times New Roman" w:cs="Times New Roman"/>
          <w:sz w:val="24"/>
          <w:szCs w:val="24"/>
        </w:rPr>
        <w:t xml:space="preserve">, w tym zadania związane z </w:t>
      </w:r>
      <w:r w:rsidR="00121027" w:rsidRPr="00613198">
        <w:rPr>
          <w:rFonts w:ascii="Times New Roman" w:hAnsi="Times New Roman" w:cs="Times New Roman"/>
          <w:sz w:val="24"/>
          <w:szCs w:val="24"/>
        </w:rPr>
        <w:t xml:space="preserve">regionalnymi centrami koordynacyjnymi, </w:t>
      </w:r>
      <w:r w:rsidR="006974E8" w:rsidRPr="00613198">
        <w:rPr>
          <w:rFonts w:ascii="Times New Roman" w:hAnsi="Times New Roman" w:cs="Times New Roman"/>
          <w:sz w:val="24"/>
          <w:szCs w:val="24"/>
        </w:rPr>
        <w:t>powołanymi na mocy rozporządzenia Parlamentu Europejskiego i Rady (UE) 2019/943 z dnia 5 czerwca 2019 r. w sprawie rynku wewnętrznego energii elektrycznej</w:t>
      </w:r>
      <w:r w:rsidR="006B4DB6">
        <w:rPr>
          <w:rFonts w:ascii="Times New Roman" w:hAnsi="Times New Roman" w:cs="Times New Roman"/>
          <w:sz w:val="24"/>
          <w:szCs w:val="24"/>
        </w:rPr>
        <w:t>, zwanego dalej „rozporządzeniem 2019/943”</w:t>
      </w:r>
      <w:r w:rsidR="001B650B">
        <w:rPr>
          <w:rFonts w:ascii="Times New Roman" w:hAnsi="Times New Roman" w:cs="Times New Roman"/>
          <w:sz w:val="24"/>
          <w:szCs w:val="24"/>
        </w:rPr>
        <w:t xml:space="preserve"> oraz </w:t>
      </w:r>
      <w:r w:rsidR="001B650B" w:rsidRPr="001B650B">
        <w:rPr>
          <w:rFonts w:ascii="Times New Roman" w:hAnsi="Times New Roman" w:cs="Times New Roman"/>
          <w:sz w:val="24"/>
          <w:szCs w:val="24"/>
        </w:rPr>
        <w:t xml:space="preserve">wprowadza się możliwość zgłoszenia Prezesowi URE przez każdego, kogo praw dotyczy wykonywanie obowiązków przez operatora systemu elektroenergetycznego, zawiadomienia dotyczącego podejrzenia naruszenia tych obowiązków określonych w ustawie </w:t>
      </w:r>
      <w:r w:rsidR="00935A40">
        <w:rPr>
          <w:rFonts w:ascii="Times New Roman" w:hAnsi="Times New Roman" w:cs="Times New Roman"/>
          <w:sz w:val="24"/>
          <w:szCs w:val="24"/>
        </w:rPr>
        <w:t xml:space="preserve">z dnia 10 kwietnia 1997 r. </w:t>
      </w:r>
      <w:r w:rsidR="00935A40" w:rsidRPr="001B650B">
        <w:rPr>
          <w:rFonts w:ascii="Times New Roman" w:hAnsi="Times New Roman" w:cs="Times New Roman"/>
          <w:sz w:val="24"/>
          <w:szCs w:val="24"/>
        </w:rPr>
        <w:t>–</w:t>
      </w:r>
      <w:r w:rsidR="00935A40">
        <w:rPr>
          <w:rFonts w:ascii="Times New Roman" w:hAnsi="Times New Roman" w:cs="Times New Roman"/>
          <w:sz w:val="24"/>
          <w:szCs w:val="24"/>
        </w:rPr>
        <w:t xml:space="preserve"> </w:t>
      </w:r>
      <w:r w:rsidR="001B650B" w:rsidRPr="001B650B">
        <w:rPr>
          <w:rFonts w:ascii="Times New Roman" w:hAnsi="Times New Roman" w:cs="Times New Roman"/>
          <w:sz w:val="24"/>
          <w:szCs w:val="24"/>
        </w:rPr>
        <w:t>Prawo energetyczne</w:t>
      </w:r>
      <w:r w:rsidR="00935A40">
        <w:rPr>
          <w:rFonts w:ascii="Times New Roman" w:hAnsi="Times New Roman" w:cs="Times New Roman"/>
          <w:sz w:val="24"/>
          <w:szCs w:val="24"/>
        </w:rPr>
        <w:t xml:space="preserve"> (Dz. U. z 2021 r. poz. 716, z </w:t>
      </w:r>
      <w:proofErr w:type="spellStart"/>
      <w:r w:rsidR="00935A40">
        <w:rPr>
          <w:rFonts w:ascii="Times New Roman" w:hAnsi="Times New Roman" w:cs="Times New Roman"/>
          <w:sz w:val="24"/>
          <w:szCs w:val="24"/>
        </w:rPr>
        <w:t>późn</w:t>
      </w:r>
      <w:proofErr w:type="spellEnd"/>
      <w:r w:rsidR="00935A40">
        <w:rPr>
          <w:rFonts w:ascii="Times New Roman" w:hAnsi="Times New Roman" w:cs="Times New Roman"/>
          <w:sz w:val="24"/>
          <w:szCs w:val="24"/>
        </w:rPr>
        <w:t xml:space="preserve">. zm.), zwanej dalej „ustawą </w:t>
      </w:r>
      <w:r w:rsidR="001B650B">
        <w:rPr>
          <w:rFonts w:ascii="Times New Roman" w:hAnsi="Times New Roman" w:cs="Times New Roman"/>
          <w:sz w:val="24"/>
          <w:szCs w:val="24"/>
        </w:rPr>
        <w:t xml:space="preserve"> </w:t>
      </w:r>
      <w:r w:rsidR="00935A40" w:rsidRPr="001B650B">
        <w:rPr>
          <w:rFonts w:ascii="Times New Roman" w:hAnsi="Times New Roman" w:cs="Times New Roman"/>
          <w:sz w:val="24"/>
          <w:szCs w:val="24"/>
        </w:rPr>
        <w:t>–</w:t>
      </w:r>
      <w:r w:rsidR="00935A40">
        <w:rPr>
          <w:rFonts w:ascii="Times New Roman" w:hAnsi="Times New Roman" w:cs="Times New Roman"/>
          <w:sz w:val="24"/>
          <w:szCs w:val="24"/>
        </w:rPr>
        <w:t xml:space="preserve"> </w:t>
      </w:r>
      <w:r w:rsidR="00935A40" w:rsidRPr="001B650B">
        <w:rPr>
          <w:rFonts w:ascii="Times New Roman" w:hAnsi="Times New Roman" w:cs="Times New Roman"/>
          <w:sz w:val="24"/>
          <w:szCs w:val="24"/>
        </w:rPr>
        <w:t>Prawo energetyczne</w:t>
      </w:r>
      <w:r w:rsidR="00935A40">
        <w:rPr>
          <w:rFonts w:ascii="Times New Roman" w:hAnsi="Times New Roman" w:cs="Times New Roman"/>
          <w:sz w:val="24"/>
          <w:szCs w:val="24"/>
        </w:rPr>
        <w:t>”,</w:t>
      </w:r>
      <w:r w:rsidR="00935A40">
        <w:rPr>
          <w:rFonts w:ascii="Times New Roman" w:hAnsi="Times New Roman" w:cs="Times New Roman"/>
          <w:sz w:val="24"/>
          <w:szCs w:val="24"/>
        </w:rPr>
        <w:t xml:space="preserve"> </w:t>
      </w:r>
      <w:r w:rsidR="001B650B">
        <w:rPr>
          <w:rFonts w:ascii="Times New Roman" w:hAnsi="Times New Roman" w:cs="Times New Roman"/>
          <w:sz w:val="24"/>
          <w:szCs w:val="24"/>
        </w:rPr>
        <w:t>co wypełnia normę art. 60 ust. 2 dyrektywy 2019/944</w:t>
      </w:r>
      <w:r w:rsidR="00EC3431">
        <w:rPr>
          <w:rFonts w:ascii="Times New Roman" w:hAnsi="Times New Roman" w:cs="Times New Roman"/>
          <w:sz w:val="24"/>
          <w:szCs w:val="24"/>
        </w:rPr>
        <w:t>;</w:t>
      </w:r>
      <w:r w:rsidR="001B650B">
        <w:rPr>
          <w:rFonts w:ascii="Times New Roman" w:hAnsi="Times New Roman" w:cs="Times New Roman"/>
          <w:sz w:val="24"/>
          <w:szCs w:val="24"/>
        </w:rPr>
        <w:t xml:space="preserve"> </w:t>
      </w:r>
    </w:p>
    <w:p w14:paraId="7088D05A" w14:textId="4476C962" w:rsidR="000453A8" w:rsidRPr="00613198" w:rsidRDefault="003B6B9A" w:rsidP="00B36147">
      <w:pPr>
        <w:pStyle w:val="Akapitzlist"/>
        <w:numPr>
          <w:ilvl w:val="0"/>
          <w:numId w:val="5"/>
        </w:numPr>
        <w:spacing w:line="360" w:lineRule="auto"/>
        <w:jc w:val="both"/>
        <w:rPr>
          <w:rFonts w:ascii="Times New Roman" w:hAnsi="Times New Roman" w:cs="Times New Roman"/>
          <w:sz w:val="24"/>
          <w:szCs w:val="24"/>
        </w:rPr>
      </w:pPr>
      <w:r w:rsidRPr="00613198">
        <w:rPr>
          <w:rFonts w:ascii="Times New Roman" w:hAnsi="Times New Roman" w:cs="Times New Roman"/>
          <w:sz w:val="24"/>
          <w:szCs w:val="24"/>
        </w:rPr>
        <w:t xml:space="preserve">wprowadza się przepisy regulujące przesłanki do bycia właścicielem instalacji magazynowania energii przez operatorów systemów dystrybucyjnych </w:t>
      </w:r>
      <w:r w:rsidR="00EC3431">
        <w:rPr>
          <w:rFonts w:ascii="Times New Roman" w:hAnsi="Times New Roman" w:cs="Times New Roman"/>
          <w:sz w:val="24"/>
          <w:szCs w:val="24"/>
        </w:rPr>
        <w:t xml:space="preserve">elektroenergetycznych </w:t>
      </w:r>
      <w:r w:rsidRPr="00613198">
        <w:rPr>
          <w:rFonts w:ascii="Times New Roman" w:hAnsi="Times New Roman" w:cs="Times New Roman"/>
          <w:sz w:val="24"/>
          <w:szCs w:val="24"/>
        </w:rPr>
        <w:t>i przez operatorów systemów przesyłowych</w:t>
      </w:r>
      <w:r w:rsidR="00EC3431">
        <w:rPr>
          <w:rFonts w:ascii="Times New Roman" w:hAnsi="Times New Roman" w:cs="Times New Roman"/>
          <w:sz w:val="24"/>
          <w:szCs w:val="24"/>
        </w:rPr>
        <w:t xml:space="preserve"> elektroenergetycznych</w:t>
      </w:r>
      <w:r w:rsidR="007F2FA2" w:rsidRPr="00613198">
        <w:rPr>
          <w:rFonts w:ascii="Times New Roman" w:hAnsi="Times New Roman" w:cs="Times New Roman"/>
          <w:sz w:val="24"/>
          <w:szCs w:val="24"/>
        </w:rPr>
        <w:t>;</w:t>
      </w:r>
    </w:p>
    <w:p w14:paraId="4C1D054F" w14:textId="294FC4CB" w:rsidR="00095AFC" w:rsidRPr="00613198" w:rsidRDefault="002C4E8B" w:rsidP="00845B4D">
      <w:pPr>
        <w:pStyle w:val="Akapitzlist"/>
        <w:numPr>
          <w:ilvl w:val="0"/>
          <w:numId w:val="5"/>
        </w:numPr>
        <w:spacing w:line="360" w:lineRule="auto"/>
        <w:jc w:val="both"/>
        <w:rPr>
          <w:rFonts w:ascii="Times New Roman" w:hAnsi="Times New Roman" w:cs="Times New Roman"/>
          <w:sz w:val="24"/>
          <w:szCs w:val="24"/>
        </w:rPr>
      </w:pPr>
      <w:r w:rsidRPr="00613198">
        <w:rPr>
          <w:rFonts w:ascii="Times New Roman" w:hAnsi="Times New Roman" w:cs="Times New Roman"/>
          <w:sz w:val="24"/>
          <w:szCs w:val="24"/>
        </w:rPr>
        <w:t>dokonuje się zmian w zakresie działania Koordynatora do spraw negocjacji, rozszerzając</w:t>
      </w:r>
      <w:r w:rsidR="00EC3431">
        <w:rPr>
          <w:rFonts w:ascii="Times New Roman" w:hAnsi="Times New Roman" w:cs="Times New Roman"/>
          <w:sz w:val="24"/>
          <w:szCs w:val="24"/>
        </w:rPr>
        <w:t xml:space="preserve"> m.in.</w:t>
      </w:r>
      <w:r w:rsidRPr="00613198">
        <w:rPr>
          <w:rFonts w:ascii="Times New Roman" w:hAnsi="Times New Roman" w:cs="Times New Roman"/>
          <w:sz w:val="24"/>
          <w:szCs w:val="24"/>
        </w:rPr>
        <w:t xml:space="preserve"> zakres zadań tego podmiotu o nowe rodzaje umów wprowadzane do ustawy – </w:t>
      </w:r>
      <w:r w:rsidR="00BF79A7" w:rsidRPr="00613198">
        <w:rPr>
          <w:rFonts w:ascii="Times New Roman" w:hAnsi="Times New Roman" w:cs="Times New Roman"/>
          <w:sz w:val="24"/>
          <w:szCs w:val="24"/>
        </w:rPr>
        <w:t>Prawo energetyczne</w:t>
      </w:r>
      <w:r w:rsidR="00117E8E" w:rsidRPr="00613198">
        <w:rPr>
          <w:rFonts w:ascii="Times New Roman" w:hAnsi="Times New Roman" w:cs="Times New Roman"/>
          <w:sz w:val="24"/>
          <w:szCs w:val="24"/>
        </w:rPr>
        <w:t>;</w:t>
      </w:r>
    </w:p>
    <w:p w14:paraId="607B68F7" w14:textId="37CC29DD" w:rsidR="00D03AD3" w:rsidRPr="00613198" w:rsidRDefault="002F283B" w:rsidP="00D03AD3">
      <w:pPr>
        <w:pStyle w:val="Akapitzlist"/>
        <w:numPr>
          <w:ilvl w:val="0"/>
          <w:numId w:val="5"/>
        </w:numPr>
        <w:spacing w:line="360" w:lineRule="auto"/>
        <w:jc w:val="both"/>
        <w:rPr>
          <w:rFonts w:ascii="Times New Roman" w:hAnsi="Times New Roman" w:cs="Times New Roman"/>
          <w:sz w:val="24"/>
          <w:szCs w:val="24"/>
        </w:rPr>
      </w:pPr>
      <w:r w:rsidRPr="00613198">
        <w:rPr>
          <w:rFonts w:ascii="Times New Roman" w:hAnsi="Times New Roman" w:cs="Times New Roman"/>
          <w:sz w:val="24"/>
          <w:szCs w:val="24"/>
        </w:rPr>
        <w:t>w</w:t>
      </w:r>
      <w:r w:rsidR="00845B4D" w:rsidRPr="00613198">
        <w:rPr>
          <w:rFonts w:ascii="Times New Roman" w:hAnsi="Times New Roman" w:cs="Times New Roman"/>
          <w:sz w:val="24"/>
          <w:szCs w:val="24"/>
        </w:rPr>
        <w:t>draża</w:t>
      </w:r>
      <w:r w:rsidRPr="00613198">
        <w:rPr>
          <w:rFonts w:ascii="Times New Roman" w:hAnsi="Times New Roman" w:cs="Times New Roman"/>
          <w:sz w:val="24"/>
          <w:szCs w:val="24"/>
        </w:rPr>
        <w:t xml:space="preserve"> się</w:t>
      </w:r>
      <w:r w:rsidR="00095AFC" w:rsidRPr="00613198">
        <w:rPr>
          <w:rFonts w:ascii="Times New Roman" w:hAnsi="Times New Roman" w:cs="Times New Roman"/>
          <w:sz w:val="24"/>
          <w:szCs w:val="24"/>
        </w:rPr>
        <w:t xml:space="preserve"> </w:t>
      </w:r>
      <w:bookmarkStart w:id="0" w:name="_Hlk56601695"/>
      <w:r w:rsidR="00845B4D" w:rsidRPr="00613198">
        <w:rPr>
          <w:rFonts w:ascii="Times New Roman" w:hAnsi="Times New Roman" w:cs="Times New Roman"/>
          <w:sz w:val="24"/>
          <w:szCs w:val="24"/>
        </w:rPr>
        <w:t>mechanizm nierynkowego ograniczania</w:t>
      </w:r>
      <w:r w:rsidR="00095AFC" w:rsidRPr="00613198">
        <w:rPr>
          <w:rFonts w:ascii="Times New Roman" w:hAnsi="Times New Roman" w:cs="Times New Roman"/>
          <w:sz w:val="24"/>
          <w:szCs w:val="24"/>
        </w:rPr>
        <w:t xml:space="preserve"> w wytwarzaniu </w:t>
      </w:r>
      <w:r w:rsidR="00EF320E" w:rsidRPr="00613198">
        <w:rPr>
          <w:rFonts w:ascii="Times New Roman" w:hAnsi="Times New Roman" w:cs="Times New Roman"/>
          <w:sz w:val="24"/>
          <w:szCs w:val="24"/>
        </w:rPr>
        <w:t xml:space="preserve">z </w:t>
      </w:r>
      <w:r w:rsidR="00095AFC" w:rsidRPr="00613198">
        <w:rPr>
          <w:rFonts w:ascii="Times New Roman" w:hAnsi="Times New Roman" w:cs="Times New Roman"/>
          <w:sz w:val="24"/>
          <w:szCs w:val="24"/>
        </w:rPr>
        <w:t>odnawialnych źródeł energii</w:t>
      </w:r>
      <w:r w:rsidR="00845B4D" w:rsidRPr="00613198">
        <w:rPr>
          <w:rFonts w:ascii="Times New Roman" w:hAnsi="Times New Roman" w:cs="Times New Roman"/>
          <w:sz w:val="24"/>
          <w:szCs w:val="24"/>
        </w:rPr>
        <w:t xml:space="preserve"> przez operatorów systemu elektr</w:t>
      </w:r>
      <w:r w:rsidR="00095AFC" w:rsidRPr="00613198">
        <w:rPr>
          <w:rFonts w:ascii="Times New Roman" w:hAnsi="Times New Roman" w:cs="Times New Roman"/>
          <w:sz w:val="24"/>
          <w:szCs w:val="24"/>
        </w:rPr>
        <w:t>oenerget</w:t>
      </w:r>
      <w:r w:rsidR="00845B4D" w:rsidRPr="00613198">
        <w:rPr>
          <w:rFonts w:ascii="Times New Roman" w:hAnsi="Times New Roman" w:cs="Times New Roman"/>
          <w:sz w:val="24"/>
          <w:szCs w:val="24"/>
        </w:rPr>
        <w:t>ycznego</w:t>
      </w:r>
      <w:bookmarkEnd w:id="0"/>
      <w:r w:rsidR="00117E8E" w:rsidRPr="00613198">
        <w:rPr>
          <w:rFonts w:ascii="Times New Roman" w:hAnsi="Times New Roman" w:cs="Times New Roman"/>
          <w:sz w:val="24"/>
          <w:szCs w:val="24"/>
        </w:rPr>
        <w:t>;</w:t>
      </w:r>
      <w:r w:rsidR="00117E8E" w:rsidRPr="00613198" w:rsidDel="00117E8E">
        <w:rPr>
          <w:rFonts w:ascii="Times New Roman" w:hAnsi="Times New Roman" w:cs="Times New Roman"/>
          <w:sz w:val="24"/>
          <w:szCs w:val="24"/>
        </w:rPr>
        <w:t xml:space="preserve"> </w:t>
      </w:r>
    </w:p>
    <w:p w14:paraId="0F8507BF" w14:textId="2E6ED6E8" w:rsidR="00D03AD3" w:rsidRPr="00613198" w:rsidRDefault="00D03AD3" w:rsidP="00D03AD3">
      <w:pPr>
        <w:pStyle w:val="Akapitzlist"/>
        <w:numPr>
          <w:ilvl w:val="0"/>
          <w:numId w:val="5"/>
        </w:numPr>
        <w:spacing w:line="360" w:lineRule="auto"/>
        <w:jc w:val="both"/>
        <w:rPr>
          <w:rFonts w:ascii="Times New Roman" w:hAnsi="Times New Roman" w:cs="Times New Roman"/>
          <w:sz w:val="24"/>
          <w:szCs w:val="24"/>
        </w:rPr>
      </w:pPr>
      <w:r w:rsidRPr="00613198">
        <w:rPr>
          <w:rFonts w:ascii="Times New Roman" w:hAnsi="Times New Roman" w:cs="Times New Roman"/>
          <w:sz w:val="24"/>
          <w:szCs w:val="24"/>
        </w:rPr>
        <w:t xml:space="preserve"> nadaje się </w:t>
      </w:r>
      <w:bookmarkStart w:id="1" w:name="_Hlk55401670"/>
      <w:r w:rsidRPr="00613198">
        <w:rPr>
          <w:rFonts w:ascii="Times New Roman" w:hAnsi="Times New Roman" w:cs="Times New Roman"/>
          <w:sz w:val="24"/>
          <w:szCs w:val="24"/>
        </w:rPr>
        <w:t>uprawnienia Prezesowi URE do ingerowania z urzędu lub na wniosek strony w treść umowy o świadczenie usług przesyłania lub dystrybucji paliw gazowych lub energii elektrycznej zawartej pomiędzy sprzedawcą a operatorem systemu dystrybucyjnego lub operatorem systemu przesyłowego, w określonych przypadkach</w:t>
      </w:r>
      <w:bookmarkEnd w:id="1"/>
      <w:r w:rsidR="00117E8E" w:rsidRPr="00613198">
        <w:rPr>
          <w:rFonts w:ascii="Times New Roman" w:hAnsi="Times New Roman" w:cs="Times New Roman"/>
          <w:sz w:val="24"/>
          <w:szCs w:val="24"/>
        </w:rPr>
        <w:t>;</w:t>
      </w:r>
    </w:p>
    <w:p w14:paraId="2483582C" w14:textId="33D4AD02" w:rsidR="00CA2DEA" w:rsidRPr="00E06314" w:rsidRDefault="00CA2DEA">
      <w:pPr>
        <w:pStyle w:val="Akapitzlist"/>
        <w:numPr>
          <w:ilvl w:val="0"/>
          <w:numId w:val="5"/>
        </w:numPr>
        <w:spacing w:line="360" w:lineRule="auto"/>
        <w:jc w:val="both"/>
        <w:rPr>
          <w:rFonts w:ascii="Times New Roman" w:hAnsi="Times New Roman" w:cs="Times New Roman"/>
          <w:sz w:val="24"/>
          <w:szCs w:val="24"/>
        </w:rPr>
      </w:pPr>
      <w:bookmarkStart w:id="2" w:name="_Hlk69481536"/>
      <w:r>
        <w:rPr>
          <w:rFonts w:ascii="Times New Roman" w:hAnsi="Times New Roman" w:cs="Times New Roman"/>
          <w:sz w:val="24"/>
          <w:szCs w:val="24"/>
        </w:rPr>
        <w:t xml:space="preserve">przyznaje się Prezesowi URE uprawnienie do udzielenia określonym podmiotom odstępstwa od stosowania wskazanych w decyzji przepisów </w:t>
      </w:r>
      <w:bookmarkEnd w:id="2"/>
      <w:r>
        <w:rPr>
          <w:rFonts w:ascii="Times New Roman" w:hAnsi="Times New Roman" w:cs="Times New Roman"/>
          <w:sz w:val="24"/>
          <w:szCs w:val="24"/>
        </w:rPr>
        <w:t>w ramach</w:t>
      </w:r>
      <w:r w:rsidRPr="00CA2DEA">
        <w:rPr>
          <w:rFonts w:ascii="Times New Roman" w:hAnsi="Times New Roman" w:cs="Times New Roman"/>
          <w:sz w:val="24"/>
          <w:szCs w:val="24"/>
        </w:rPr>
        <w:t xml:space="preserve"> realizacji projektu mającego na celu wdrożenie innowacyjnych technologii, usług, produktów, modeli współpracy użytkowników systemu, rozwiązań technologicznych lub teleinformatycznych</w:t>
      </w:r>
      <w:r w:rsidR="005C0C5D">
        <w:rPr>
          <w:rFonts w:ascii="Times New Roman" w:hAnsi="Times New Roman" w:cs="Times New Roman"/>
          <w:sz w:val="24"/>
          <w:szCs w:val="24"/>
        </w:rPr>
        <w:t xml:space="preserve"> </w:t>
      </w:r>
      <w:r w:rsidR="005C0C5D" w:rsidRPr="007C7112">
        <w:rPr>
          <w:rFonts w:ascii="Times New Roman" w:hAnsi="Times New Roman" w:cs="Times New Roman"/>
          <w:sz w:val="24"/>
          <w:szCs w:val="24"/>
        </w:rPr>
        <w:t>w ramach tzw. „piaskownicy regulacyjnej”</w:t>
      </w:r>
      <w:r w:rsidR="00761BC8" w:rsidRPr="006473E1">
        <w:rPr>
          <w:rFonts w:ascii="Times New Roman" w:hAnsi="Times New Roman" w:cs="Times New Roman"/>
          <w:sz w:val="24"/>
          <w:szCs w:val="24"/>
        </w:rPr>
        <w:t>;</w:t>
      </w:r>
    </w:p>
    <w:p w14:paraId="30CC05D3" w14:textId="31AEA203" w:rsidR="009161DD" w:rsidRPr="00613198" w:rsidRDefault="009161DD">
      <w:pPr>
        <w:pStyle w:val="Akapitzlist"/>
        <w:numPr>
          <w:ilvl w:val="0"/>
          <w:numId w:val="5"/>
        </w:numPr>
        <w:spacing w:line="360" w:lineRule="auto"/>
        <w:jc w:val="both"/>
        <w:rPr>
          <w:rFonts w:ascii="Times New Roman" w:hAnsi="Times New Roman" w:cs="Times New Roman"/>
          <w:sz w:val="24"/>
          <w:szCs w:val="24"/>
        </w:rPr>
      </w:pPr>
      <w:r w:rsidRPr="00613198">
        <w:rPr>
          <w:rFonts w:ascii="Times New Roman" w:hAnsi="Times New Roman" w:cs="Times New Roman"/>
          <w:sz w:val="24"/>
          <w:szCs w:val="24"/>
        </w:rPr>
        <w:t>doprecyzowuje</w:t>
      </w:r>
      <w:r w:rsidR="00117E8E" w:rsidRPr="00613198">
        <w:rPr>
          <w:rFonts w:ascii="Times New Roman" w:hAnsi="Times New Roman" w:cs="Times New Roman"/>
          <w:sz w:val="24"/>
          <w:szCs w:val="24"/>
        </w:rPr>
        <w:t xml:space="preserve"> </w:t>
      </w:r>
      <w:r w:rsidRPr="00613198">
        <w:rPr>
          <w:rFonts w:ascii="Times New Roman" w:hAnsi="Times New Roman" w:cs="Times New Roman"/>
          <w:sz w:val="24"/>
          <w:szCs w:val="24"/>
        </w:rPr>
        <w:t>się przepisy dotyczące znaku towarowego operatora systemu dystrybucyjnego będącego częścią przedsiębiorstwa zintegrowanego pionowo w ten sposób, że nie będzie mógł wprowadzać w błąd co do odrębnej tożsamości sprzedawcy będącego częścią tego samego przedsiębiorstwa zintegrowanego pionowo</w:t>
      </w:r>
      <w:r w:rsidR="00117E8E" w:rsidRPr="00613198">
        <w:rPr>
          <w:rFonts w:ascii="Times New Roman" w:hAnsi="Times New Roman" w:cs="Times New Roman"/>
          <w:sz w:val="24"/>
          <w:szCs w:val="24"/>
        </w:rPr>
        <w:t>;</w:t>
      </w:r>
    </w:p>
    <w:p w14:paraId="33274560" w14:textId="3D5F5795" w:rsidR="002E3E47" w:rsidRPr="00613198" w:rsidRDefault="002E3E47" w:rsidP="002E3E47">
      <w:pPr>
        <w:pStyle w:val="Akapitzlist"/>
        <w:numPr>
          <w:ilvl w:val="0"/>
          <w:numId w:val="5"/>
        </w:numPr>
        <w:spacing w:line="360" w:lineRule="auto"/>
        <w:jc w:val="both"/>
        <w:rPr>
          <w:rFonts w:ascii="Times New Roman" w:hAnsi="Times New Roman" w:cs="Times New Roman"/>
          <w:sz w:val="24"/>
          <w:szCs w:val="24"/>
        </w:rPr>
      </w:pPr>
      <w:r w:rsidRPr="00613198">
        <w:rPr>
          <w:rFonts w:ascii="Times New Roman" w:hAnsi="Times New Roman" w:cs="Times New Roman"/>
          <w:sz w:val="24"/>
          <w:szCs w:val="24"/>
        </w:rPr>
        <w:lastRenderedPageBreak/>
        <w:t>wprowadza się</w:t>
      </w:r>
      <w:r w:rsidR="00EC3431">
        <w:rPr>
          <w:rFonts w:ascii="Times New Roman" w:hAnsi="Times New Roman" w:cs="Times New Roman"/>
          <w:sz w:val="24"/>
          <w:szCs w:val="24"/>
        </w:rPr>
        <w:t xml:space="preserve"> obowiązek stosowania</w:t>
      </w:r>
      <w:r w:rsidRPr="00613198">
        <w:rPr>
          <w:rFonts w:ascii="Times New Roman" w:hAnsi="Times New Roman" w:cs="Times New Roman"/>
          <w:sz w:val="24"/>
          <w:szCs w:val="24"/>
        </w:rPr>
        <w:t xml:space="preserve"> </w:t>
      </w:r>
      <w:r w:rsidR="00EC3431" w:rsidRPr="00613198">
        <w:rPr>
          <w:rFonts w:ascii="Times New Roman" w:hAnsi="Times New Roman" w:cs="Times New Roman"/>
          <w:sz w:val="24"/>
          <w:szCs w:val="24"/>
        </w:rPr>
        <w:t>wzor</w:t>
      </w:r>
      <w:r w:rsidR="00EC3431">
        <w:rPr>
          <w:rFonts w:ascii="Times New Roman" w:hAnsi="Times New Roman" w:cs="Times New Roman"/>
          <w:sz w:val="24"/>
          <w:szCs w:val="24"/>
        </w:rPr>
        <w:t>ca</w:t>
      </w:r>
      <w:r w:rsidR="00EC3431" w:rsidRPr="00613198">
        <w:rPr>
          <w:rFonts w:ascii="Times New Roman" w:hAnsi="Times New Roman" w:cs="Times New Roman"/>
          <w:sz w:val="24"/>
          <w:szCs w:val="24"/>
        </w:rPr>
        <w:t xml:space="preserve"> </w:t>
      </w:r>
      <w:r w:rsidRPr="00613198">
        <w:rPr>
          <w:rFonts w:ascii="Times New Roman" w:hAnsi="Times New Roman" w:cs="Times New Roman"/>
          <w:sz w:val="24"/>
          <w:szCs w:val="24"/>
        </w:rPr>
        <w:t>umowy o świadczenie usług przesyłania paliw gazowych;</w:t>
      </w:r>
    </w:p>
    <w:p w14:paraId="0C77DF65" w14:textId="0B0FC553" w:rsidR="00117E8E" w:rsidRPr="00477C8A" w:rsidRDefault="00117E8E" w:rsidP="002C1F05">
      <w:pPr>
        <w:pStyle w:val="Akapitzlist"/>
        <w:numPr>
          <w:ilvl w:val="0"/>
          <w:numId w:val="5"/>
        </w:numPr>
        <w:spacing w:line="360" w:lineRule="auto"/>
        <w:jc w:val="both"/>
        <w:rPr>
          <w:rFonts w:ascii="Times New Roman" w:hAnsi="Times New Roman" w:cs="Times New Roman"/>
          <w:sz w:val="24"/>
          <w:szCs w:val="24"/>
        </w:rPr>
      </w:pPr>
      <w:r w:rsidRPr="00613198">
        <w:rPr>
          <w:rFonts w:ascii="Times New Roman" w:hAnsi="Times New Roman" w:cs="Times New Roman"/>
          <w:sz w:val="24"/>
          <w:szCs w:val="24"/>
        </w:rPr>
        <w:t>dodaje się</w:t>
      </w:r>
      <w:r w:rsidR="00B763FF" w:rsidRPr="00613198">
        <w:rPr>
          <w:rFonts w:ascii="Times New Roman" w:hAnsi="Times New Roman" w:cs="Times New Roman"/>
          <w:sz w:val="24"/>
          <w:szCs w:val="24"/>
        </w:rPr>
        <w:t xml:space="preserve"> </w:t>
      </w:r>
      <w:r w:rsidR="00415C13" w:rsidRPr="00613198">
        <w:rPr>
          <w:rFonts w:ascii="Times New Roman" w:hAnsi="Times New Roman" w:cs="Times New Roman"/>
          <w:sz w:val="24"/>
          <w:szCs w:val="24"/>
        </w:rPr>
        <w:t>przepis</w:t>
      </w:r>
      <w:r w:rsidRPr="00613198">
        <w:rPr>
          <w:rFonts w:ascii="Times New Roman" w:hAnsi="Times New Roman" w:cs="Times New Roman"/>
          <w:sz w:val="24"/>
          <w:szCs w:val="24"/>
        </w:rPr>
        <w:t>y</w:t>
      </w:r>
      <w:r w:rsidR="00415C13" w:rsidRPr="00613198">
        <w:rPr>
          <w:rFonts w:ascii="Times New Roman" w:hAnsi="Times New Roman" w:cs="Times New Roman"/>
          <w:sz w:val="24"/>
          <w:szCs w:val="24"/>
        </w:rPr>
        <w:t xml:space="preserve"> mające na celu zapewnienie przedsiębiorstwom energetycznym zajmującym się przesyłaniem lub dystrybucją energii elektrycznej lub paliw</w:t>
      </w:r>
      <w:r w:rsidR="002F283B" w:rsidRPr="00613198">
        <w:rPr>
          <w:rFonts w:ascii="Times New Roman" w:hAnsi="Times New Roman" w:cs="Times New Roman"/>
          <w:sz w:val="24"/>
          <w:szCs w:val="24"/>
        </w:rPr>
        <w:t xml:space="preserve"> </w:t>
      </w:r>
      <w:r w:rsidR="00415C13" w:rsidRPr="00613198">
        <w:rPr>
          <w:rFonts w:ascii="Times New Roman" w:hAnsi="Times New Roman" w:cs="Times New Roman"/>
          <w:sz w:val="24"/>
          <w:szCs w:val="24"/>
        </w:rPr>
        <w:t>gazow</w:t>
      </w:r>
      <w:r w:rsidR="002F283B" w:rsidRPr="00613198">
        <w:rPr>
          <w:rFonts w:ascii="Times New Roman" w:hAnsi="Times New Roman" w:cs="Times New Roman"/>
          <w:sz w:val="24"/>
          <w:szCs w:val="24"/>
        </w:rPr>
        <w:t>ych</w:t>
      </w:r>
      <w:r w:rsidR="00415C13" w:rsidRPr="00613198">
        <w:rPr>
          <w:rFonts w:ascii="Times New Roman" w:hAnsi="Times New Roman" w:cs="Times New Roman"/>
          <w:sz w:val="24"/>
          <w:szCs w:val="24"/>
        </w:rPr>
        <w:t xml:space="preserve"> podstawy </w:t>
      </w:r>
      <w:r w:rsidRPr="00613198">
        <w:rPr>
          <w:rFonts w:ascii="Times New Roman" w:hAnsi="Times New Roman" w:cs="Times New Roman"/>
          <w:sz w:val="24"/>
          <w:szCs w:val="24"/>
        </w:rPr>
        <w:t xml:space="preserve">prawnej </w:t>
      </w:r>
      <w:r w:rsidR="00415C13" w:rsidRPr="00613198">
        <w:rPr>
          <w:rFonts w:ascii="Times New Roman" w:hAnsi="Times New Roman" w:cs="Times New Roman"/>
          <w:sz w:val="24"/>
          <w:szCs w:val="24"/>
        </w:rPr>
        <w:t xml:space="preserve">do </w:t>
      </w:r>
      <w:r w:rsidR="00DC5081">
        <w:rPr>
          <w:rFonts w:ascii="Times New Roman" w:hAnsi="Times New Roman" w:cs="Times New Roman"/>
          <w:sz w:val="24"/>
          <w:szCs w:val="24"/>
        </w:rPr>
        <w:t xml:space="preserve">koordynowania działań i </w:t>
      </w:r>
      <w:r w:rsidR="00415C13" w:rsidRPr="00613198">
        <w:rPr>
          <w:rFonts w:ascii="Times New Roman" w:hAnsi="Times New Roman" w:cs="Times New Roman"/>
          <w:sz w:val="24"/>
          <w:szCs w:val="24"/>
        </w:rPr>
        <w:t xml:space="preserve">wymiany informacji </w:t>
      </w:r>
      <w:r w:rsidRPr="00613198">
        <w:rPr>
          <w:rFonts w:ascii="Times New Roman" w:hAnsi="Times New Roman" w:cs="Times New Roman"/>
          <w:sz w:val="24"/>
          <w:szCs w:val="24"/>
        </w:rPr>
        <w:t xml:space="preserve">w przypadku wniosków o przyłączenie do sieci gazowej i sieci elektroenergetycznej o napięciu </w:t>
      </w:r>
      <w:r w:rsidRPr="00477C8A">
        <w:rPr>
          <w:rFonts w:ascii="Times New Roman" w:hAnsi="Times New Roman" w:cs="Times New Roman"/>
          <w:sz w:val="24"/>
          <w:szCs w:val="24"/>
        </w:rPr>
        <w:t xml:space="preserve">znamionowym 110 </w:t>
      </w:r>
      <w:proofErr w:type="spellStart"/>
      <w:r w:rsidRPr="00477C8A">
        <w:rPr>
          <w:rFonts w:ascii="Times New Roman" w:hAnsi="Times New Roman" w:cs="Times New Roman"/>
          <w:sz w:val="24"/>
          <w:szCs w:val="24"/>
        </w:rPr>
        <w:t>kV</w:t>
      </w:r>
      <w:proofErr w:type="spellEnd"/>
      <w:r w:rsidRPr="00477C8A">
        <w:rPr>
          <w:rFonts w:ascii="Times New Roman" w:hAnsi="Times New Roman" w:cs="Times New Roman"/>
          <w:sz w:val="24"/>
          <w:szCs w:val="24"/>
        </w:rPr>
        <w:t xml:space="preserve"> i wyższym, urządzeń, instalacji lub sieci, wykorzystujących do wytwarzania energii elektrycznej paliwo gazowe;</w:t>
      </w:r>
    </w:p>
    <w:p w14:paraId="543AC3B7" w14:textId="53A08BDE" w:rsidR="00AA62EA" w:rsidRPr="00477C8A" w:rsidRDefault="00415C13" w:rsidP="00B36147">
      <w:pPr>
        <w:pStyle w:val="Akapitzlist"/>
        <w:numPr>
          <w:ilvl w:val="0"/>
          <w:numId w:val="5"/>
        </w:numPr>
        <w:spacing w:line="360" w:lineRule="auto"/>
        <w:jc w:val="both"/>
        <w:rPr>
          <w:rFonts w:ascii="Times New Roman" w:hAnsi="Times New Roman" w:cs="Times New Roman"/>
          <w:sz w:val="24"/>
          <w:szCs w:val="24"/>
        </w:rPr>
      </w:pPr>
      <w:r w:rsidRPr="00477C8A">
        <w:rPr>
          <w:rFonts w:ascii="Times New Roman" w:hAnsi="Times New Roman" w:cs="Times New Roman"/>
          <w:sz w:val="24"/>
          <w:szCs w:val="24"/>
        </w:rPr>
        <w:t>rozstrzyg</w:t>
      </w:r>
      <w:r w:rsidR="00117E8E" w:rsidRPr="00477C8A">
        <w:rPr>
          <w:rFonts w:ascii="Times New Roman" w:hAnsi="Times New Roman" w:cs="Times New Roman"/>
          <w:sz w:val="24"/>
          <w:szCs w:val="24"/>
        </w:rPr>
        <w:t>a się</w:t>
      </w:r>
      <w:r w:rsidRPr="00477C8A">
        <w:rPr>
          <w:rFonts w:ascii="Times New Roman" w:hAnsi="Times New Roman" w:cs="Times New Roman"/>
          <w:sz w:val="24"/>
          <w:szCs w:val="24"/>
        </w:rPr>
        <w:t xml:space="preserve"> wątpliwości dotycząc</w:t>
      </w:r>
      <w:r w:rsidR="00117E8E" w:rsidRPr="00477C8A">
        <w:rPr>
          <w:rFonts w:ascii="Times New Roman" w:hAnsi="Times New Roman" w:cs="Times New Roman"/>
          <w:sz w:val="24"/>
          <w:szCs w:val="24"/>
        </w:rPr>
        <w:t>e</w:t>
      </w:r>
      <w:r w:rsidRPr="00477C8A">
        <w:rPr>
          <w:rFonts w:ascii="Times New Roman" w:hAnsi="Times New Roman" w:cs="Times New Roman"/>
          <w:sz w:val="24"/>
          <w:szCs w:val="24"/>
        </w:rPr>
        <w:t xml:space="preserve"> możliwości prowadzenia przez operatora systemu magazynowania działalności w zakresie skraplania lub regazyfikacji gazu ziemnego</w:t>
      </w:r>
      <w:r w:rsidR="00AA62EA" w:rsidRPr="00477C8A">
        <w:rPr>
          <w:rFonts w:ascii="Times New Roman" w:hAnsi="Times New Roman" w:cs="Times New Roman"/>
          <w:sz w:val="24"/>
          <w:szCs w:val="24"/>
        </w:rPr>
        <w:t>;</w:t>
      </w:r>
    </w:p>
    <w:p w14:paraId="5C9E40AA" w14:textId="32F7DAFD" w:rsidR="0008052A" w:rsidRPr="00477C8A" w:rsidRDefault="0008052A" w:rsidP="003308AE">
      <w:pPr>
        <w:pStyle w:val="Akapitzlist"/>
        <w:numPr>
          <w:ilvl w:val="0"/>
          <w:numId w:val="5"/>
        </w:numPr>
        <w:spacing w:line="360" w:lineRule="auto"/>
        <w:jc w:val="both"/>
        <w:rPr>
          <w:rFonts w:ascii="Times New Roman" w:eastAsiaTheme="minorEastAsia" w:hAnsi="Times New Roman" w:cs="Times New Roman"/>
          <w:bCs/>
          <w:sz w:val="24"/>
          <w:szCs w:val="24"/>
        </w:rPr>
      </w:pPr>
      <w:r w:rsidRPr="00477C8A">
        <w:rPr>
          <w:rFonts w:ascii="Times New Roman" w:eastAsiaTheme="minorEastAsia" w:hAnsi="Times New Roman" w:cs="Times New Roman"/>
          <w:bCs/>
          <w:sz w:val="24"/>
          <w:szCs w:val="24"/>
        </w:rPr>
        <w:t>znosi się możliwość prowadzenia działalności gospodarczej w zakresie obrotu gazem bez uzyskania koncesji;</w:t>
      </w:r>
    </w:p>
    <w:p w14:paraId="21874C08" w14:textId="39CD9507" w:rsidR="0008052A" w:rsidRPr="00477C8A" w:rsidRDefault="0008052A" w:rsidP="003308AE">
      <w:pPr>
        <w:pStyle w:val="Akapitzlist"/>
        <w:numPr>
          <w:ilvl w:val="0"/>
          <w:numId w:val="5"/>
        </w:numPr>
        <w:spacing w:line="360" w:lineRule="auto"/>
        <w:jc w:val="both"/>
        <w:rPr>
          <w:rFonts w:ascii="Times New Roman" w:eastAsiaTheme="minorEastAsia" w:hAnsi="Times New Roman" w:cs="Times New Roman"/>
          <w:bCs/>
          <w:sz w:val="24"/>
          <w:szCs w:val="24"/>
        </w:rPr>
      </w:pPr>
      <w:r w:rsidRPr="00477C8A">
        <w:rPr>
          <w:rFonts w:ascii="Times New Roman" w:eastAsiaTheme="minorEastAsia" w:hAnsi="Times New Roman" w:cs="Times New Roman"/>
          <w:bCs/>
          <w:sz w:val="24"/>
          <w:szCs w:val="24"/>
        </w:rPr>
        <w:t>zmienia definicję sieci gazowej;</w:t>
      </w:r>
    </w:p>
    <w:p w14:paraId="42533DEA" w14:textId="2986560A" w:rsidR="0008052A" w:rsidRPr="00477C8A" w:rsidRDefault="0008052A" w:rsidP="003308AE">
      <w:pPr>
        <w:pStyle w:val="Akapitzlist"/>
        <w:numPr>
          <w:ilvl w:val="0"/>
          <w:numId w:val="5"/>
        </w:numPr>
        <w:spacing w:line="360" w:lineRule="auto"/>
        <w:jc w:val="both"/>
        <w:rPr>
          <w:rFonts w:ascii="Times New Roman" w:eastAsiaTheme="minorEastAsia" w:hAnsi="Times New Roman" w:cs="Times New Roman"/>
          <w:bCs/>
          <w:sz w:val="24"/>
          <w:szCs w:val="24"/>
        </w:rPr>
      </w:pPr>
      <w:r w:rsidRPr="00477C8A">
        <w:rPr>
          <w:rFonts w:ascii="Times New Roman" w:eastAsiaTheme="minorEastAsia" w:hAnsi="Times New Roman" w:cs="Times New Roman"/>
          <w:bCs/>
          <w:sz w:val="24"/>
          <w:szCs w:val="24"/>
        </w:rPr>
        <w:t>wprowadza się dodatkową przesłankę udzielenia, zmiany i cofnięcia koncesji w postaci rękojmi prawidłowego wykonywania działalności objętej koncesję;</w:t>
      </w:r>
    </w:p>
    <w:p w14:paraId="1BED5445" w14:textId="569F3300" w:rsidR="00495C2E" w:rsidRPr="00822E3D" w:rsidRDefault="0008052A" w:rsidP="003308AE">
      <w:pPr>
        <w:pStyle w:val="Akapitzlist"/>
        <w:numPr>
          <w:ilvl w:val="0"/>
          <w:numId w:val="5"/>
        </w:numPr>
        <w:spacing w:line="360" w:lineRule="auto"/>
        <w:jc w:val="both"/>
        <w:rPr>
          <w:rFonts w:ascii="Times New Roman" w:hAnsi="Times New Roman" w:cs="Times New Roman"/>
          <w:sz w:val="24"/>
          <w:szCs w:val="24"/>
        </w:rPr>
      </w:pPr>
      <w:r w:rsidRPr="00477C8A">
        <w:rPr>
          <w:rFonts w:ascii="Times New Roman" w:eastAsiaTheme="minorEastAsia" w:hAnsi="Times New Roman" w:cs="Times New Roman"/>
          <w:bCs/>
          <w:sz w:val="24"/>
          <w:szCs w:val="24"/>
        </w:rPr>
        <w:t>wprowadza się możliwość nakazania przedsiębiorstwu energetycznemu dalszego prowadzenia działalności objętej koncesja przez Prezesa URE;</w:t>
      </w:r>
    </w:p>
    <w:p w14:paraId="0FF08CF6" w14:textId="0EF4AFB1" w:rsidR="00813DD6" w:rsidRPr="00477C8A" w:rsidRDefault="00813DD6">
      <w:pPr>
        <w:pStyle w:val="PKTpunkt"/>
        <w:numPr>
          <w:ilvl w:val="0"/>
          <w:numId w:val="5"/>
        </w:numPr>
        <w:rPr>
          <w:rFonts w:ascii="Times New Roman" w:hAnsi="Times New Roman" w:cs="Times New Roman"/>
          <w:szCs w:val="24"/>
        </w:rPr>
      </w:pPr>
      <w:r w:rsidRPr="00477C8A">
        <w:rPr>
          <w:rFonts w:ascii="Times New Roman" w:hAnsi="Times New Roman" w:cs="Times New Roman"/>
          <w:szCs w:val="24"/>
        </w:rPr>
        <w:t>wprowadza się zmiany w zakresie funkcjonowania centralnego systemu informacji rynku energii</w:t>
      </w:r>
      <w:r w:rsidR="00B846B3" w:rsidRPr="00477C8A">
        <w:rPr>
          <w:rFonts w:ascii="Times New Roman" w:hAnsi="Times New Roman" w:cs="Times New Roman"/>
          <w:szCs w:val="24"/>
        </w:rPr>
        <w:t>.</w:t>
      </w:r>
    </w:p>
    <w:p w14:paraId="687857EB" w14:textId="77777777" w:rsidR="00A77025" w:rsidRPr="00A77025" w:rsidRDefault="00A77025" w:rsidP="00A77025">
      <w:pPr>
        <w:pStyle w:val="PKTpunkt"/>
        <w:ind w:left="720" w:firstLine="0"/>
        <w:rPr>
          <w:sz w:val="10"/>
          <w:szCs w:val="6"/>
        </w:rPr>
      </w:pPr>
    </w:p>
    <w:p w14:paraId="25F36C9C" w14:textId="32005202" w:rsidR="00495C2E" w:rsidRDefault="00495C2E" w:rsidP="00A77025">
      <w:pPr>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Ponadto projekt usuwa zidentyfikowane luki w prawie oraz doprecyzowuje przepisy wywołujące rozbieżności interpretacyjne.</w:t>
      </w:r>
    </w:p>
    <w:p w14:paraId="745365DE" w14:textId="77777777" w:rsidR="00344EAB" w:rsidRPr="00A77025" w:rsidRDefault="00344EAB" w:rsidP="004441E2">
      <w:pPr>
        <w:pStyle w:val="PKTpunkt"/>
        <w:ind w:left="0" w:firstLine="0"/>
        <w:rPr>
          <w:rFonts w:ascii="Times New Roman" w:hAnsi="Times New Roman" w:cs="Times New Roman"/>
          <w:sz w:val="10"/>
          <w:szCs w:val="10"/>
        </w:rPr>
      </w:pPr>
    </w:p>
    <w:p w14:paraId="3BD14B53" w14:textId="3A6A9A47" w:rsidR="001C3E1F" w:rsidRPr="00613198" w:rsidRDefault="00EF1747" w:rsidP="00EB051A">
      <w:pPr>
        <w:spacing w:line="360" w:lineRule="auto"/>
        <w:ind w:firstLine="709"/>
        <w:jc w:val="both"/>
        <w:rPr>
          <w:rFonts w:ascii="Times New Roman" w:hAnsi="Times New Roman" w:cs="Times New Roman"/>
          <w:b/>
          <w:sz w:val="24"/>
          <w:szCs w:val="24"/>
        </w:rPr>
      </w:pPr>
      <w:r w:rsidRPr="00613198">
        <w:rPr>
          <w:rFonts w:ascii="Times New Roman" w:hAnsi="Times New Roman" w:cs="Times New Roman"/>
          <w:b/>
          <w:bCs/>
          <w:sz w:val="24"/>
          <w:szCs w:val="24"/>
        </w:rPr>
        <w:t xml:space="preserve">Ad 1. </w:t>
      </w:r>
      <w:r w:rsidR="001C3E1F" w:rsidRPr="00613198">
        <w:rPr>
          <w:rFonts w:ascii="Times New Roman" w:hAnsi="Times New Roman" w:cs="Times New Roman"/>
          <w:b/>
          <w:sz w:val="24"/>
          <w:szCs w:val="24"/>
        </w:rPr>
        <w:t>Techniczna zmiana sprzedawcy</w:t>
      </w:r>
    </w:p>
    <w:p w14:paraId="67437AD4" w14:textId="07397C84" w:rsidR="00EB051A" w:rsidRPr="00613198" w:rsidRDefault="00EF1747" w:rsidP="00B12270">
      <w:pPr>
        <w:spacing w:line="360" w:lineRule="auto"/>
        <w:ind w:firstLine="709"/>
        <w:jc w:val="both"/>
        <w:rPr>
          <w:rFonts w:ascii="Times New Roman" w:hAnsi="Times New Roman" w:cs="Times New Roman"/>
          <w:sz w:val="24"/>
          <w:szCs w:val="24"/>
        </w:rPr>
      </w:pPr>
      <w:r w:rsidRPr="00613198">
        <w:rPr>
          <w:rFonts w:ascii="Times New Roman" w:hAnsi="Times New Roman" w:cs="Times New Roman"/>
          <w:sz w:val="24"/>
          <w:szCs w:val="24"/>
        </w:rPr>
        <w:t xml:space="preserve">W projekcie ustawy wprowadza się przepisy umożliwiające od 2026 r. techniczną zmianę sprzedawcy energii elektrycznej w 24 godziny. </w:t>
      </w:r>
      <w:r w:rsidR="00EB051A" w:rsidRPr="00613198">
        <w:rPr>
          <w:rFonts w:ascii="Times New Roman" w:hAnsi="Times New Roman" w:cs="Times New Roman"/>
          <w:sz w:val="24"/>
          <w:szCs w:val="24"/>
        </w:rPr>
        <w:t>P</w:t>
      </w:r>
      <w:r w:rsidRPr="00613198">
        <w:rPr>
          <w:rFonts w:ascii="Times New Roman" w:hAnsi="Times New Roman" w:cs="Times New Roman"/>
          <w:sz w:val="24"/>
          <w:szCs w:val="24"/>
        </w:rPr>
        <w:t>ropozycje zmian</w:t>
      </w:r>
      <w:r w:rsidR="00EB051A" w:rsidRPr="00613198">
        <w:rPr>
          <w:rFonts w:ascii="Times New Roman" w:hAnsi="Times New Roman" w:cs="Times New Roman"/>
          <w:sz w:val="24"/>
          <w:szCs w:val="24"/>
        </w:rPr>
        <w:t xml:space="preserve"> przedstawione w art. </w:t>
      </w:r>
      <w:r w:rsidR="003D185A" w:rsidRPr="00613198">
        <w:rPr>
          <w:rFonts w:ascii="Times New Roman" w:hAnsi="Times New Roman" w:cs="Times New Roman"/>
          <w:sz w:val="24"/>
          <w:szCs w:val="24"/>
        </w:rPr>
        <w:t>1</w:t>
      </w:r>
      <w:r w:rsidR="00EB051A" w:rsidRPr="00613198">
        <w:rPr>
          <w:rFonts w:ascii="Times New Roman" w:hAnsi="Times New Roman" w:cs="Times New Roman"/>
          <w:sz w:val="24"/>
          <w:szCs w:val="24"/>
        </w:rPr>
        <w:t xml:space="preserve"> pkt </w:t>
      </w:r>
      <w:r w:rsidR="0057380F">
        <w:rPr>
          <w:rFonts w:ascii="Times New Roman" w:hAnsi="Times New Roman" w:cs="Times New Roman"/>
          <w:sz w:val="24"/>
          <w:szCs w:val="24"/>
        </w:rPr>
        <w:t>3</w:t>
      </w:r>
      <w:r w:rsidR="00EB051A" w:rsidRPr="00613198">
        <w:rPr>
          <w:rFonts w:ascii="Times New Roman" w:hAnsi="Times New Roman" w:cs="Times New Roman"/>
          <w:sz w:val="24"/>
          <w:szCs w:val="24"/>
        </w:rPr>
        <w:t xml:space="preserve"> projektu</w:t>
      </w:r>
      <w:r w:rsidRPr="00613198">
        <w:rPr>
          <w:rFonts w:ascii="Times New Roman" w:hAnsi="Times New Roman" w:cs="Times New Roman"/>
          <w:sz w:val="24"/>
          <w:szCs w:val="24"/>
        </w:rPr>
        <w:t xml:space="preserve"> </w:t>
      </w:r>
      <w:r w:rsidR="00EB051A" w:rsidRPr="00613198">
        <w:rPr>
          <w:rFonts w:ascii="Times New Roman" w:hAnsi="Times New Roman" w:cs="Times New Roman"/>
          <w:sz w:val="24"/>
          <w:szCs w:val="24"/>
        </w:rPr>
        <w:t>implementują do polskiego porządku prawnego</w:t>
      </w:r>
      <w:r w:rsidRPr="00613198">
        <w:rPr>
          <w:rFonts w:ascii="Times New Roman" w:hAnsi="Times New Roman" w:cs="Times New Roman"/>
          <w:sz w:val="24"/>
          <w:szCs w:val="24"/>
        </w:rPr>
        <w:t xml:space="preserve"> art. 12 ust.</w:t>
      </w:r>
      <w:r w:rsidR="00EB051A" w:rsidRPr="00613198">
        <w:rPr>
          <w:rFonts w:ascii="Times New Roman" w:hAnsi="Times New Roman" w:cs="Times New Roman"/>
          <w:sz w:val="24"/>
          <w:szCs w:val="24"/>
        </w:rPr>
        <w:t xml:space="preserve"> </w:t>
      </w:r>
      <w:r w:rsidRPr="00613198">
        <w:rPr>
          <w:rFonts w:ascii="Times New Roman" w:hAnsi="Times New Roman" w:cs="Times New Roman"/>
          <w:sz w:val="24"/>
          <w:szCs w:val="24"/>
        </w:rPr>
        <w:t xml:space="preserve">1 i 5 </w:t>
      </w:r>
      <w:r w:rsidR="00EB051A" w:rsidRPr="00613198">
        <w:rPr>
          <w:rFonts w:ascii="Times New Roman" w:hAnsi="Times New Roman" w:cs="Times New Roman"/>
          <w:sz w:val="24"/>
          <w:szCs w:val="24"/>
        </w:rPr>
        <w:t>dyrektywy 2019/944, uwzględniając pr</w:t>
      </w:r>
      <w:r w:rsidR="00635266">
        <w:rPr>
          <w:rFonts w:ascii="Times New Roman" w:hAnsi="Times New Roman" w:cs="Times New Roman"/>
          <w:sz w:val="24"/>
          <w:szCs w:val="24"/>
        </w:rPr>
        <w:t xml:space="preserve">zepisy dotyczące </w:t>
      </w:r>
      <w:r w:rsidR="00EB051A" w:rsidRPr="00613198">
        <w:rPr>
          <w:rFonts w:ascii="Times New Roman" w:hAnsi="Times New Roman" w:cs="Times New Roman"/>
          <w:sz w:val="24"/>
          <w:szCs w:val="24"/>
        </w:rPr>
        <w:t>powstania w Polsce centralnego systemu informacji rynku energii (CSIRE)</w:t>
      </w:r>
      <w:r w:rsidR="00635266">
        <w:rPr>
          <w:rFonts w:ascii="Times New Roman" w:hAnsi="Times New Roman" w:cs="Times New Roman"/>
          <w:sz w:val="24"/>
          <w:szCs w:val="24"/>
        </w:rPr>
        <w:t xml:space="preserve">, wprowadzone </w:t>
      </w:r>
      <w:r w:rsidR="00635266" w:rsidRPr="00635266">
        <w:rPr>
          <w:rFonts w:ascii="Times New Roman" w:hAnsi="Times New Roman" w:cs="Times New Roman"/>
          <w:sz w:val="24"/>
          <w:szCs w:val="24"/>
        </w:rPr>
        <w:t>ustaw</w:t>
      </w:r>
      <w:r w:rsidR="00635266">
        <w:rPr>
          <w:rFonts w:ascii="Times New Roman" w:hAnsi="Times New Roman" w:cs="Times New Roman"/>
          <w:sz w:val="24"/>
          <w:szCs w:val="24"/>
        </w:rPr>
        <w:t>ą</w:t>
      </w:r>
      <w:r w:rsidR="00635266" w:rsidRPr="00635266">
        <w:rPr>
          <w:rFonts w:ascii="Times New Roman" w:hAnsi="Times New Roman" w:cs="Times New Roman"/>
          <w:sz w:val="24"/>
          <w:szCs w:val="24"/>
        </w:rPr>
        <w:t xml:space="preserve"> z dnia 20 maja 2021 r. o zmianie ustawy – Prawo energetyczne oraz niektórych innych ustaw</w:t>
      </w:r>
      <w:r w:rsidR="00635266">
        <w:rPr>
          <w:rFonts w:ascii="Times New Roman" w:hAnsi="Times New Roman" w:cs="Times New Roman"/>
          <w:sz w:val="24"/>
          <w:szCs w:val="24"/>
        </w:rPr>
        <w:t xml:space="preserve"> (</w:t>
      </w:r>
      <w:r w:rsidR="00635266" w:rsidRPr="00635266">
        <w:rPr>
          <w:rFonts w:ascii="Times New Roman" w:hAnsi="Times New Roman" w:cs="Times New Roman"/>
          <w:sz w:val="24"/>
          <w:szCs w:val="24"/>
        </w:rPr>
        <w:t>Dz. U. z 2021 r. poz.</w:t>
      </w:r>
      <w:r w:rsidR="00635266">
        <w:rPr>
          <w:rFonts w:ascii="Times New Roman" w:hAnsi="Times New Roman" w:cs="Times New Roman"/>
          <w:sz w:val="24"/>
          <w:szCs w:val="24"/>
        </w:rPr>
        <w:t xml:space="preserve"> </w:t>
      </w:r>
      <w:r w:rsidR="00635266" w:rsidRPr="00635266">
        <w:rPr>
          <w:rFonts w:ascii="Times New Roman" w:hAnsi="Times New Roman" w:cs="Times New Roman"/>
          <w:sz w:val="24"/>
          <w:szCs w:val="24"/>
        </w:rPr>
        <w:t>1093,</w:t>
      </w:r>
      <w:r w:rsidR="00B12270">
        <w:rPr>
          <w:rFonts w:ascii="Times New Roman" w:hAnsi="Times New Roman" w:cs="Times New Roman"/>
          <w:sz w:val="24"/>
          <w:szCs w:val="24"/>
        </w:rPr>
        <w:t xml:space="preserve"> z </w:t>
      </w:r>
      <w:proofErr w:type="spellStart"/>
      <w:r w:rsidR="00B12270">
        <w:rPr>
          <w:rFonts w:ascii="Times New Roman" w:hAnsi="Times New Roman" w:cs="Times New Roman"/>
          <w:sz w:val="24"/>
          <w:szCs w:val="24"/>
        </w:rPr>
        <w:t>późn</w:t>
      </w:r>
      <w:proofErr w:type="spellEnd"/>
      <w:r w:rsidR="00B12270">
        <w:rPr>
          <w:rFonts w:ascii="Times New Roman" w:hAnsi="Times New Roman" w:cs="Times New Roman"/>
          <w:sz w:val="24"/>
          <w:szCs w:val="24"/>
        </w:rPr>
        <w:t>. zm.)</w:t>
      </w:r>
      <w:r w:rsidR="00EB051A" w:rsidRPr="00613198">
        <w:rPr>
          <w:rFonts w:ascii="Times New Roman" w:hAnsi="Times New Roman" w:cs="Times New Roman"/>
          <w:sz w:val="24"/>
          <w:szCs w:val="24"/>
        </w:rPr>
        <w:t xml:space="preserve"> </w:t>
      </w:r>
    </w:p>
    <w:p w14:paraId="231228C2" w14:textId="77777777" w:rsidR="009E0E0A" w:rsidRDefault="00EB051A" w:rsidP="00EB051A">
      <w:pPr>
        <w:spacing w:line="360" w:lineRule="auto"/>
        <w:ind w:firstLine="709"/>
        <w:jc w:val="both"/>
        <w:rPr>
          <w:rFonts w:ascii="Times New Roman" w:hAnsi="Times New Roman" w:cs="Times New Roman"/>
          <w:sz w:val="24"/>
          <w:szCs w:val="24"/>
        </w:rPr>
      </w:pPr>
      <w:r w:rsidRPr="00613198">
        <w:rPr>
          <w:rFonts w:ascii="Times New Roman" w:hAnsi="Times New Roman" w:cs="Times New Roman"/>
          <w:sz w:val="24"/>
          <w:szCs w:val="24"/>
        </w:rPr>
        <w:t>Należy mieć na uwadze, że po</w:t>
      </w:r>
      <w:r w:rsidR="00EF1747" w:rsidRPr="00613198">
        <w:rPr>
          <w:rFonts w:ascii="Times New Roman" w:hAnsi="Times New Roman" w:cs="Times New Roman"/>
          <w:sz w:val="24"/>
          <w:szCs w:val="24"/>
        </w:rPr>
        <w:t xml:space="preserve"> wdrożeniu w Polsce CSIRE zmieni się model realizacji procesów tj. zgłoszenia zmiany sprzedawcy nie będą już wysyłane do </w:t>
      </w:r>
      <w:r w:rsidR="009317C2" w:rsidRPr="00613198">
        <w:rPr>
          <w:rFonts w:ascii="Times New Roman" w:hAnsi="Times New Roman" w:cs="Times New Roman"/>
          <w:sz w:val="24"/>
          <w:szCs w:val="24"/>
        </w:rPr>
        <w:t>o</w:t>
      </w:r>
      <w:r w:rsidRPr="00613198">
        <w:rPr>
          <w:rFonts w:ascii="Times New Roman" w:hAnsi="Times New Roman" w:cs="Times New Roman"/>
          <w:sz w:val="24"/>
          <w:szCs w:val="24"/>
        </w:rPr>
        <w:t xml:space="preserve">peratora </w:t>
      </w:r>
      <w:r w:rsidR="009317C2" w:rsidRPr="00613198">
        <w:rPr>
          <w:rFonts w:ascii="Times New Roman" w:hAnsi="Times New Roman" w:cs="Times New Roman"/>
          <w:sz w:val="24"/>
          <w:szCs w:val="24"/>
        </w:rPr>
        <w:t>s</w:t>
      </w:r>
      <w:r w:rsidRPr="00613198">
        <w:rPr>
          <w:rFonts w:ascii="Times New Roman" w:hAnsi="Times New Roman" w:cs="Times New Roman"/>
          <w:sz w:val="24"/>
          <w:szCs w:val="24"/>
        </w:rPr>
        <w:t xml:space="preserve">ystemu </w:t>
      </w:r>
      <w:r w:rsidR="009317C2" w:rsidRPr="00613198">
        <w:rPr>
          <w:rFonts w:ascii="Times New Roman" w:hAnsi="Times New Roman" w:cs="Times New Roman"/>
          <w:sz w:val="24"/>
          <w:szCs w:val="24"/>
        </w:rPr>
        <w:t>d</w:t>
      </w:r>
      <w:r w:rsidRPr="00613198">
        <w:rPr>
          <w:rFonts w:ascii="Times New Roman" w:hAnsi="Times New Roman" w:cs="Times New Roman"/>
          <w:sz w:val="24"/>
          <w:szCs w:val="24"/>
        </w:rPr>
        <w:t>ystrybucyjnego (OSD)</w:t>
      </w:r>
      <w:r w:rsidR="00EF1747" w:rsidRPr="00613198">
        <w:rPr>
          <w:rFonts w:ascii="Times New Roman" w:hAnsi="Times New Roman" w:cs="Times New Roman"/>
          <w:sz w:val="24"/>
          <w:szCs w:val="24"/>
        </w:rPr>
        <w:t xml:space="preserve"> i </w:t>
      </w:r>
      <w:r w:rsidR="009317C2" w:rsidRPr="00613198">
        <w:rPr>
          <w:rFonts w:ascii="Times New Roman" w:hAnsi="Times New Roman" w:cs="Times New Roman"/>
          <w:sz w:val="24"/>
          <w:szCs w:val="24"/>
        </w:rPr>
        <w:t>o</w:t>
      </w:r>
      <w:r w:rsidRPr="00613198">
        <w:rPr>
          <w:rFonts w:ascii="Times New Roman" w:hAnsi="Times New Roman" w:cs="Times New Roman"/>
          <w:sz w:val="24"/>
          <w:szCs w:val="24"/>
        </w:rPr>
        <w:t xml:space="preserve">peratora </w:t>
      </w:r>
      <w:r w:rsidR="009317C2" w:rsidRPr="00613198">
        <w:rPr>
          <w:rFonts w:ascii="Times New Roman" w:hAnsi="Times New Roman" w:cs="Times New Roman"/>
          <w:sz w:val="24"/>
          <w:szCs w:val="24"/>
        </w:rPr>
        <w:t>s</w:t>
      </w:r>
      <w:r w:rsidRPr="00613198">
        <w:rPr>
          <w:rFonts w:ascii="Times New Roman" w:hAnsi="Times New Roman" w:cs="Times New Roman"/>
          <w:sz w:val="24"/>
          <w:szCs w:val="24"/>
        </w:rPr>
        <w:t xml:space="preserve">ystemu </w:t>
      </w:r>
      <w:r w:rsidR="009317C2" w:rsidRPr="00613198">
        <w:rPr>
          <w:rFonts w:ascii="Times New Roman" w:hAnsi="Times New Roman" w:cs="Times New Roman"/>
          <w:sz w:val="24"/>
          <w:szCs w:val="24"/>
        </w:rPr>
        <w:t>p</w:t>
      </w:r>
      <w:r w:rsidRPr="00613198">
        <w:rPr>
          <w:rFonts w:ascii="Times New Roman" w:hAnsi="Times New Roman" w:cs="Times New Roman"/>
          <w:sz w:val="24"/>
          <w:szCs w:val="24"/>
        </w:rPr>
        <w:t>rzesyłowego</w:t>
      </w:r>
      <w:r w:rsidR="00D06ED5" w:rsidRPr="00613198">
        <w:rPr>
          <w:rFonts w:ascii="Times New Roman" w:hAnsi="Times New Roman" w:cs="Times New Roman"/>
          <w:sz w:val="24"/>
          <w:szCs w:val="24"/>
        </w:rPr>
        <w:t xml:space="preserve"> </w:t>
      </w:r>
      <w:r w:rsidRPr="00613198">
        <w:rPr>
          <w:rFonts w:ascii="Times New Roman" w:hAnsi="Times New Roman" w:cs="Times New Roman"/>
          <w:sz w:val="24"/>
          <w:szCs w:val="24"/>
        </w:rPr>
        <w:t>(</w:t>
      </w:r>
      <w:r w:rsidR="00EF1747" w:rsidRPr="00613198">
        <w:rPr>
          <w:rFonts w:ascii="Times New Roman" w:hAnsi="Times New Roman" w:cs="Times New Roman"/>
          <w:sz w:val="24"/>
          <w:szCs w:val="24"/>
        </w:rPr>
        <w:t>OSP</w:t>
      </w:r>
      <w:r w:rsidRPr="00613198">
        <w:rPr>
          <w:rFonts w:ascii="Times New Roman" w:hAnsi="Times New Roman" w:cs="Times New Roman"/>
          <w:sz w:val="24"/>
          <w:szCs w:val="24"/>
        </w:rPr>
        <w:t>)</w:t>
      </w:r>
      <w:r w:rsidR="00EF1747" w:rsidRPr="00613198">
        <w:rPr>
          <w:rFonts w:ascii="Times New Roman" w:hAnsi="Times New Roman" w:cs="Times New Roman"/>
          <w:sz w:val="24"/>
          <w:szCs w:val="24"/>
        </w:rPr>
        <w:t xml:space="preserve"> oraz nie będą przez nich weryfikowane. Będą one wysyłane przez sprzedawcę</w:t>
      </w:r>
      <w:r w:rsidR="00D321AF" w:rsidRPr="00613198">
        <w:rPr>
          <w:rFonts w:ascii="Times New Roman" w:hAnsi="Times New Roman" w:cs="Times New Roman"/>
          <w:sz w:val="24"/>
          <w:szCs w:val="24"/>
        </w:rPr>
        <w:t>,</w:t>
      </w:r>
      <w:r w:rsidR="00EF1747" w:rsidRPr="00613198">
        <w:rPr>
          <w:rFonts w:ascii="Times New Roman" w:hAnsi="Times New Roman" w:cs="Times New Roman"/>
          <w:sz w:val="24"/>
          <w:szCs w:val="24"/>
        </w:rPr>
        <w:t xml:space="preserve"> w imieniu odbiorcy</w:t>
      </w:r>
      <w:r w:rsidR="00D321AF" w:rsidRPr="00613198">
        <w:rPr>
          <w:rFonts w:ascii="Times New Roman" w:hAnsi="Times New Roman" w:cs="Times New Roman"/>
          <w:sz w:val="24"/>
          <w:szCs w:val="24"/>
        </w:rPr>
        <w:t>,</w:t>
      </w:r>
      <w:r w:rsidR="00EF1747" w:rsidRPr="00613198">
        <w:rPr>
          <w:rFonts w:ascii="Times New Roman" w:hAnsi="Times New Roman" w:cs="Times New Roman"/>
          <w:sz w:val="24"/>
          <w:szCs w:val="24"/>
        </w:rPr>
        <w:t xml:space="preserve"> do systemu CSIRE </w:t>
      </w:r>
      <w:r w:rsidR="00EF1747" w:rsidRPr="00613198">
        <w:rPr>
          <w:rFonts w:ascii="Times New Roman" w:hAnsi="Times New Roman" w:cs="Times New Roman"/>
          <w:sz w:val="24"/>
          <w:szCs w:val="24"/>
        </w:rPr>
        <w:lastRenderedPageBreak/>
        <w:t xml:space="preserve">i tam nastąpi automatyczna weryfikacja zgłoszenia, na podstawie zgromadzonych w CSIRE informacji. Rola OSD i OSP w zakresie zmiany sprzedawcy ograniczy się w tym modelu jedynie do dostarczania do CSIRE różnych informacji rynku energii, na podstawie których ten proces będzie realizowany. Stąd proponuje się dodanie </w:t>
      </w:r>
      <w:r w:rsidRPr="00613198">
        <w:rPr>
          <w:rFonts w:ascii="Times New Roman" w:hAnsi="Times New Roman" w:cs="Times New Roman"/>
          <w:sz w:val="24"/>
          <w:szCs w:val="24"/>
        </w:rPr>
        <w:t xml:space="preserve">do art. 4j ustawy </w:t>
      </w:r>
      <w:r w:rsidR="00D321AF" w:rsidRPr="00613198">
        <w:rPr>
          <w:rFonts w:ascii="Times New Roman" w:hAnsi="Times New Roman" w:cs="Times New Roman"/>
          <w:sz w:val="24"/>
          <w:szCs w:val="24"/>
        </w:rPr>
        <w:t xml:space="preserve">z dnia 10 kwietnia 1997 r. </w:t>
      </w:r>
      <w:r w:rsidRPr="00613198">
        <w:rPr>
          <w:rFonts w:ascii="Times New Roman" w:hAnsi="Times New Roman" w:cs="Times New Roman"/>
          <w:sz w:val="24"/>
          <w:szCs w:val="24"/>
        </w:rPr>
        <w:t xml:space="preserve">– </w:t>
      </w:r>
      <w:r w:rsidR="00BF79A7" w:rsidRPr="00613198">
        <w:rPr>
          <w:rFonts w:ascii="Times New Roman" w:hAnsi="Times New Roman" w:cs="Times New Roman"/>
          <w:sz w:val="24"/>
          <w:szCs w:val="24"/>
        </w:rPr>
        <w:t>Prawo energetyczne</w:t>
      </w:r>
      <w:r w:rsidR="00D321AF" w:rsidRPr="00613198">
        <w:rPr>
          <w:rFonts w:ascii="Times New Roman" w:hAnsi="Times New Roman" w:cs="Times New Roman"/>
          <w:sz w:val="24"/>
          <w:szCs w:val="24"/>
        </w:rPr>
        <w:t xml:space="preserve">, zwanej dalej „ustawą – </w:t>
      </w:r>
      <w:r w:rsidR="00BF79A7" w:rsidRPr="00613198">
        <w:rPr>
          <w:rFonts w:ascii="Times New Roman" w:hAnsi="Times New Roman" w:cs="Times New Roman"/>
          <w:sz w:val="24"/>
          <w:szCs w:val="24"/>
        </w:rPr>
        <w:t>Prawo energetyczne</w:t>
      </w:r>
      <w:r w:rsidR="00D321AF" w:rsidRPr="00613198">
        <w:rPr>
          <w:rFonts w:ascii="Times New Roman" w:hAnsi="Times New Roman" w:cs="Times New Roman"/>
          <w:sz w:val="24"/>
          <w:szCs w:val="24"/>
        </w:rPr>
        <w:t>”</w:t>
      </w:r>
      <w:r w:rsidRPr="00613198">
        <w:rPr>
          <w:rFonts w:ascii="Times New Roman" w:hAnsi="Times New Roman" w:cs="Times New Roman"/>
          <w:sz w:val="24"/>
          <w:szCs w:val="24"/>
        </w:rPr>
        <w:t xml:space="preserve"> </w:t>
      </w:r>
      <w:r w:rsidR="00EF1747" w:rsidRPr="00613198">
        <w:rPr>
          <w:rFonts w:ascii="Times New Roman" w:hAnsi="Times New Roman" w:cs="Times New Roman"/>
          <w:sz w:val="24"/>
          <w:szCs w:val="24"/>
        </w:rPr>
        <w:t>ust. 6a-6</w:t>
      </w:r>
      <w:r w:rsidRPr="00613198">
        <w:rPr>
          <w:rFonts w:ascii="Times New Roman" w:hAnsi="Times New Roman" w:cs="Times New Roman"/>
          <w:sz w:val="24"/>
          <w:szCs w:val="24"/>
        </w:rPr>
        <w:t>d</w:t>
      </w:r>
      <w:r w:rsidR="00EF1747" w:rsidRPr="00613198">
        <w:rPr>
          <w:rFonts w:ascii="Times New Roman" w:hAnsi="Times New Roman" w:cs="Times New Roman"/>
          <w:sz w:val="24"/>
          <w:szCs w:val="24"/>
        </w:rPr>
        <w:t xml:space="preserve"> dotyczących zmiany sprzedawcy, adekwatnie do nowego modelu rynku tj. czas trwania procesu zmiany sprzedawcy nie powinien być liczony od poinformowania OSD lub OSP o zawartej przez odbiorcę umowie z nowym sprzedawcą, a od poinformowania operatora informacji rynku energii (OIRE) przez nowego sprzedawcę za pośrednictwem CSIRE.</w:t>
      </w:r>
      <w:r w:rsidRPr="00613198">
        <w:rPr>
          <w:rFonts w:ascii="Times New Roman" w:hAnsi="Times New Roman" w:cs="Times New Roman"/>
          <w:sz w:val="24"/>
          <w:szCs w:val="24"/>
        </w:rPr>
        <w:t xml:space="preserve"> </w:t>
      </w:r>
    </w:p>
    <w:p w14:paraId="22CC0264" w14:textId="69385072" w:rsidR="00A74805" w:rsidRPr="00613198" w:rsidRDefault="00A74805" w:rsidP="00EB051A">
      <w:pPr>
        <w:spacing w:line="360" w:lineRule="auto"/>
        <w:ind w:firstLine="709"/>
        <w:jc w:val="both"/>
        <w:rPr>
          <w:rFonts w:ascii="Times New Roman" w:hAnsi="Times New Roman" w:cs="Times New Roman"/>
          <w:sz w:val="24"/>
          <w:szCs w:val="24"/>
        </w:rPr>
      </w:pPr>
    </w:p>
    <w:p w14:paraId="078474F9" w14:textId="26AD6B83" w:rsidR="001C3E1F" w:rsidRPr="00613198" w:rsidRDefault="00D321AF" w:rsidP="00EB051A">
      <w:pPr>
        <w:spacing w:line="360" w:lineRule="auto"/>
        <w:ind w:firstLine="709"/>
        <w:jc w:val="both"/>
        <w:rPr>
          <w:rFonts w:ascii="Times New Roman" w:hAnsi="Times New Roman" w:cs="Times New Roman"/>
          <w:b/>
          <w:sz w:val="24"/>
          <w:szCs w:val="24"/>
        </w:rPr>
      </w:pPr>
      <w:r w:rsidRPr="00613198">
        <w:rPr>
          <w:rFonts w:ascii="Times New Roman" w:hAnsi="Times New Roman" w:cs="Times New Roman"/>
          <w:b/>
          <w:sz w:val="24"/>
          <w:szCs w:val="24"/>
        </w:rPr>
        <w:t>Ad 2</w:t>
      </w:r>
      <w:r w:rsidR="00A74805" w:rsidRPr="00613198">
        <w:rPr>
          <w:rFonts w:ascii="Times New Roman" w:hAnsi="Times New Roman" w:cs="Times New Roman"/>
          <w:b/>
          <w:sz w:val="24"/>
          <w:szCs w:val="24"/>
        </w:rPr>
        <w:t xml:space="preserve">. </w:t>
      </w:r>
      <w:r w:rsidR="001C3E1F" w:rsidRPr="00613198">
        <w:rPr>
          <w:rFonts w:ascii="Times New Roman" w:hAnsi="Times New Roman" w:cs="Times New Roman"/>
          <w:b/>
          <w:sz w:val="24"/>
          <w:szCs w:val="24"/>
        </w:rPr>
        <w:t xml:space="preserve">Porównywarka </w:t>
      </w:r>
      <w:r w:rsidR="00A74805" w:rsidRPr="00613198">
        <w:rPr>
          <w:rFonts w:ascii="Times New Roman" w:hAnsi="Times New Roman" w:cs="Times New Roman"/>
          <w:b/>
          <w:sz w:val="24"/>
          <w:szCs w:val="24"/>
        </w:rPr>
        <w:t xml:space="preserve">ofert sprzedaży energii elektrycznej. </w:t>
      </w:r>
    </w:p>
    <w:p w14:paraId="7F88223C" w14:textId="50A0B942" w:rsidR="003F61B2" w:rsidRPr="00613198" w:rsidRDefault="00D321AF" w:rsidP="00D321AF">
      <w:pPr>
        <w:spacing w:line="360" w:lineRule="auto"/>
        <w:ind w:firstLine="709"/>
        <w:jc w:val="both"/>
        <w:rPr>
          <w:rFonts w:ascii="Times New Roman" w:hAnsi="Times New Roman" w:cs="Times New Roman"/>
          <w:sz w:val="24"/>
          <w:szCs w:val="24"/>
        </w:rPr>
      </w:pPr>
      <w:r w:rsidRPr="00613198">
        <w:rPr>
          <w:rFonts w:ascii="Times New Roman" w:hAnsi="Times New Roman" w:cs="Times New Roman"/>
          <w:sz w:val="24"/>
          <w:szCs w:val="24"/>
        </w:rPr>
        <w:t xml:space="preserve">W art. </w:t>
      </w:r>
      <w:r w:rsidR="007D1F92" w:rsidRPr="00613198">
        <w:rPr>
          <w:rFonts w:ascii="Times New Roman" w:hAnsi="Times New Roman" w:cs="Times New Roman"/>
          <w:sz w:val="24"/>
          <w:szCs w:val="24"/>
        </w:rPr>
        <w:t>1</w:t>
      </w:r>
      <w:r w:rsidRPr="00613198">
        <w:rPr>
          <w:rFonts w:ascii="Times New Roman" w:hAnsi="Times New Roman" w:cs="Times New Roman"/>
          <w:sz w:val="24"/>
          <w:szCs w:val="24"/>
        </w:rPr>
        <w:t xml:space="preserve"> pkt </w:t>
      </w:r>
      <w:r w:rsidR="00A044CA">
        <w:rPr>
          <w:rFonts w:ascii="Times New Roman" w:hAnsi="Times New Roman" w:cs="Times New Roman"/>
          <w:sz w:val="24"/>
          <w:szCs w:val="24"/>
        </w:rPr>
        <w:t>50</w:t>
      </w:r>
      <w:r w:rsidR="00752ECD">
        <w:rPr>
          <w:rFonts w:ascii="Times New Roman" w:hAnsi="Times New Roman" w:cs="Times New Roman"/>
          <w:sz w:val="24"/>
          <w:szCs w:val="24"/>
        </w:rPr>
        <w:t xml:space="preserve"> </w:t>
      </w:r>
      <w:r w:rsidR="003F61B2" w:rsidRPr="00613198">
        <w:rPr>
          <w:rFonts w:ascii="Times New Roman" w:hAnsi="Times New Roman" w:cs="Times New Roman"/>
          <w:sz w:val="24"/>
          <w:szCs w:val="24"/>
        </w:rPr>
        <w:t>projektu</w:t>
      </w:r>
      <w:r w:rsidRPr="00613198">
        <w:rPr>
          <w:rFonts w:ascii="Times New Roman" w:hAnsi="Times New Roman" w:cs="Times New Roman"/>
          <w:sz w:val="24"/>
          <w:szCs w:val="24"/>
        </w:rPr>
        <w:t xml:space="preserve"> ustawy dodaje się rozdział 4b ustanawiający ramy prawne dla funkcjonowania porównywarki ofert </w:t>
      </w:r>
      <w:r w:rsidR="00D06ED5" w:rsidRPr="00613198">
        <w:rPr>
          <w:rFonts w:ascii="Times New Roman" w:hAnsi="Times New Roman" w:cs="Times New Roman"/>
          <w:sz w:val="24"/>
          <w:szCs w:val="24"/>
        </w:rPr>
        <w:t xml:space="preserve">sprzedaży </w:t>
      </w:r>
      <w:r w:rsidRPr="00613198">
        <w:rPr>
          <w:rFonts w:ascii="Times New Roman" w:hAnsi="Times New Roman" w:cs="Times New Roman"/>
          <w:sz w:val="24"/>
          <w:szCs w:val="24"/>
        </w:rPr>
        <w:t xml:space="preserve">energii elektrycznej. </w:t>
      </w:r>
    </w:p>
    <w:p w14:paraId="24965754" w14:textId="40F005D9" w:rsidR="003F61B2" w:rsidRPr="00613198" w:rsidRDefault="003F61B2" w:rsidP="00D321AF">
      <w:pPr>
        <w:spacing w:line="360" w:lineRule="auto"/>
        <w:ind w:firstLine="709"/>
        <w:jc w:val="both"/>
        <w:rPr>
          <w:rFonts w:ascii="Times New Roman" w:hAnsi="Times New Roman" w:cs="Times New Roman"/>
          <w:sz w:val="24"/>
          <w:szCs w:val="24"/>
        </w:rPr>
      </w:pPr>
      <w:r w:rsidRPr="00613198">
        <w:rPr>
          <w:rFonts w:ascii="Times New Roman" w:hAnsi="Times New Roman" w:cs="Times New Roman"/>
          <w:sz w:val="24"/>
          <w:szCs w:val="24"/>
        </w:rPr>
        <w:t>Zgodnie art. 14 dyrektywy</w:t>
      </w:r>
      <w:r w:rsidR="00495C2E">
        <w:rPr>
          <w:rFonts w:ascii="Times New Roman" w:hAnsi="Times New Roman" w:cs="Times New Roman"/>
          <w:sz w:val="24"/>
          <w:szCs w:val="24"/>
        </w:rPr>
        <w:t xml:space="preserve"> 2019/944</w:t>
      </w:r>
      <w:r w:rsidRPr="00613198">
        <w:rPr>
          <w:rFonts w:ascii="Times New Roman" w:hAnsi="Times New Roman" w:cs="Times New Roman"/>
          <w:sz w:val="24"/>
          <w:szCs w:val="24"/>
        </w:rPr>
        <w:t xml:space="preserve">, państwa członkowskie zobowiązano do zapewnienia, aby przynajmniej odbiorcy </w:t>
      </w:r>
      <w:r w:rsidR="00D06ED5" w:rsidRPr="00613198">
        <w:rPr>
          <w:rFonts w:ascii="Times New Roman" w:hAnsi="Times New Roman" w:cs="Times New Roman"/>
          <w:sz w:val="24"/>
          <w:szCs w:val="24"/>
        </w:rPr>
        <w:t xml:space="preserve">energii elektrycznej </w:t>
      </w:r>
      <w:r w:rsidRPr="00613198">
        <w:rPr>
          <w:rFonts w:ascii="Times New Roman" w:hAnsi="Times New Roman" w:cs="Times New Roman"/>
          <w:sz w:val="24"/>
          <w:szCs w:val="24"/>
        </w:rPr>
        <w:t>będący gospodarstwami domowymi i mikroprzedsiębior</w:t>
      </w:r>
      <w:r w:rsidR="00D06ED5" w:rsidRPr="00613198">
        <w:rPr>
          <w:rFonts w:ascii="Times New Roman" w:hAnsi="Times New Roman" w:cs="Times New Roman"/>
          <w:sz w:val="24"/>
          <w:szCs w:val="24"/>
        </w:rPr>
        <w:t>cy</w:t>
      </w:r>
      <w:r w:rsidR="00AC4BBC">
        <w:rPr>
          <w:rFonts w:ascii="Times New Roman" w:hAnsi="Times New Roman" w:cs="Times New Roman"/>
          <w:sz w:val="24"/>
          <w:szCs w:val="24"/>
        </w:rPr>
        <w:t xml:space="preserve">, w rozumieniu ustawy </w:t>
      </w:r>
      <w:r w:rsidR="00AC4BBC" w:rsidRPr="00AC4BBC">
        <w:rPr>
          <w:rFonts w:ascii="Times New Roman" w:hAnsi="Times New Roman" w:cs="Times New Roman"/>
          <w:sz w:val="24"/>
          <w:szCs w:val="24"/>
        </w:rPr>
        <w:t>z dnia 6 marca 2018 r. - Prawo przedsiębiorców (</w:t>
      </w:r>
      <w:bookmarkStart w:id="3" w:name="_Hlk64289298"/>
      <w:r w:rsidR="00AC4BBC" w:rsidRPr="00AC4BBC">
        <w:rPr>
          <w:rFonts w:ascii="Times New Roman" w:hAnsi="Times New Roman" w:cs="Times New Roman"/>
          <w:sz w:val="24"/>
          <w:szCs w:val="24"/>
        </w:rPr>
        <w:t>Dz. U. z 2021 r. poz. 162</w:t>
      </w:r>
      <w:bookmarkEnd w:id="3"/>
      <w:r w:rsidR="00A044CA">
        <w:rPr>
          <w:rFonts w:ascii="Times New Roman" w:hAnsi="Times New Roman" w:cs="Times New Roman"/>
          <w:sz w:val="24"/>
          <w:szCs w:val="24"/>
        </w:rPr>
        <w:t xml:space="preserve">, z </w:t>
      </w:r>
      <w:proofErr w:type="spellStart"/>
      <w:r w:rsidR="00A044CA">
        <w:rPr>
          <w:rFonts w:ascii="Times New Roman" w:hAnsi="Times New Roman" w:cs="Times New Roman"/>
          <w:sz w:val="24"/>
          <w:szCs w:val="24"/>
        </w:rPr>
        <w:t>późn</w:t>
      </w:r>
      <w:proofErr w:type="spellEnd"/>
      <w:r w:rsidR="00A044CA">
        <w:rPr>
          <w:rFonts w:ascii="Times New Roman" w:hAnsi="Times New Roman" w:cs="Times New Roman"/>
          <w:sz w:val="24"/>
          <w:szCs w:val="24"/>
        </w:rPr>
        <w:t>. zm.</w:t>
      </w:r>
      <w:r w:rsidR="00AC4BBC" w:rsidRPr="00AC4BBC">
        <w:rPr>
          <w:rFonts w:ascii="Times New Roman" w:hAnsi="Times New Roman" w:cs="Times New Roman"/>
          <w:sz w:val="24"/>
          <w:szCs w:val="24"/>
        </w:rPr>
        <w:t xml:space="preserve">), </w:t>
      </w:r>
      <w:r w:rsidRPr="00613198">
        <w:rPr>
          <w:rFonts w:ascii="Times New Roman" w:hAnsi="Times New Roman" w:cs="Times New Roman"/>
          <w:sz w:val="24"/>
          <w:szCs w:val="24"/>
        </w:rPr>
        <w:t xml:space="preserve">o przewidywanym rocznym zużyciu poniżej 100 000 kWh mieli nieodpłatny dostęp do co najmniej jednego narzędzia porównywania ofert sprzedawców, w tym ofert dotyczących zawarcia umów z cenami dynamicznymi energii elektrycznej. Niezależne narzędzia porównywania ofert stanowić mają skuteczny środek umożliwiający mniejszym odbiorcom ocenę zalet różnych dostępnych na rynku ofert energii, obniżyć koszty wyszukiwania oraz zapewnić właściwą równowagę między zapotrzebowaniem na jasne i zwięzłe informacje, a zarazem na informacje kompletne i wyczerpujące. Dzięki dostępności w jednym miejscu ofert sprzedaży energii elektrycznej wszystkich sprzedawców energii, niezależna porównywarka ofert stanowić ma skuteczny środek umożliwiający ocenę zalet różnych dostępnych na rynku ofert sprzedaży energii elektrycznej i tym samym umożliwić im wybór najlepszej oferty rynkowej. W przypadku </w:t>
      </w:r>
      <w:r w:rsidR="00234351" w:rsidRPr="00613198">
        <w:rPr>
          <w:rFonts w:ascii="Times New Roman" w:hAnsi="Times New Roman" w:cs="Times New Roman"/>
          <w:sz w:val="24"/>
          <w:szCs w:val="24"/>
        </w:rPr>
        <w:t xml:space="preserve">np. </w:t>
      </w:r>
      <w:r w:rsidRPr="00613198">
        <w:rPr>
          <w:rFonts w:ascii="Times New Roman" w:hAnsi="Times New Roman" w:cs="Times New Roman"/>
          <w:sz w:val="24"/>
          <w:szCs w:val="24"/>
        </w:rPr>
        <w:t>stosowania przez sprzedawcę oferty promocyjnej, trwającej jedynie przez oznaczony w umowie okres, informacja ta powinna wprost wynikać z przedstawianej przez niego w wyszukiwarce oferty.</w:t>
      </w:r>
    </w:p>
    <w:p w14:paraId="36A0EAFD" w14:textId="77777777" w:rsidR="00D321AF" w:rsidRPr="00613198" w:rsidRDefault="003F61B2" w:rsidP="00D321AF">
      <w:pPr>
        <w:spacing w:line="360" w:lineRule="auto"/>
        <w:ind w:firstLine="709"/>
        <w:jc w:val="both"/>
        <w:rPr>
          <w:rFonts w:ascii="Times New Roman" w:hAnsi="Times New Roman" w:cs="Times New Roman"/>
          <w:sz w:val="24"/>
          <w:szCs w:val="24"/>
        </w:rPr>
      </w:pPr>
      <w:r w:rsidRPr="00613198">
        <w:rPr>
          <w:rFonts w:ascii="Times New Roman" w:hAnsi="Times New Roman" w:cs="Times New Roman"/>
          <w:sz w:val="24"/>
          <w:szCs w:val="24"/>
        </w:rPr>
        <w:t>W projekcie ustawy p</w:t>
      </w:r>
      <w:r w:rsidR="00D321AF" w:rsidRPr="00613198">
        <w:rPr>
          <w:rFonts w:ascii="Times New Roman" w:hAnsi="Times New Roman" w:cs="Times New Roman"/>
          <w:sz w:val="24"/>
          <w:szCs w:val="24"/>
        </w:rPr>
        <w:t xml:space="preserve">roponuje się ograniczenie obowiązkowego zakresu porównywanych informacji do elementów wymaganych przez dyrektywę, tj. do ofert sprzedaży energii elektrycznej odbiorcom końcowym w gospodarstwach domowych i </w:t>
      </w:r>
      <w:proofErr w:type="spellStart"/>
      <w:r w:rsidR="00D321AF" w:rsidRPr="00613198">
        <w:rPr>
          <w:rFonts w:ascii="Times New Roman" w:hAnsi="Times New Roman" w:cs="Times New Roman"/>
          <w:sz w:val="24"/>
          <w:szCs w:val="24"/>
        </w:rPr>
        <w:t>mikroprzedsiębiorcom</w:t>
      </w:r>
      <w:proofErr w:type="spellEnd"/>
      <w:r w:rsidR="00D321AF" w:rsidRPr="00613198">
        <w:rPr>
          <w:rFonts w:ascii="Times New Roman" w:hAnsi="Times New Roman" w:cs="Times New Roman"/>
          <w:sz w:val="24"/>
          <w:szCs w:val="24"/>
        </w:rPr>
        <w:t xml:space="preserve"> o przewidywanym rocznym zużyciu poniżej 100 000 kWh, </w:t>
      </w:r>
      <w:r w:rsidR="00D321AF" w:rsidRPr="00613198">
        <w:rPr>
          <w:rFonts w:ascii="Times New Roman" w:hAnsi="Times New Roman" w:cs="Times New Roman"/>
          <w:sz w:val="24"/>
          <w:szCs w:val="24"/>
        </w:rPr>
        <w:lastRenderedPageBreak/>
        <w:t>jednocześnie wprost dopuszczając porównanie innych usług związanych ze sprzedażą energii elektrycznej świadczonych przez sprzedawców energii.</w:t>
      </w:r>
      <w:r w:rsidRPr="00613198">
        <w:rPr>
          <w:rFonts w:ascii="Times New Roman" w:hAnsi="Times New Roman" w:cs="Times New Roman"/>
          <w:sz w:val="24"/>
          <w:szCs w:val="24"/>
        </w:rPr>
        <w:t xml:space="preserve"> </w:t>
      </w:r>
    </w:p>
    <w:p w14:paraId="5663AB99" w14:textId="074B2E7B" w:rsidR="00135C8A" w:rsidRPr="00613198" w:rsidRDefault="00D321AF" w:rsidP="00D321AF">
      <w:pPr>
        <w:spacing w:line="360" w:lineRule="auto"/>
        <w:ind w:firstLine="709"/>
        <w:jc w:val="both"/>
        <w:rPr>
          <w:rFonts w:ascii="Times New Roman" w:hAnsi="Times New Roman" w:cs="Times New Roman"/>
          <w:sz w:val="24"/>
          <w:szCs w:val="24"/>
        </w:rPr>
      </w:pPr>
      <w:r w:rsidRPr="00613198">
        <w:rPr>
          <w:rFonts w:ascii="Times New Roman" w:hAnsi="Times New Roman" w:cs="Times New Roman"/>
          <w:sz w:val="24"/>
          <w:szCs w:val="24"/>
        </w:rPr>
        <w:t>W celu zrealizowania przepisu dyrektywy</w:t>
      </w:r>
      <w:r w:rsidR="00495C2E">
        <w:rPr>
          <w:rFonts w:ascii="Times New Roman" w:hAnsi="Times New Roman" w:cs="Times New Roman"/>
          <w:sz w:val="24"/>
          <w:szCs w:val="24"/>
        </w:rPr>
        <w:t xml:space="preserve"> 2019/944</w:t>
      </w:r>
      <w:r w:rsidRPr="00613198">
        <w:rPr>
          <w:rFonts w:ascii="Times New Roman" w:hAnsi="Times New Roman" w:cs="Times New Roman"/>
          <w:sz w:val="24"/>
          <w:szCs w:val="24"/>
        </w:rPr>
        <w:t>, zobowiązującego pańs</w:t>
      </w:r>
      <w:r w:rsidR="00135C8A" w:rsidRPr="00613198">
        <w:rPr>
          <w:rFonts w:ascii="Times New Roman" w:hAnsi="Times New Roman" w:cs="Times New Roman"/>
          <w:sz w:val="24"/>
          <w:szCs w:val="24"/>
        </w:rPr>
        <w:t>two członkowskie do zapewnienia</w:t>
      </w:r>
      <w:r w:rsidRPr="00613198">
        <w:rPr>
          <w:rFonts w:ascii="Times New Roman" w:hAnsi="Times New Roman" w:cs="Times New Roman"/>
          <w:sz w:val="24"/>
          <w:szCs w:val="24"/>
        </w:rPr>
        <w:t xml:space="preserve"> odbiorcom końcowym w gospodarstwach domowych oraz mikro przedsiębiorcom o przewidywanym rocznym zużyciu poniżej 100 000 kWh, dostępu do przynajmniej jednego narzędzia porównującego wszystkie oferty</w:t>
      </w:r>
      <w:r w:rsidR="00135C8A" w:rsidRPr="00613198">
        <w:rPr>
          <w:rFonts w:ascii="Times New Roman" w:hAnsi="Times New Roman" w:cs="Times New Roman"/>
          <w:sz w:val="24"/>
          <w:szCs w:val="24"/>
        </w:rPr>
        <w:t xml:space="preserve"> na rynku energii</w:t>
      </w:r>
      <w:r w:rsidRPr="00613198">
        <w:rPr>
          <w:rFonts w:ascii="Times New Roman" w:hAnsi="Times New Roman" w:cs="Times New Roman"/>
          <w:sz w:val="24"/>
          <w:szCs w:val="24"/>
        </w:rPr>
        <w:t>, zdecydowano o powierzeniu takiej roli Prezesowi Urzędu Regulacji Energetyki</w:t>
      </w:r>
      <w:r w:rsidR="001C3E1F" w:rsidRPr="00613198">
        <w:rPr>
          <w:rFonts w:ascii="Times New Roman" w:hAnsi="Times New Roman" w:cs="Times New Roman"/>
          <w:sz w:val="24"/>
          <w:szCs w:val="24"/>
        </w:rPr>
        <w:t>, zwanemu dalej „Prezesem URE”</w:t>
      </w:r>
      <w:r w:rsidR="00135C8A" w:rsidRPr="00613198">
        <w:rPr>
          <w:rFonts w:ascii="Times New Roman" w:hAnsi="Times New Roman" w:cs="Times New Roman"/>
          <w:sz w:val="24"/>
          <w:szCs w:val="24"/>
        </w:rPr>
        <w:t>, korzystając tym samym z przewidzianego w art. 14 ust. 6 dyrektywy 2019/944 odstępstwa, polegającego na niewprowadzeniu systemu wydawania znaków zaufania w odniesieniu do narzędzi porównywania ofert, jeżeli urząd lub organ publiczny oferuje narzędzie porównywania ofert spełni</w:t>
      </w:r>
      <w:r w:rsidR="00D06ED5" w:rsidRPr="00613198">
        <w:rPr>
          <w:rFonts w:ascii="Times New Roman" w:hAnsi="Times New Roman" w:cs="Times New Roman"/>
          <w:sz w:val="24"/>
          <w:szCs w:val="24"/>
        </w:rPr>
        <w:t xml:space="preserve">ające wymogi określone w </w:t>
      </w:r>
      <w:r w:rsidR="00135C8A" w:rsidRPr="00613198">
        <w:rPr>
          <w:rFonts w:ascii="Times New Roman" w:hAnsi="Times New Roman" w:cs="Times New Roman"/>
          <w:sz w:val="24"/>
          <w:szCs w:val="24"/>
        </w:rPr>
        <w:t>art. 14 dyrektywy 2019/944.</w:t>
      </w:r>
    </w:p>
    <w:p w14:paraId="48BAF58E" w14:textId="214A9034" w:rsidR="00D321AF" w:rsidRPr="00613198" w:rsidRDefault="00D321AF" w:rsidP="00D321AF">
      <w:pPr>
        <w:spacing w:line="360" w:lineRule="auto"/>
        <w:ind w:firstLine="709"/>
        <w:jc w:val="both"/>
        <w:rPr>
          <w:rFonts w:ascii="Times New Roman" w:hAnsi="Times New Roman" w:cs="Times New Roman"/>
          <w:sz w:val="24"/>
          <w:szCs w:val="24"/>
        </w:rPr>
      </w:pPr>
      <w:r w:rsidRPr="00613198">
        <w:rPr>
          <w:rFonts w:ascii="Times New Roman" w:hAnsi="Times New Roman" w:cs="Times New Roman"/>
          <w:sz w:val="24"/>
          <w:szCs w:val="24"/>
        </w:rPr>
        <w:t xml:space="preserve">Ze względu na konieczność zapewnienia aktualności informacji w porównywarce ofert, w </w:t>
      </w:r>
      <w:r w:rsidR="00135C8A" w:rsidRPr="00613198">
        <w:rPr>
          <w:rFonts w:ascii="Times New Roman" w:hAnsi="Times New Roman" w:cs="Times New Roman"/>
          <w:sz w:val="24"/>
          <w:szCs w:val="24"/>
        </w:rPr>
        <w:t xml:space="preserve">projektowanym </w:t>
      </w:r>
      <w:r w:rsidRPr="00613198">
        <w:rPr>
          <w:rFonts w:ascii="Times New Roman" w:hAnsi="Times New Roman" w:cs="Times New Roman"/>
          <w:sz w:val="24"/>
          <w:szCs w:val="24"/>
        </w:rPr>
        <w:t xml:space="preserve">art. 31g ust. 5 i 6, zobowiązano sprzedawców energii do przekazywania Prezesowi </w:t>
      </w:r>
      <w:r w:rsidR="001C3E1F" w:rsidRPr="00613198">
        <w:rPr>
          <w:rFonts w:ascii="Times New Roman" w:hAnsi="Times New Roman" w:cs="Times New Roman"/>
          <w:sz w:val="24"/>
          <w:szCs w:val="24"/>
        </w:rPr>
        <w:t>URE</w:t>
      </w:r>
      <w:r w:rsidR="00135C8A" w:rsidRPr="00613198">
        <w:rPr>
          <w:rFonts w:ascii="Times New Roman" w:hAnsi="Times New Roman" w:cs="Times New Roman"/>
          <w:sz w:val="24"/>
          <w:szCs w:val="24"/>
        </w:rPr>
        <w:t xml:space="preserve"> </w:t>
      </w:r>
      <w:r w:rsidRPr="00613198">
        <w:rPr>
          <w:rFonts w:ascii="Times New Roman" w:hAnsi="Times New Roman" w:cs="Times New Roman"/>
          <w:sz w:val="24"/>
          <w:szCs w:val="24"/>
        </w:rPr>
        <w:t xml:space="preserve">informacji o zaktualizowanych ofertach sprzedaży energii oraz o innych usługach świadczonych przez tych sprzedawców odbiorcom energii elektrycznej w gospodarstwie domowym i </w:t>
      </w:r>
      <w:proofErr w:type="spellStart"/>
      <w:r w:rsidRPr="00613198">
        <w:rPr>
          <w:rFonts w:ascii="Times New Roman" w:hAnsi="Times New Roman" w:cs="Times New Roman"/>
          <w:sz w:val="24"/>
          <w:szCs w:val="24"/>
        </w:rPr>
        <w:t>mikroprzedsiębiorcom</w:t>
      </w:r>
      <w:proofErr w:type="spellEnd"/>
      <w:r w:rsidRPr="00613198">
        <w:rPr>
          <w:rFonts w:ascii="Times New Roman" w:hAnsi="Times New Roman" w:cs="Times New Roman"/>
          <w:sz w:val="24"/>
          <w:szCs w:val="24"/>
        </w:rPr>
        <w:t xml:space="preserve"> o zużyciu poniżej 100 000 kWh, zarówno na wniosek Prezesa</w:t>
      </w:r>
      <w:r w:rsidR="00135C8A" w:rsidRPr="00613198">
        <w:t xml:space="preserve"> </w:t>
      </w:r>
      <w:r w:rsidR="001C3E1F" w:rsidRPr="00613198">
        <w:rPr>
          <w:rFonts w:ascii="Times New Roman" w:hAnsi="Times New Roman" w:cs="Times New Roman"/>
          <w:sz w:val="24"/>
          <w:szCs w:val="24"/>
        </w:rPr>
        <w:t>URE</w:t>
      </w:r>
      <w:r w:rsidRPr="00613198">
        <w:rPr>
          <w:rFonts w:ascii="Times New Roman" w:hAnsi="Times New Roman" w:cs="Times New Roman"/>
          <w:sz w:val="24"/>
          <w:szCs w:val="24"/>
        </w:rPr>
        <w:t xml:space="preserve">, jak i każdorazowo, w terminie </w:t>
      </w:r>
      <w:r w:rsidR="00504166">
        <w:rPr>
          <w:rFonts w:ascii="Times New Roman" w:hAnsi="Times New Roman" w:cs="Times New Roman"/>
          <w:sz w:val="24"/>
          <w:szCs w:val="24"/>
        </w:rPr>
        <w:t>7</w:t>
      </w:r>
      <w:r w:rsidR="00504166" w:rsidRPr="00613198">
        <w:rPr>
          <w:rFonts w:ascii="Times New Roman" w:hAnsi="Times New Roman" w:cs="Times New Roman"/>
          <w:sz w:val="24"/>
          <w:szCs w:val="24"/>
        </w:rPr>
        <w:t xml:space="preserve"> </w:t>
      </w:r>
      <w:r w:rsidRPr="00613198">
        <w:rPr>
          <w:rFonts w:ascii="Times New Roman" w:hAnsi="Times New Roman" w:cs="Times New Roman"/>
          <w:sz w:val="24"/>
          <w:szCs w:val="24"/>
        </w:rPr>
        <w:t>dni przed wprowadzeniem aktualizacji do ich oferty. W</w:t>
      </w:r>
      <w:r w:rsidR="00135C8A" w:rsidRPr="00613198">
        <w:rPr>
          <w:rFonts w:ascii="Times New Roman" w:hAnsi="Times New Roman" w:cs="Times New Roman"/>
          <w:sz w:val="24"/>
          <w:szCs w:val="24"/>
        </w:rPr>
        <w:t xml:space="preserve"> dodawanym </w:t>
      </w:r>
      <w:r w:rsidR="00234351" w:rsidRPr="00613198">
        <w:rPr>
          <w:rFonts w:ascii="Times New Roman" w:hAnsi="Times New Roman" w:cs="Times New Roman"/>
          <w:sz w:val="24"/>
          <w:szCs w:val="24"/>
        </w:rPr>
        <w:t xml:space="preserve">do </w:t>
      </w:r>
      <w:r w:rsidRPr="00613198">
        <w:rPr>
          <w:rFonts w:ascii="Times New Roman" w:hAnsi="Times New Roman" w:cs="Times New Roman"/>
          <w:sz w:val="24"/>
          <w:szCs w:val="24"/>
        </w:rPr>
        <w:t>art. 56 ust. 1</w:t>
      </w:r>
      <w:r w:rsidR="00234351" w:rsidRPr="00613198">
        <w:rPr>
          <w:rFonts w:ascii="Times New Roman" w:hAnsi="Times New Roman" w:cs="Times New Roman"/>
          <w:sz w:val="24"/>
          <w:szCs w:val="24"/>
        </w:rPr>
        <w:t xml:space="preserve"> ustawy – </w:t>
      </w:r>
      <w:r w:rsidR="00BF79A7" w:rsidRPr="00613198">
        <w:rPr>
          <w:rFonts w:ascii="Times New Roman" w:hAnsi="Times New Roman" w:cs="Times New Roman"/>
          <w:sz w:val="24"/>
          <w:szCs w:val="24"/>
        </w:rPr>
        <w:t>Prawo energetyczne</w:t>
      </w:r>
      <w:r w:rsidRPr="00613198">
        <w:rPr>
          <w:rFonts w:ascii="Times New Roman" w:hAnsi="Times New Roman" w:cs="Times New Roman"/>
          <w:sz w:val="24"/>
          <w:szCs w:val="24"/>
        </w:rPr>
        <w:t xml:space="preserve"> p</w:t>
      </w:r>
      <w:r w:rsidR="00234351" w:rsidRPr="00613198">
        <w:rPr>
          <w:rFonts w:ascii="Times New Roman" w:hAnsi="Times New Roman" w:cs="Times New Roman"/>
          <w:sz w:val="24"/>
          <w:szCs w:val="24"/>
        </w:rPr>
        <w:t>unkcie</w:t>
      </w:r>
      <w:r w:rsidRPr="00613198">
        <w:rPr>
          <w:rFonts w:ascii="Times New Roman" w:hAnsi="Times New Roman" w:cs="Times New Roman"/>
          <w:sz w:val="24"/>
          <w:szCs w:val="24"/>
        </w:rPr>
        <w:t xml:space="preserve"> 5</w:t>
      </w:r>
      <w:r w:rsidR="00752ECD">
        <w:rPr>
          <w:rFonts w:ascii="Times New Roman" w:hAnsi="Times New Roman" w:cs="Times New Roman"/>
          <w:sz w:val="24"/>
          <w:szCs w:val="24"/>
        </w:rPr>
        <w:t>5</w:t>
      </w:r>
      <w:r w:rsidRPr="00613198">
        <w:rPr>
          <w:rFonts w:ascii="Times New Roman" w:hAnsi="Times New Roman" w:cs="Times New Roman"/>
          <w:sz w:val="24"/>
          <w:szCs w:val="24"/>
        </w:rPr>
        <w:t xml:space="preserve"> przewidziano sankcję za nierealizowanie tych obowiązków.</w:t>
      </w:r>
    </w:p>
    <w:p w14:paraId="5B1364AB" w14:textId="660252A2" w:rsidR="001C3E1F" w:rsidRPr="00613198" w:rsidRDefault="00135C8A" w:rsidP="009317C2">
      <w:pPr>
        <w:spacing w:before="100" w:beforeAutospacing="1" w:line="360" w:lineRule="auto"/>
        <w:ind w:firstLine="709"/>
        <w:jc w:val="both"/>
        <w:rPr>
          <w:rFonts w:ascii="Times New Roman" w:hAnsi="Times New Roman" w:cs="Times New Roman"/>
          <w:sz w:val="24"/>
          <w:szCs w:val="24"/>
        </w:rPr>
      </w:pPr>
      <w:r w:rsidRPr="00613198">
        <w:rPr>
          <w:rFonts w:ascii="Times New Roman" w:hAnsi="Times New Roman" w:cs="Times New Roman"/>
          <w:b/>
          <w:sz w:val="24"/>
          <w:szCs w:val="24"/>
        </w:rPr>
        <w:t>Ad 3</w:t>
      </w:r>
      <w:r w:rsidR="00A74805" w:rsidRPr="00613198">
        <w:rPr>
          <w:rFonts w:ascii="Times New Roman" w:hAnsi="Times New Roman" w:cs="Times New Roman"/>
          <w:b/>
          <w:sz w:val="24"/>
          <w:szCs w:val="24"/>
        </w:rPr>
        <w:t>.</w:t>
      </w:r>
      <w:r w:rsidR="00A74805" w:rsidRPr="00613198">
        <w:rPr>
          <w:rFonts w:ascii="Times New Roman" w:hAnsi="Times New Roman" w:cs="Times New Roman"/>
          <w:sz w:val="24"/>
          <w:szCs w:val="24"/>
        </w:rPr>
        <w:t xml:space="preserve"> </w:t>
      </w:r>
      <w:r w:rsidR="001C3E1F" w:rsidRPr="00613198">
        <w:rPr>
          <w:rFonts w:ascii="Times New Roman" w:hAnsi="Times New Roman" w:cs="Times New Roman"/>
          <w:b/>
          <w:sz w:val="24"/>
          <w:szCs w:val="24"/>
        </w:rPr>
        <w:t xml:space="preserve">Obywatelskie społeczności energetyczne </w:t>
      </w:r>
    </w:p>
    <w:p w14:paraId="09D1F998" w14:textId="77777777" w:rsidR="00D839C9" w:rsidRPr="00A77025" w:rsidRDefault="00D839C9" w:rsidP="00A77025">
      <w:pPr>
        <w:spacing w:line="360" w:lineRule="auto"/>
        <w:ind w:firstLine="709"/>
        <w:jc w:val="both"/>
        <w:rPr>
          <w:rFonts w:ascii="Times New Roman" w:hAnsi="Times New Roman" w:cs="Times New Roman"/>
          <w:sz w:val="24"/>
          <w:szCs w:val="24"/>
        </w:rPr>
      </w:pPr>
      <w:r w:rsidRPr="00A77025">
        <w:rPr>
          <w:rFonts w:ascii="Times New Roman" w:hAnsi="Times New Roman" w:cs="Times New Roman"/>
          <w:sz w:val="24"/>
          <w:szCs w:val="24"/>
        </w:rPr>
        <w:t xml:space="preserve">Dyrektywa 2019/944 obliguje państwa członkowskie do stworzenia nowego podmiotu jakim jest obywatelska społeczność energetyczna, której przedmiotem działalności może być wytwarzanie, dystrybucja, sprzedaż, zużywanie, agregacja lub magazynowanie energii, a także świadczenie usług w zakresie efektywności energetycznej, ładowania pojazdów elektrycznych lub świadczenie innych usług energetycznych swoim członkom lub udziałowcom. </w:t>
      </w:r>
    </w:p>
    <w:p w14:paraId="7A9F817A" w14:textId="1E8FD711" w:rsidR="006F2176" w:rsidRPr="00A77025" w:rsidRDefault="00D839C9" w:rsidP="00A77025">
      <w:pPr>
        <w:spacing w:line="360" w:lineRule="auto"/>
        <w:ind w:firstLine="709"/>
        <w:jc w:val="both"/>
        <w:rPr>
          <w:rFonts w:ascii="Times New Roman" w:hAnsi="Times New Roman" w:cs="Times New Roman"/>
          <w:sz w:val="24"/>
          <w:szCs w:val="24"/>
        </w:rPr>
      </w:pPr>
      <w:r w:rsidRPr="00A77025">
        <w:rPr>
          <w:rFonts w:ascii="Times New Roman" w:hAnsi="Times New Roman" w:cs="Times New Roman"/>
          <w:sz w:val="24"/>
          <w:szCs w:val="24"/>
        </w:rPr>
        <w:t xml:space="preserve">Stworzenie ram prawnych działania obywatelskich społeczności energetycznych ma na celu umożliwienie odbiorcom końcowym energii elektrycznej bezpośredniego udziału w </w:t>
      </w:r>
      <w:bookmarkStart w:id="4" w:name="_Hlk86235494"/>
      <w:r w:rsidRPr="00A77025">
        <w:rPr>
          <w:rFonts w:ascii="Times New Roman" w:hAnsi="Times New Roman" w:cs="Times New Roman"/>
          <w:sz w:val="24"/>
          <w:szCs w:val="24"/>
        </w:rPr>
        <w:t>wytwarzaniu, zużyciu oraz dzieleniu się energią elektryczną z innymi odbiorcami</w:t>
      </w:r>
      <w:bookmarkEnd w:id="4"/>
      <w:r w:rsidRPr="00A77025">
        <w:rPr>
          <w:rFonts w:ascii="Times New Roman" w:hAnsi="Times New Roman" w:cs="Times New Roman"/>
          <w:sz w:val="24"/>
          <w:szCs w:val="24"/>
        </w:rPr>
        <w:t xml:space="preserve">. </w:t>
      </w:r>
      <w:r w:rsidR="00E351C7" w:rsidRPr="00A77025">
        <w:rPr>
          <w:rFonts w:ascii="Times New Roman" w:hAnsi="Times New Roman" w:cs="Times New Roman"/>
          <w:sz w:val="24"/>
          <w:szCs w:val="24"/>
        </w:rPr>
        <w:t>M</w:t>
      </w:r>
      <w:r w:rsidR="000E0E71" w:rsidRPr="00A77025">
        <w:rPr>
          <w:rFonts w:ascii="Times New Roman" w:hAnsi="Times New Roman" w:cs="Times New Roman"/>
          <w:sz w:val="24"/>
          <w:szCs w:val="24"/>
        </w:rPr>
        <w:t>a to</w:t>
      </w:r>
      <w:r w:rsidRPr="00A77025">
        <w:rPr>
          <w:rFonts w:ascii="Times New Roman" w:hAnsi="Times New Roman" w:cs="Times New Roman"/>
          <w:sz w:val="24"/>
          <w:szCs w:val="24"/>
        </w:rPr>
        <w:t xml:space="preserve"> na celu zapewnienie jej członkom przystępnej cenowo energii elektrycznej w odróżnieniu od tradycyjnych przedsiębiorstw energetycznych, których głównym celem działania jest dążenie do osiągnięcia zysku. Uczestnictwo w obywatelskiej społeczności energetycznej przysłużyć się ma również do zwiększenia efektywności energetycznej na poziomie gospodarstw domowych dzięki zmniejszeniu zużycia energii elektrycznej i obniżeniu cen dostaw. Celem dyrektywy </w:t>
      </w:r>
      <w:r w:rsidRPr="00A77025">
        <w:rPr>
          <w:rFonts w:ascii="Times New Roman" w:hAnsi="Times New Roman" w:cs="Times New Roman"/>
          <w:sz w:val="24"/>
          <w:szCs w:val="24"/>
        </w:rPr>
        <w:lastRenderedPageBreak/>
        <w:t xml:space="preserve">2019/944, a tym samym </w:t>
      </w:r>
      <w:r w:rsidR="000E0E71" w:rsidRPr="00A77025">
        <w:rPr>
          <w:rFonts w:ascii="Times New Roman" w:hAnsi="Times New Roman" w:cs="Times New Roman"/>
          <w:sz w:val="24"/>
          <w:szCs w:val="24"/>
        </w:rPr>
        <w:t xml:space="preserve">rozwiązań zawartych w </w:t>
      </w:r>
      <w:r w:rsidRPr="00A77025">
        <w:rPr>
          <w:rFonts w:ascii="Times New Roman" w:hAnsi="Times New Roman" w:cs="Times New Roman"/>
          <w:sz w:val="24"/>
          <w:szCs w:val="24"/>
        </w:rPr>
        <w:t>projek</w:t>
      </w:r>
      <w:r w:rsidR="000E0E71" w:rsidRPr="00A77025">
        <w:rPr>
          <w:rFonts w:ascii="Times New Roman" w:hAnsi="Times New Roman" w:cs="Times New Roman"/>
          <w:sz w:val="24"/>
          <w:szCs w:val="24"/>
        </w:rPr>
        <w:t>cie</w:t>
      </w:r>
      <w:r w:rsidRPr="00A77025">
        <w:rPr>
          <w:rFonts w:ascii="Times New Roman" w:hAnsi="Times New Roman" w:cs="Times New Roman"/>
          <w:sz w:val="24"/>
          <w:szCs w:val="24"/>
        </w:rPr>
        <w:t xml:space="preserve"> ustawy, jest zapewnienie obywatelskim społecznościom energetycznym korzystnych ram prawnych do działania, sprawiedliwego traktowania, równych szans oraz określonego zestawu praw i obowiązków. </w:t>
      </w:r>
    </w:p>
    <w:p w14:paraId="7520FCCB" w14:textId="1849C587" w:rsidR="00D839C9" w:rsidRDefault="00D839C9" w:rsidP="00A77025">
      <w:pPr>
        <w:spacing w:line="360" w:lineRule="auto"/>
        <w:ind w:firstLine="709"/>
        <w:jc w:val="both"/>
        <w:rPr>
          <w:rFonts w:ascii="Times New Roman" w:hAnsi="Times New Roman" w:cs="Times New Roman"/>
          <w:sz w:val="24"/>
          <w:szCs w:val="24"/>
        </w:rPr>
      </w:pPr>
      <w:r w:rsidRPr="00A77025">
        <w:rPr>
          <w:rFonts w:ascii="Times New Roman" w:hAnsi="Times New Roman" w:cs="Times New Roman"/>
          <w:sz w:val="24"/>
          <w:szCs w:val="24"/>
        </w:rPr>
        <w:t>Przepisy dyrektywy dają swobodę państwom członkowskim</w:t>
      </w:r>
      <w:r w:rsidR="006F2176" w:rsidRPr="00A77025">
        <w:rPr>
          <w:rFonts w:ascii="Times New Roman" w:hAnsi="Times New Roman" w:cs="Times New Roman"/>
          <w:sz w:val="24"/>
          <w:szCs w:val="24"/>
        </w:rPr>
        <w:t xml:space="preserve"> w zakresie</w:t>
      </w:r>
      <w:r w:rsidRPr="00A77025">
        <w:rPr>
          <w:rFonts w:ascii="Times New Roman" w:hAnsi="Times New Roman" w:cs="Times New Roman"/>
          <w:sz w:val="24"/>
          <w:szCs w:val="24"/>
        </w:rPr>
        <w:t xml:space="preserve"> wyb</w:t>
      </w:r>
      <w:r w:rsidR="006F2176" w:rsidRPr="00A77025">
        <w:rPr>
          <w:rFonts w:ascii="Times New Roman" w:hAnsi="Times New Roman" w:cs="Times New Roman"/>
          <w:sz w:val="24"/>
          <w:szCs w:val="24"/>
        </w:rPr>
        <w:t>oru</w:t>
      </w:r>
      <w:r w:rsidRPr="00A77025">
        <w:rPr>
          <w:rFonts w:ascii="Times New Roman" w:hAnsi="Times New Roman" w:cs="Times New Roman"/>
          <w:sz w:val="24"/>
          <w:szCs w:val="24"/>
        </w:rPr>
        <w:t xml:space="preserve"> formy  działania </w:t>
      </w:r>
      <w:r w:rsidR="006F2176" w:rsidRPr="00A77025">
        <w:rPr>
          <w:rFonts w:ascii="Times New Roman" w:hAnsi="Times New Roman" w:cs="Times New Roman"/>
          <w:sz w:val="24"/>
          <w:szCs w:val="24"/>
        </w:rPr>
        <w:t xml:space="preserve">obywatelskiej </w:t>
      </w:r>
      <w:r w:rsidRPr="00A77025">
        <w:rPr>
          <w:rFonts w:ascii="Times New Roman" w:hAnsi="Times New Roman" w:cs="Times New Roman"/>
          <w:sz w:val="24"/>
          <w:szCs w:val="24"/>
        </w:rPr>
        <w:t>społeczności</w:t>
      </w:r>
      <w:r w:rsidR="006F2176" w:rsidRPr="00A77025">
        <w:rPr>
          <w:rFonts w:ascii="Times New Roman" w:hAnsi="Times New Roman" w:cs="Times New Roman"/>
          <w:sz w:val="24"/>
          <w:szCs w:val="24"/>
        </w:rPr>
        <w:t xml:space="preserve"> energetycznej</w:t>
      </w:r>
      <w:r w:rsidRPr="00A77025">
        <w:rPr>
          <w:rFonts w:ascii="Times New Roman" w:hAnsi="Times New Roman" w:cs="Times New Roman"/>
          <w:sz w:val="24"/>
          <w:szCs w:val="24"/>
        </w:rPr>
        <w:t xml:space="preserve"> wskazując jednak, iż musi posiadać zdolność prawną. Jako przykładowe formy w dyrektywie</w:t>
      </w:r>
      <w:r w:rsidR="003D1E81" w:rsidRPr="00A77025">
        <w:rPr>
          <w:rFonts w:ascii="Times New Roman" w:hAnsi="Times New Roman" w:cs="Times New Roman"/>
          <w:sz w:val="24"/>
          <w:szCs w:val="24"/>
        </w:rPr>
        <w:t xml:space="preserve"> 2019/944</w:t>
      </w:r>
      <w:r w:rsidRPr="00A77025">
        <w:rPr>
          <w:rFonts w:ascii="Times New Roman" w:hAnsi="Times New Roman" w:cs="Times New Roman"/>
          <w:sz w:val="24"/>
          <w:szCs w:val="24"/>
        </w:rPr>
        <w:t xml:space="preserve"> wskazano takie podmioty jak stowarzyszenia, spółdzielnie, spółki, organizacje nienastawiona na zysk, małe i średnie przedsiębiorstwa. Warunkiem działania obywatelskiej społeczności energetycznej ma być działanie we własnym imieniu oraz możliwość wykonywania praw i podlegania obowiązkom wynikającym z ustanowionych ram prawnych. Uwzględnić przy tym należy, że członkostwo w </w:t>
      </w:r>
      <w:r w:rsidR="003D1E81" w:rsidRPr="00A77025">
        <w:rPr>
          <w:rFonts w:ascii="Times New Roman" w:hAnsi="Times New Roman" w:cs="Times New Roman"/>
          <w:sz w:val="24"/>
          <w:szCs w:val="24"/>
        </w:rPr>
        <w:t xml:space="preserve">obywatelskiej </w:t>
      </w:r>
      <w:r w:rsidRPr="00A77025">
        <w:rPr>
          <w:rFonts w:ascii="Times New Roman" w:hAnsi="Times New Roman" w:cs="Times New Roman"/>
          <w:sz w:val="24"/>
          <w:szCs w:val="24"/>
        </w:rPr>
        <w:t>społeczności otwarte jest dla podmiotów wszelkich kategorii, jednak członkowie lub udziałowcy będący osobami fizycznym, organami samorządowymi, w tym gminami lub małymi przedsiębiorcami powinni mieć uprawnienia kontrolne, przy czym główna działalność tych podmiotów nie powinna być związana z rynkiem energii elektrycznej.</w:t>
      </w:r>
    </w:p>
    <w:p w14:paraId="612B9B8A" w14:textId="77777777" w:rsidR="00A77025" w:rsidRPr="00A77025" w:rsidRDefault="00A77025" w:rsidP="00A77025">
      <w:pPr>
        <w:spacing w:line="360" w:lineRule="auto"/>
        <w:jc w:val="both"/>
        <w:rPr>
          <w:rFonts w:ascii="Times New Roman" w:hAnsi="Times New Roman" w:cs="Times New Roman"/>
          <w:sz w:val="8"/>
          <w:szCs w:val="8"/>
        </w:rPr>
      </w:pPr>
    </w:p>
    <w:p w14:paraId="690A0776" w14:textId="448AD52F" w:rsidR="003D1E81" w:rsidRPr="00A77025" w:rsidRDefault="00D839C9" w:rsidP="00A77025">
      <w:pPr>
        <w:spacing w:line="360" w:lineRule="auto"/>
        <w:ind w:firstLine="709"/>
        <w:jc w:val="both"/>
        <w:rPr>
          <w:rFonts w:ascii="Times New Roman" w:hAnsi="Times New Roman" w:cs="Times New Roman"/>
          <w:sz w:val="24"/>
          <w:szCs w:val="24"/>
        </w:rPr>
      </w:pPr>
      <w:r w:rsidRPr="00A77025">
        <w:rPr>
          <w:rFonts w:ascii="Times New Roman" w:hAnsi="Times New Roman" w:cs="Times New Roman"/>
          <w:sz w:val="24"/>
          <w:szCs w:val="24"/>
        </w:rPr>
        <w:t>W projekcie ustawy proponuje się rozwiązanie oparte na możliwości wyboru formy organizacyjnej funkcjonowania obywatelskiej społeczności energetycznej spośród wymienionych w dyrektywie</w:t>
      </w:r>
      <w:r w:rsidR="003D1E81" w:rsidRPr="00A77025">
        <w:rPr>
          <w:rFonts w:ascii="Times New Roman" w:hAnsi="Times New Roman" w:cs="Times New Roman"/>
          <w:sz w:val="24"/>
          <w:szCs w:val="24"/>
        </w:rPr>
        <w:t xml:space="preserve"> 2019/944</w:t>
      </w:r>
      <w:r w:rsidRPr="00A77025">
        <w:rPr>
          <w:rFonts w:ascii="Times New Roman" w:hAnsi="Times New Roman" w:cs="Times New Roman"/>
          <w:sz w:val="24"/>
          <w:szCs w:val="24"/>
        </w:rPr>
        <w:t xml:space="preserve"> jako przykłady, pod warunkiem spełnienia przez nie określonych wymogów. Zgodnie z art. 11</w:t>
      </w:r>
      <w:r w:rsidR="006E24C8">
        <w:rPr>
          <w:rFonts w:ascii="Times New Roman" w:hAnsi="Times New Roman" w:cs="Times New Roman"/>
          <w:sz w:val="24"/>
          <w:szCs w:val="24"/>
        </w:rPr>
        <w:t>zi</w:t>
      </w:r>
      <w:r w:rsidR="006F2176" w:rsidRPr="00A77025">
        <w:rPr>
          <w:rFonts w:ascii="Times New Roman" w:hAnsi="Times New Roman" w:cs="Times New Roman"/>
          <w:sz w:val="24"/>
          <w:szCs w:val="24"/>
        </w:rPr>
        <w:t xml:space="preserve"> ust. 1</w:t>
      </w:r>
      <w:r w:rsidRPr="00A77025">
        <w:rPr>
          <w:rFonts w:ascii="Times New Roman" w:hAnsi="Times New Roman" w:cs="Times New Roman"/>
          <w:sz w:val="24"/>
          <w:szCs w:val="24"/>
        </w:rPr>
        <w:t xml:space="preserve"> projektu ustawy obywatelska społeczność energetyczna może</w:t>
      </w:r>
      <w:r w:rsidR="006F2176" w:rsidRPr="00A77025">
        <w:rPr>
          <w:rFonts w:ascii="Times New Roman" w:hAnsi="Times New Roman" w:cs="Times New Roman"/>
          <w:sz w:val="24"/>
          <w:szCs w:val="24"/>
        </w:rPr>
        <w:t xml:space="preserve"> wykonywać działalność </w:t>
      </w:r>
      <w:r w:rsidRPr="00A77025">
        <w:rPr>
          <w:rFonts w:ascii="Times New Roman" w:hAnsi="Times New Roman" w:cs="Times New Roman"/>
          <w:sz w:val="24"/>
          <w:szCs w:val="24"/>
        </w:rPr>
        <w:t>w formie</w:t>
      </w:r>
      <w:r w:rsidR="003D1E81" w:rsidRPr="00A77025">
        <w:rPr>
          <w:rFonts w:ascii="Times New Roman" w:hAnsi="Times New Roman" w:cs="Times New Roman"/>
          <w:sz w:val="24"/>
          <w:szCs w:val="24"/>
        </w:rPr>
        <w:t>:</w:t>
      </w:r>
    </w:p>
    <w:p w14:paraId="2D7DE992" w14:textId="77777777" w:rsidR="004D3DA1" w:rsidRDefault="006E24C8" w:rsidP="004D3DA1">
      <w:pPr>
        <w:pStyle w:val="Akapitzlist"/>
        <w:numPr>
          <w:ilvl w:val="0"/>
          <w:numId w:val="15"/>
        </w:numPr>
        <w:spacing w:line="360" w:lineRule="auto"/>
        <w:rPr>
          <w:rFonts w:ascii="Times New Roman" w:hAnsi="Times New Roman" w:cs="Times New Roman"/>
          <w:sz w:val="24"/>
          <w:szCs w:val="24"/>
        </w:rPr>
      </w:pPr>
      <w:r w:rsidRPr="006E24C8">
        <w:rPr>
          <w:rFonts w:ascii="Times New Roman" w:hAnsi="Times New Roman" w:cs="Times New Roman"/>
          <w:sz w:val="24"/>
          <w:szCs w:val="24"/>
        </w:rPr>
        <w:t xml:space="preserve">spółdzielni, </w:t>
      </w:r>
    </w:p>
    <w:p w14:paraId="180D2D89" w14:textId="520C036F" w:rsidR="006E24C8" w:rsidRPr="006E24C8" w:rsidRDefault="006E24C8" w:rsidP="00A31158">
      <w:pPr>
        <w:pStyle w:val="Akapitzlist"/>
        <w:numPr>
          <w:ilvl w:val="0"/>
          <w:numId w:val="15"/>
        </w:numPr>
        <w:spacing w:line="360" w:lineRule="auto"/>
        <w:rPr>
          <w:rFonts w:ascii="Times New Roman" w:hAnsi="Times New Roman" w:cs="Times New Roman"/>
          <w:sz w:val="24"/>
          <w:szCs w:val="24"/>
        </w:rPr>
      </w:pPr>
      <w:r w:rsidRPr="006E24C8">
        <w:rPr>
          <w:rFonts w:ascii="Times New Roman" w:hAnsi="Times New Roman" w:cs="Times New Roman"/>
          <w:sz w:val="24"/>
          <w:szCs w:val="24"/>
        </w:rPr>
        <w:t>spółdzielni mieszkaniowej,</w:t>
      </w:r>
    </w:p>
    <w:p w14:paraId="29A4362B" w14:textId="4C960E8F" w:rsidR="006E24C8" w:rsidRPr="00A01519" w:rsidRDefault="006E24C8" w:rsidP="00A31158">
      <w:pPr>
        <w:pStyle w:val="Akapitzlist"/>
        <w:numPr>
          <w:ilvl w:val="0"/>
          <w:numId w:val="15"/>
        </w:numPr>
        <w:spacing w:line="360" w:lineRule="auto"/>
        <w:rPr>
          <w:rFonts w:ascii="Times New Roman" w:hAnsi="Times New Roman" w:cs="Times New Roman"/>
          <w:sz w:val="24"/>
          <w:szCs w:val="24"/>
        </w:rPr>
      </w:pPr>
      <w:r w:rsidRPr="006E24C8">
        <w:rPr>
          <w:rFonts w:ascii="Times New Roman" w:hAnsi="Times New Roman" w:cs="Times New Roman"/>
          <w:sz w:val="24"/>
          <w:szCs w:val="24"/>
        </w:rPr>
        <w:t>wspólnoty mieszkaniowej,</w:t>
      </w:r>
    </w:p>
    <w:p w14:paraId="07B3D2EB" w14:textId="6FAF0D75" w:rsidR="003D1E81" w:rsidRDefault="00D839C9" w:rsidP="004D3DA1">
      <w:pPr>
        <w:pStyle w:val="Akapitzlist"/>
        <w:numPr>
          <w:ilvl w:val="0"/>
          <w:numId w:val="15"/>
        </w:numPr>
        <w:spacing w:line="360" w:lineRule="auto"/>
        <w:jc w:val="both"/>
        <w:rPr>
          <w:rFonts w:ascii="Times New Roman" w:hAnsi="Times New Roman" w:cs="Times New Roman"/>
          <w:sz w:val="24"/>
          <w:szCs w:val="24"/>
        </w:rPr>
      </w:pPr>
      <w:r w:rsidRPr="00A77025">
        <w:rPr>
          <w:rFonts w:ascii="Times New Roman" w:hAnsi="Times New Roman" w:cs="Times New Roman"/>
          <w:sz w:val="24"/>
          <w:szCs w:val="24"/>
        </w:rPr>
        <w:t>stowarzyszenia</w:t>
      </w:r>
      <w:r w:rsidR="003D1E81" w:rsidRPr="003D1E81">
        <w:rPr>
          <w:rFonts w:ascii="Times New Roman" w:hAnsi="Times New Roman" w:cs="Times New Roman"/>
          <w:sz w:val="24"/>
          <w:szCs w:val="24"/>
        </w:rPr>
        <w:t>, z wyłączeniem stowarzyszenia zwykłego</w:t>
      </w:r>
      <w:r w:rsidRPr="003D1E81">
        <w:rPr>
          <w:rFonts w:ascii="Times New Roman" w:hAnsi="Times New Roman" w:cs="Times New Roman"/>
          <w:sz w:val="24"/>
          <w:szCs w:val="24"/>
        </w:rPr>
        <w:t xml:space="preserve">, </w:t>
      </w:r>
    </w:p>
    <w:p w14:paraId="5B9E868C" w14:textId="0443DD7C" w:rsidR="006E24C8" w:rsidRDefault="00D839C9" w:rsidP="004D3DA1">
      <w:pPr>
        <w:pStyle w:val="Akapitzlist"/>
        <w:numPr>
          <w:ilvl w:val="0"/>
          <w:numId w:val="15"/>
        </w:numPr>
        <w:spacing w:line="360" w:lineRule="auto"/>
        <w:jc w:val="both"/>
        <w:rPr>
          <w:rFonts w:ascii="Times New Roman" w:hAnsi="Times New Roman" w:cs="Times New Roman"/>
          <w:sz w:val="24"/>
          <w:szCs w:val="24"/>
        </w:rPr>
      </w:pPr>
      <w:r w:rsidRPr="003D1E81">
        <w:rPr>
          <w:rFonts w:ascii="Times New Roman" w:hAnsi="Times New Roman" w:cs="Times New Roman"/>
          <w:sz w:val="24"/>
          <w:szCs w:val="24"/>
        </w:rPr>
        <w:t>spółki osobowej</w:t>
      </w:r>
      <w:r w:rsidR="003D1E81">
        <w:rPr>
          <w:rFonts w:ascii="Times New Roman" w:hAnsi="Times New Roman" w:cs="Times New Roman"/>
          <w:sz w:val="24"/>
          <w:szCs w:val="24"/>
        </w:rPr>
        <w:t xml:space="preserve">, </w:t>
      </w:r>
      <w:r w:rsidR="003D1E81" w:rsidRPr="003D1E81">
        <w:rPr>
          <w:rFonts w:ascii="Times New Roman" w:hAnsi="Times New Roman" w:cs="Times New Roman"/>
          <w:sz w:val="24"/>
          <w:szCs w:val="24"/>
        </w:rPr>
        <w:t>z wyłączeniem spółki partnerskiej</w:t>
      </w:r>
      <w:r w:rsidR="006E24C8">
        <w:rPr>
          <w:rFonts w:ascii="Times New Roman" w:hAnsi="Times New Roman" w:cs="Times New Roman"/>
          <w:sz w:val="24"/>
          <w:szCs w:val="24"/>
        </w:rPr>
        <w:t>,</w:t>
      </w:r>
    </w:p>
    <w:p w14:paraId="6D32945D" w14:textId="71298D24" w:rsidR="00A77025" w:rsidRDefault="006E24C8" w:rsidP="004D3DA1">
      <w:pPr>
        <w:pStyle w:val="Akapitzlist"/>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spółdzielni rolników</w:t>
      </w:r>
      <w:r w:rsidR="00D839C9" w:rsidRPr="00A77025">
        <w:rPr>
          <w:rFonts w:ascii="Times New Roman" w:hAnsi="Times New Roman" w:cs="Times New Roman"/>
          <w:sz w:val="24"/>
          <w:szCs w:val="24"/>
        </w:rPr>
        <w:t xml:space="preserve">. </w:t>
      </w:r>
    </w:p>
    <w:p w14:paraId="0D8EE60B" w14:textId="1F2050B8" w:rsidR="00D839C9" w:rsidRPr="00A77025" w:rsidRDefault="00D839C9" w:rsidP="00A77025">
      <w:pPr>
        <w:spacing w:line="360" w:lineRule="auto"/>
        <w:ind w:firstLine="709"/>
        <w:jc w:val="both"/>
        <w:rPr>
          <w:rFonts w:ascii="Times New Roman" w:hAnsi="Times New Roman" w:cs="Times New Roman"/>
          <w:sz w:val="24"/>
          <w:szCs w:val="24"/>
        </w:rPr>
      </w:pPr>
      <w:r w:rsidRPr="00A77025">
        <w:rPr>
          <w:rFonts w:ascii="Times New Roman" w:hAnsi="Times New Roman" w:cs="Times New Roman"/>
          <w:sz w:val="24"/>
          <w:szCs w:val="24"/>
        </w:rPr>
        <w:t xml:space="preserve">Warunkami koniecznymi do posiadania statusu obywatelskiej społeczności energetycznej jest zapewnienie uprawnień decyzyjnych i kontrolnych przysługujących członkom, udziałowcom, akcjonariuszom lub wspólnikom obywatelskiej społeczności energetycznej będącym wyłącznie </w:t>
      </w:r>
      <w:r w:rsidR="00C45A70">
        <w:rPr>
          <w:rFonts w:ascii="Times New Roman" w:hAnsi="Times New Roman" w:cs="Times New Roman"/>
          <w:sz w:val="24"/>
          <w:szCs w:val="24"/>
        </w:rPr>
        <w:t>osobą fizyczną</w:t>
      </w:r>
      <w:r w:rsidRPr="00A77025">
        <w:rPr>
          <w:rFonts w:ascii="Times New Roman" w:hAnsi="Times New Roman" w:cs="Times New Roman"/>
          <w:sz w:val="24"/>
          <w:szCs w:val="24"/>
        </w:rPr>
        <w:t xml:space="preserve">, jednostką samorządu terytorialnego, </w:t>
      </w:r>
      <w:proofErr w:type="spellStart"/>
      <w:r w:rsidRPr="00A77025">
        <w:rPr>
          <w:rFonts w:ascii="Times New Roman" w:hAnsi="Times New Roman" w:cs="Times New Roman"/>
          <w:sz w:val="24"/>
          <w:szCs w:val="24"/>
        </w:rPr>
        <w:t>mikroprzedsiębiorcą</w:t>
      </w:r>
      <w:proofErr w:type="spellEnd"/>
      <w:r w:rsidRPr="00A77025">
        <w:rPr>
          <w:rFonts w:ascii="Times New Roman" w:hAnsi="Times New Roman" w:cs="Times New Roman"/>
          <w:sz w:val="24"/>
          <w:szCs w:val="24"/>
        </w:rPr>
        <w:t xml:space="preserve"> lub małym przedsiębiorcą, dla których działalność gospodarcza w zakresie obrotu, wytwarzania i dystrybucji energii elektrycznej nie stanowi przedmiotu podstawowej działalności gospodarczej.</w:t>
      </w:r>
      <w:r w:rsidR="0057380F" w:rsidRPr="00A77025">
        <w:rPr>
          <w:rFonts w:ascii="Times New Roman" w:hAnsi="Times New Roman" w:cs="Times New Roman"/>
          <w:sz w:val="24"/>
          <w:szCs w:val="24"/>
        </w:rPr>
        <w:t xml:space="preserve"> </w:t>
      </w:r>
    </w:p>
    <w:p w14:paraId="3E1BF5DC" w14:textId="50EC8562" w:rsidR="00D839C9" w:rsidRPr="00A77025" w:rsidRDefault="00D839C9" w:rsidP="00A77025">
      <w:pPr>
        <w:pStyle w:val="Bezodstpw"/>
        <w:spacing w:line="360" w:lineRule="auto"/>
        <w:ind w:firstLine="709"/>
        <w:jc w:val="both"/>
        <w:rPr>
          <w:rFonts w:ascii="Times New Roman" w:hAnsi="Times New Roman" w:cs="Times New Roman"/>
          <w:sz w:val="24"/>
          <w:szCs w:val="24"/>
        </w:rPr>
      </w:pPr>
      <w:r w:rsidRPr="00A77025">
        <w:rPr>
          <w:rFonts w:ascii="Times New Roman" w:hAnsi="Times New Roman" w:cs="Times New Roman"/>
          <w:sz w:val="24"/>
          <w:szCs w:val="24"/>
        </w:rPr>
        <w:t xml:space="preserve">Powyższa regulacja jest zgodna z definicją obywatelskiej społeczności energetycznej </w:t>
      </w:r>
      <w:r w:rsidR="003D1E81" w:rsidRPr="00A77025">
        <w:rPr>
          <w:rFonts w:ascii="Times New Roman" w:hAnsi="Times New Roman" w:cs="Times New Roman"/>
          <w:sz w:val="24"/>
          <w:szCs w:val="24"/>
        </w:rPr>
        <w:lastRenderedPageBreak/>
        <w:t xml:space="preserve">zawartą </w:t>
      </w:r>
      <w:r w:rsidRPr="00A77025">
        <w:rPr>
          <w:rFonts w:ascii="Times New Roman" w:hAnsi="Times New Roman" w:cs="Times New Roman"/>
          <w:sz w:val="24"/>
          <w:szCs w:val="24"/>
        </w:rPr>
        <w:t>w dyrektywie 2019/944 (art. 2 pkt 11 lit. a), która stanowi</w:t>
      </w:r>
      <w:r w:rsidR="003D1E81" w:rsidRPr="00A77025">
        <w:rPr>
          <w:rFonts w:ascii="Times New Roman" w:hAnsi="Times New Roman" w:cs="Times New Roman"/>
          <w:sz w:val="24"/>
          <w:szCs w:val="24"/>
        </w:rPr>
        <w:t>,</w:t>
      </w:r>
      <w:r w:rsidRPr="00A77025">
        <w:rPr>
          <w:rFonts w:ascii="Times New Roman" w:hAnsi="Times New Roman" w:cs="Times New Roman"/>
          <w:sz w:val="24"/>
          <w:szCs w:val="24"/>
        </w:rPr>
        <w:t xml:space="preserve"> że </w:t>
      </w:r>
      <w:r w:rsidRPr="00A31158">
        <w:rPr>
          <w:rFonts w:ascii="Times New Roman" w:hAnsi="Times New Roman" w:cs="Times New Roman"/>
          <w:i/>
          <w:iCs/>
          <w:sz w:val="24"/>
          <w:szCs w:val="24"/>
        </w:rPr>
        <w:t>obywatelską społeczność energetyczną należy rozumieć jako podmiot posiadający zdolność prawną, który opiera się na dobrowolnym i otwartym uczestnictwie i który jest kontrolowany przez członków</w:t>
      </w:r>
      <w:r w:rsidR="002A4C8D" w:rsidRPr="00A31158">
        <w:rPr>
          <w:rFonts w:ascii="Times New Roman" w:hAnsi="Times New Roman" w:cs="Times New Roman"/>
          <w:i/>
          <w:iCs/>
          <w:sz w:val="24"/>
          <w:szCs w:val="24"/>
        </w:rPr>
        <w:t xml:space="preserve"> lub </w:t>
      </w:r>
      <w:r w:rsidRPr="00A31158">
        <w:rPr>
          <w:rFonts w:ascii="Times New Roman" w:hAnsi="Times New Roman" w:cs="Times New Roman"/>
          <w:i/>
          <w:iCs/>
          <w:sz w:val="24"/>
          <w:szCs w:val="24"/>
        </w:rPr>
        <w:t>udziałowców, którzy są osobami fizycznym, organami samorządowymi lub małymi przedsiębiorcami</w:t>
      </w:r>
      <w:r w:rsidRPr="00A77025">
        <w:rPr>
          <w:rFonts w:ascii="Times New Roman" w:hAnsi="Times New Roman" w:cs="Times New Roman"/>
          <w:sz w:val="24"/>
          <w:szCs w:val="24"/>
        </w:rPr>
        <w:t xml:space="preserve">. </w:t>
      </w:r>
    </w:p>
    <w:p w14:paraId="51B3C5CC" w14:textId="5D6E1457" w:rsidR="00D839C9" w:rsidRPr="00A77025" w:rsidRDefault="00D839C9" w:rsidP="00A77025">
      <w:pPr>
        <w:spacing w:line="360" w:lineRule="auto"/>
        <w:ind w:firstLine="709"/>
        <w:jc w:val="both"/>
        <w:rPr>
          <w:rFonts w:ascii="Times New Roman" w:hAnsi="Times New Roman" w:cs="Times New Roman"/>
          <w:sz w:val="24"/>
          <w:szCs w:val="24"/>
        </w:rPr>
      </w:pPr>
      <w:r w:rsidRPr="00A77025">
        <w:rPr>
          <w:rFonts w:ascii="Times New Roman" w:hAnsi="Times New Roman" w:cs="Times New Roman"/>
          <w:sz w:val="24"/>
          <w:szCs w:val="24"/>
        </w:rPr>
        <w:t>Dyrektywa</w:t>
      </w:r>
      <w:r w:rsidR="002A4C8D" w:rsidRPr="00A77025">
        <w:rPr>
          <w:rFonts w:ascii="Times New Roman" w:hAnsi="Times New Roman" w:cs="Times New Roman"/>
          <w:sz w:val="24"/>
          <w:szCs w:val="24"/>
        </w:rPr>
        <w:t xml:space="preserve"> 2019/944</w:t>
      </w:r>
      <w:r w:rsidRPr="00A77025">
        <w:rPr>
          <w:rFonts w:ascii="Times New Roman" w:hAnsi="Times New Roman" w:cs="Times New Roman"/>
          <w:sz w:val="24"/>
          <w:szCs w:val="24"/>
        </w:rPr>
        <w:t xml:space="preserve"> obliguje państwa członkowskie do stworzenia ram regulacyjnych dla obywatelskich społeczności energetycznych i objęcia ich niedyskryminacyjnymi, sprawiedliwymi i przejrzystymi procedurami m.in. w odniesieniu do rejestracji. Na tej podstawie postanowiono stworzyć </w:t>
      </w:r>
      <w:r w:rsidR="00552EFC">
        <w:rPr>
          <w:rFonts w:ascii="Times New Roman" w:hAnsi="Times New Roman" w:cs="Times New Roman"/>
          <w:sz w:val="24"/>
          <w:szCs w:val="24"/>
        </w:rPr>
        <w:t xml:space="preserve">wykaz </w:t>
      </w:r>
      <w:r w:rsidRPr="00A77025">
        <w:rPr>
          <w:rFonts w:ascii="Times New Roman" w:hAnsi="Times New Roman" w:cs="Times New Roman"/>
          <w:sz w:val="24"/>
          <w:szCs w:val="24"/>
        </w:rPr>
        <w:t xml:space="preserve">obywatelskich społeczności energetycznych, który pozwoli również na monitorowanie rozwoju obywatelskich społeczności energetycznych w Polsce. W przepisach projektu zaproponowano prowadzenie </w:t>
      </w:r>
      <w:r w:rsidR="00552EFC">
        <w:rPr>
          <w:rFonts w:ascii="Times New Roman" w:hAnsi="Times New Roman" w:cs="Times New Roman"/>
          <w:sz w:val="24"/>
          <w:szCs w:val="24"/>
        </w:rPr>
        <w:t>wykazu</w:t>
      </w:r>
      <w:r w:rsidR="00552EFC" w:rsidRPr="00A77025">
        <w:rPr>
          <w:rFonts w:ascii="Times New Roman" w:hAnsi="Times New Roman" w:cs="Times New Roman"/>
          <w:sz w:val="24"/>
          <w:szCs w:val="24"/>
        </w:rPr>
        <w:t xml:space="preserve"> </w:t>
      </w:r>
      <w:r w:rsidRPr="00A77025">
        <w:rPr>
          <w:rFonts w:ascii="Times New Roman" w:hAnsi="Times New Roman" w:cs="Times New Roman"/>
          <w:sz w:val="24"/>
          <w:szCs w:val="24"/>
        </w:rPr>
        <w:t>przez Prezesa URE w formie elektronicznej (dodawany art. 11z</w:t>
      </w:r>
      <w:r w:rsidR="005A3B1D">
        <w:rPr>
          <w:rFonts w:ascii="Times New Roman" w:hAnsi="Times New Roman" w:cs="Times New Roman"/>
          <w:sz w:val="24"/>
          <w:szCs w:val="24"/>
        </w:rPr>
        <w:t>m</w:t>
      </w:r>
      <w:r w:rsidRPr="00A77025">
        <w:rPr>
          <w:rFonts w:ascii="Times New Roman" w:hAnsi="Times New Roman" w:cs="Times New Roman"/>
          <w:sz w:val="24"/>
          <w:szCs w:val="24"/>
        </w:rPr>
        <w:t xml:space="preserve"> ustawy – Prawo energetyczne). Obywatelska społeczność energetyczna będzie mogła podjąć działalność po zamieszczeniu jej danych, na wniosek, w </w:t>
      </w:r>
      <w:r w:rsidR="00552EFC">
        <w:rPr>
          <w:rFonts w:ascii="Times New Roman" w:hAnsi="Times New Roman" w:cs="Times New Roman"/>
          <w:sz w:val="24"/>
          <w:szCs w:val="24"/>
        </w:rPr>
        <w:t xml:space="preserve">wykazie </w:t>
      </w:r>
      <w:r w:rsidRPr="00A77025">
        <w:rPr>
          <w:rFonts w:ascii="Times New Roman" w:hAnsi="Times New Roman" w:cs="Times New Roman"/>
          <w:sz w:val="24"/>
          <w:szCs w:val="24"/>
        </w:rPr>
        <w:t xml:space="preserve"> obywatelskich społeczności energetycznych.</w:t>
      </w:r>
    </w:p>
    <w:p w14:paraId="2143A6BF" w14:textId="6051B673" w:rsidR="004441E2" w:rsidRPr="00A77025" w:rsidRDefault="00D839C9" w:rsidP="00A77025">
      <w:pPr>
        <w:spacing w:line="360" w:lineRule="auto"/>
        <w:ind w:firstLine="709"/>
        <w:jc w:val="both"/>
        <w:rPr>
          <w:rFonts w:ascii="Times New Roman" w:hAnsi="Times New Roman" w:cs="Times New Roman"/>
          <w:sz w:val="24"/>
          <w:szCs w:val="24"/>
        </w:rPr>
      </w:pPr>
      <w:r w:rsidRPr="00A77025">
        <w:rPr>
          <w:rFonts w:ascii="Times New Roman" w:hAnsi="Times New Roman" w:cs="Times New Roman"/>
          <w:sz w:val="24"/>
          <w:szCs w:val="24"/>
        </w:rPr>
        <w:t>Przedmiotem działalności obywatelskiej społeczności energetycznej może być wytwarzanie, dystrybucja, obrót, agregacja, magazynowanie energii elektrycznej, realizowanie przedsięwzięć służących poprawie efektywności energetycznej oraz świadczenie usług w zakresie ładowania pojazdów elektrycznych swoim członkom</w:t>
      </w:r>
      <w:r w:rsidR="002A4C8D" w:rsidRPr="00A77025">
        <w:rPr>
          <w:rFonts w:ascii="Times New Roman" w:hAnsi="Times New Roman" w:cs="Times New Roman"/>
          <w:sz w:val="24"/>
          <w:szCs w:val="24"/>
        </w:rPr>
        <w:t>,</w:t>
      </w:r>
      <w:r w:rsidRPr="00A77025">
        <w:rPr>
          <w:rFonts w:ascii="Times New Roman" w:hAnsi="Times New Roman" w:cs="Times New Roman"/>
          <w:sz w:val="24"/>
          <w:szCs w:val="24"/>
        </w:rPr>
        <w:t xml:space="preserve"> w sieci dystrybucyjnej o napięciu znamionowym nie wyższym niż 110 </w:t>
      </w:r>
      <w:proofErr w:type="spellStart"/>
      <w:r w:rsidRPr="00A77025">
        <w:rPr>
          <w:rFonts w:ascii="Times New Roman" w:hAnsi="Times New Roman" w:cs="Times New Roman"/>
          <w:sz w:val="24"/>
          <w:szCs w:val="24"/>
        </w:rPr>
        <w:t>kV</w:t>
      </w:r>
      <w:proofErr w:type="spellEnd"/>
      <w:r w:rsidRPr="00A77025">
        <w:rPr>
          <w:rFonts w:ascii="Times New Roman" w:hAnsi="Times New Roman" w:cs="Times New Roman"/>
          <w:sz w:val="24"/>
          <w:szCs w:val="24"/>
        </w:rPr>
        <w:t xml:space="preserve">. W zależności od wykonywanej działalności, musi przestrzegać obowiązków i ograniczeń mających zastosowanie do innych uczestników rynku w sposób niedyskryminujący i proporcjonalny. Sprzedaż wytworzonej we własnym zakresie energii elektrycznej przedsiębiorstwu energetycznemu lub agregatorowi będzie możliwa na podstawie łączących ich umów. </w:t>
      </w:r>
    </w:p>
    <w:p w14:paraId="47866FE5" w14:textId="6BB258CA" w:rsidR="00D839C9" w:rsidRPr="00A77025" w:rsidRDefault="000B61F2" w:rsidP="00A77025">
      <w:pPr>
        <w:spacing w:line="360" w:lineRule="auto"/>
        <w:ind w:firstLine="709"/>
        <w:jc w:val="both"/>
        <w:rPr>
          <w:rFonts w:ascii="Times New Roman" w:hAnsi="Times New Roman" w:cs="Times New Roman"/>
          <w:sz w:val="24"/>
          <w:szCs w:val="24"/>
        </w:rPr>
      </w:pPr>
      <w:r w:rsidRPr="00A77025">
        <w:rPr>
          <w:rFonts w:ascii="Times New Roman" w:hAnsi="Times New Roman" w:cs="Times New Roman"/>
          <w:sz w:val="24"/>
          <w:szCs w:val="24"/>
        </w:rPr>
        <w:t>O</w:t>
      </w:r>
      <w:r w:rsidR="00D839C9" w:rsidRPr="00A77025">
        <w:rPr>
          <w:rFonts w:ascii="Times New Roman" w:hAnsi="Times New Roman" w:cs="Times New Roman"/>
          <w:sz w:val="24"/>
          <w:szCs w:val="24"/>
        </w:rPr>
        <w:t>bywatelsk</w:t>
      </w:r>
      <w:r w:rsidRPr="00A77025">
        <w:rPr>
          <w:rFonts w:ascii="Times New Roman" w:hAnsi="Times New Roman" w:cs="Times New Roman"/>
          <w:sz w:val="24"/>
          <w:szCs w:val="24"/>
        </w:rPr>
        <w:t>iej</w:t>
      </w:r>
      <w:r w:rsidR="00D839C9" w:rsidRPr="00A77025">
        <w:rPr>
          <w:rFonts w:ascii="Times New Roman" w:hAnsi="Times New Roman" w:cs="Times New Roman"/>
          <w:sz w:val="24"/>
          <w:szCs w:val="24"/>
        </w:rPr>
        <w:t xml:space="preserve"> społecznoś</w:t>
      </w:r>
      <w:r w:rsidRPr="00A77025">
        <w:rPr>
          <w:rFonts w:ascii="Times New Roman" w:hAnsi="Times New Roman" w:cs="Times New Roman"/>
          <w:sz w:val="24"/>
          <w:szCs w:val="24"/>
        </w:rPr>
        <w:t>ci</w:t>
      </w:r>
      <w:r w:rsidR="00D839C9" w:rsidRPr="00A77025">
        <w:rPr>
          <w:rFonts w:ascii="Times New Roman" w:hAnsi="Times New Roman" w:cs="Times New Roman"/>
          <w:sz w:val="24"/>
          <w:szCs w:val="24"/>
        </w:rPr>
        <w:t xml:space="preserve"> energetyczn</w:t>
      </w:r>
      <w:r w:rsidRPr="00A77025">
        <w:rPr>
          <w:rFonts w:ascii="Times New Roman" w:hAnsi="Times New Roman" w:cs="Times New Roman"/>
          <w:sz w:val="24"/>
          <w:szCs w:val="24"/>
        </w:rPr>
        <w:t>ej</w:t>
      </w:r>
      <w:r w:rsidR="00D839C9" w:rsidRPr="00A77025">
        <w:rPr>
          <w:rFonts w:ascii="Times New Roman" w:hAnsi="Times New Roman" w:cs="Times New Roman"/>
          <w:sz w:val="24"/>
          <w:szCs w:val="24"/>
        </w:rPr>
        <w:t xml:space="preserve"> </w:t>
      </w:r>
      <w:r w:rsidRPr="00A77025">
        <w:rPr>
          <w:rFonts w:ascii="Times New Roman" w:hAnsi="Times New Roman" w:cs="Times New Roman"/>
          <w:sz w:val="24"/>
          <w:szCs w:val="24"/>
        </w:rPr>
        <w:t>umożliwia się</w:t>
      </w:r>
      <w:r w:rsidR="00D839C9" w:rsidRPr="00A77025">
        <w:rPr>
          <w:rFonts w:ascii="Times New Roman" w:hAnsi="Times New Roman" w:cs="Times New Roman"/>
          <w:sz w:val="24"/>
          <w:szCs w:val="24"/>
        </w:rPr>
        <w:t xml:space="preserve"> dostęp – bez dyskryminacji – do wszystkich rynków energii elektrycznej, bezpośrednio lub za pośrednictwem agregacji</w:t>
      </w:r>
      <w:r w:rsidRPr="00A77025">
        <w:rPr>
          <w:rFonts w:ascii="Times New Roman" w:hAnsi="Times New Roman" w:cs="Times New Roman"/>
          <w:sz w:val="24"/>
          <w:szCs w:val="24"/>
        </w:rPr>
        <w:t xml:space="preserve"> czym transponuje się przepis art. 16 ust. 3 lit</w:t>
      </w:r>
      <w:r w:rsidR="00D839C9" w:rsidRPr="00A77025">
        <w:rPr>
          <w:rFonts w:ascii="Times New Roman" w:hAnsi="Times New Roman" w:cs="Times New Roman"/>
          <w:sz w:val="24"/>
          <w:szCs w:val="24"/>
        </w:rPr>
        <w:t>.</w:t>
      </w:r>
      <w:r w:rsidRPr="00A77025">
        <w:rPr>
          <w:rFonts w:ascii="Times New Roman" w:hAnsi="Times New Roman" w:cs="Times New Roman"/>
          <w:sz w:val="24"/>
          <w:szCs w:val="24"/>
        </w:rPr>
        <w:t xml:space="preserve"> a dyrektywy 2019/944.</w:t>
      </w:r>
      <w:r w:rsidR="00D839C9" w:rsidRPr="00A77025">
        <w:rPr>
          <w:rFonts w:ascii="Times New Roman" w:hAnsi="Times New Roman" w:cs="Times New Roman"/>
          <w:sz w:val="24"/>
          <w:szCs w:val="24"/>
        </w:rPr>
        <w:t xml:space="preserve"> </w:t>
      </w:r>
    </w:p>
    <w:p w14:paraId="0B7F7E55" w14:textId="11E3C8FB" w:rsidR="00D839C9" w:rsidRPr="00A77025" w:rsidRDefault="00D839C9" w:rsidP="00A77025">
      <w:pPr>
        <w:spacing w:line="360" w:lineRule="auto"/>
        <w:ind w:firstLine="709"/>
        <w:jc w:val="both"/>
        <w:rPr>
          <w:rFonts w:ascii="Times New Roman" w:hAnsi="Times New Roman" w:cs="Times New Roman"/>
          <w:sz w:val="24"/>
          <w:szCs w:val="24"/>
        </w:rPr>
      </w:pPr>
      <w:r w:rsidRPr="00A77025">
        <w:rPr>
          <w:rFonts w:ascii="Times New Roman" w:hAnsi="Times New Roman" w:cs="Times New Roman"/>
          <w:sz w:val="24"/>
          <w:szCs w:val="24"/>
        </w:rPr>
        <w:t>Dyrektywa nie wskazuje obszaru działalności dla obywatelskich społeczności energetycznych, upoważniając jedynie państwa członkowskie do podjęcia decyzji w zakresie umożliwienia uczestnictwa transgranicznego. W projekcie ustawy nie określa się obszaru działania obywatelskich społeczności energetycznych przyjmując</w:t>
      </w:r>
      <w:r w:rsidR="00B12270">
        <w:rPr>
          <w:rFonts w:ascii="Times New Roman" w:hAnsi="Times New Roman" w:cs="Times New Roman"/>
          <w:sz w:val="24"/>
          <w:szCs w:val="24"/>
        </w:rPr>
        <w:t>,</w:t>
      </w:r>
      <w:r w:rsidRPr="00A77025">
        <w:rPr>
          <w:rFonts w:ascii="Times New Roman" w:hAnsi="Times New Roman" w:cs="Times New Roman"/>
          <w:sz w:val="24"/>
          <w:szCs w:val="24"/>
        </w:rPr>
        <w:t xml:space="preserve"> że jedynym ograniczeniem może być obszar funkcjonowania operatora systemu dystrybucyjnego, ponieważ obywatelską społeczność energetyczną może działać na obszarze operatora systemu dystrybucyjnego elektroenergetycznego zaopatrującego w energię elektryczną odbiorców będących członkami, udziałowcami, akcjonariuszami lub wspólnikami tej społeczności. Projekt nie przewiduje </w:t>
      </w:r>
      <w:r w:rsidRPr="00A77025">
        <w:rPr>
          <w:rFonts w:ascii="Times New Roman" w:hAnsi="Times New Roman" w:cs="Times New Roman"/>
          <w:sz w:val="24"/>
          <w:szCs w:val="24"/>
        </w:rPr>
        <w:lastRenderedPageBreak/>
        <w:t>możliwości uczestnictwa transgranicznego obywatelskich społeczności energetycznych.</w:t>
      </w:r>
    </w:p>
    <w:p w14:paraId="351E4A10" w14:textId="3F110BE3" w:rsidR="00D839C9" w:rsidRPr="00A77025" w:rsidRDefault="00D839C9" w:rsidP="00A77025">
      <w:pPr>
        <w:spacing w:line="360" w:lineRule="auto"/>
        <w:ind w:firstLine="709"/>
        <w:jc w:val="both"/>
        <w:rPr>
          <w:rFonts w:ascii="Times New Roman" w:hAnsi="Times New Roman" w:cs="Times New Roman"/>
          <w:sz w:val="24"/>
          <w:szCs w:val="24"/>
        </w:rPr>
      </w:pPr>
      <w:r w:rsidRPr="00A77025">
        <w:rPr>
          <w:rFonts w:ascii="Times New Roman" w:hAnsi="Times New Roman" w:cs="Times New Roman"/>
          <w:sz w:val="24"/>
          <w:szCs w:val="24"/>
        </w:rPr>
        <w:t xml:space="preserve">Zgodnie z art. 16 ust. 3 lit. e dyrektywy 2019/944 państwa członkowskie są zobowiązane do zapewnienia ram prawnych umożliwiających ustalenie wewnątrz obywatelskiej społeczności energetycznej podziału energii elektrycznej, która jest wytwarzana przez będące własnością społeczności jednostki wytwórcze, przy czym podział energii elektrycznej nie może mieć wpływu na obowiązujące opłaty sieciowe, taryfy i inne opłaty. W projekcie ustawy </w:t>
      </w:r>
      <w:r w:rsidR="000B61F2" w:rsidRPr="00A77025">
        <w:rPr>
          <w:rFonts w:ascii="Times New Roman" w:hAnsi="Times New Roman" w:cs="Times New Roman"/>
          <w:sz w:val="24"/>
          <w:szCs w:val="24"/>
        </w:rPr>
        <w:t>proponuje się powyższe</w:t>
      </w:r>
      <w:r w:rsidRPr="00A77025">
        <w:rPr>
          <w:rFonts w:ascii="Times New Roman" w:hAnsi="Times New Roman" w:cs="Times New Roman"/>
          <w:sz w:val="24"/>
          <w:szCs w:val="24"/>
        </w:rPr>
        <w:t xml:space="preserve"> w art. 11z</w:t>
      </w:r>
      <w:r w:rsidR="005A3B1D">
        <w:rPr>
          <w:rFonts w:ascii="Times New Roman" w:hAnsi="Times New Roman" w:cs="Times New Roman"/>
          <w:sz w:val="24"/>
          <w:szCs w:val="24"/>
        </w:rPr>
        <w:t>l</w:t>
      </w:r>
      <w:r w:rsidRPr="00A77025">
        <w:rPr>
          <w:rFonts w:ascii="Times New Roman" w:hAnsi="Times New Roman" w:cs="Times New Roman"/>
          <w:sz w:val="24"/>
          <w:szCs w:val="24"/>
        </w:rPr>
        <w:t xml:space="preserve"> wprowadzając obowiązek regulacji tej kwestii w statucie lub umowie obywatelskiej społeczności energetycznej.</w:t>
      </w:r>
    </w:p>
    <w:p w14:paraId="304AA0F7" w14:textId="7975E59A" w:rsidR="00400933" w:rsidRDefault="00D839C9" w:rsidP="00A77025">
      <w:pPr>
        <w:spacing w:after="120" w:line="360" w:lineRule="auto"/>
        <w:ind w:firstLine="709"/>
        <w:jc w:val="both"/>
        <w:rPr>
          <w:rFonts w:ascii="Times New Roman" w:hAnsi="Times New Roman" w:cs="Times New Roman"/>
          <w:sz w:val="24"/>
          <w:szCs w:val="24"/>
        </w:rPr>
      </w:pPr>
      <w:r w:rsidRPr="00A77025">
        <w:rPr>
          <w:rFonts w:ascii="Times New Roman" w:hAnsi="Times New Roman" w:cs="Times New Roman"/>
          <w:sz w:val="24"/>
          <w:szCs w:val="24"/>
        </w:rPr>
        <w:t>Dyrektywa 2019/944 wprowadza również obowiązek traktowania obywatelskiej</w:t>
      </w:r>
      <w:r w:rsidRPr="00D839C9">
        <w:rPr>
          <w:rFonts w:ascii="Times New Roman" w:hAnsi="Times New Roman" w:cs="Times New Roman"/>
          <w:sz w:val="24"/>
          <w:szCs w:val="24"/>
        </w:rPr>
        <w:t xml:space="preserve"> społeczności energetycznej, w odniesieniu do zużywania energii elektrycznej wytworzonej we własnym zakresie, jak odbiorcy aktywnego (art. 16 ust. 3 lit. d). Zgodnie z art. 15 ust. 2 lit. e odbiorcom aktywnym zapewnia się, by ponosili opłaty sieciowe odzwierciedlające koszty, z osobnym rozliczeniem energii elektrycznej wprowadzanej do sieci i zużywanej energii elektrycznej z sieci, tak by w odpowiedni i wyważony sposób uczestniczyli w ogólnym podziale kosztów systemu. Osobne rozliczenie wprowadzonej do sieci i pobranej z niej energii elektrycznej zapewni</w:t>
      </w:r>
      <w:r w:rsidR="000B61F2">
        <w:rPr>
          <w:rFonts w:ascii="Times New Roman" w:hAnsi="Times New Roman" w:cs="Times New Roman"/>
          <w:sz w:val="24"/>
          <w:szCs w:val="24"/>
        </w:rPr>
        <w:t>ć mają regulacje zawarte w</w:t>
      </w:r>
      <w:r w:rsidRPr="00D839C9">
        <w:rPr>
          <w:rFonts w:ascii="Times New Roman" w:hAnsi="Times New Roman" w:cs="Times New Roman"/>
          <w:sz w:val="24"/>
          <w:szCs w:val="24"/>
        </w:rPr>
        <w:t xml:space="preserve"> </w:t>
      </w:r>
      <w:r w:rsidR="007C7112" w:rsidRPr="00D839C9">
        <w:rPr>
          <w:rFonts w:ascii="Times New Roman" w:hAnsi="Times New Roman" w:cs="Times New Roman"/>
          <w:sz w:val="24"/>
          <w:szCs w:val="24"/>
        </w:rPr>
        <w:t>ustaw</w:t>
      </w:r>
      <w:r w:rsidR="007C7112">
        <w:rPr>
          <w:rFonts w:ascii="Times New Roman" w:hAnsi="Times New Roman" w:cs="Times New Roman"/>
          <w:sz w:val="24"/>
          <w:szCs w:val="24"/>
        </w:rPr>
        <w:t xml:space="preserve">ie </w:t>
      </w:r>
      <w:r w:rsidR="00D818CE" w:rsidRPr="00D818CE">
        <w:rPr>
          <w:rFonts w:ascii="Times New Roman" w:hAnsi="Times New Roman" w:cs="Times New Roman"/>
          <w:sz w:val="24"/>
          <w:szCs w:val="24"/>
        </w:rPr>
        <w:t>z dnia 20 maja 2021 r. o zmianie ustawy - Prawo energetyczne oraz niektórych innych ustaw</w:t>
      </w:r>
      <w:r w:rsidRPr="00D839C9">
        <w:rPr>
          <w:rFonts w:ascii="Times New Roman" w:hAnsi="Times New Roman" w:cs="Times New Roman"/>
          <w:sz w:val="24"/>
          <w:szCs w:val="24"/>
        </w:rPr>
        <w:t xml:space="preserve">, w rozdziale dotyczącym zasad funkcjonowania systemu pomiarowego oraz w </w:t>
      </w:r>
      <w:r w:rsidR="000B61F2">
        <w:rPr>
          <w:rFonts w:ascii="Times New Roman" w:hAnsi="Times New Roman" w:cs="Times New Roman"/>
          <w:sz w:val="24"/>
          <w:szCs w:val="24"/>
        </w:rPr>
        <w:t xml:space="preserve">planowanym do </w:t>
      </w:r>
      <w:r w:rsidR="002A4C8D" w:rsidRPr="00D839C9">
        <w:rPr>
          <w:rFonts w:ascii="Times New Roman" w:hAnsi="Times New Roman" w:cs="Times New Roman"/>
          <w:sz w:val="24"/>
          <w:szCs w:val="24"/>
        </w:rPr>
        <w:t>wydan</w:t>
      </w:r>
      <w:r w:rsidR="002A4C8D">
        <w:rPr>
          <w:rFonts w:ascii="Times New Roman" w:hAnsi="Times New Roman" w:cs="Times New Roman"/>
          <w:sz w:val="24"/>
          <w:szCs w:val="24"/>
        </w:rPr>
        <w:t>ia</w:t>
      </w:r>
      <w:r w:rsidR="002A4C8D" w:rsidRPr="00D839C9">
        <w:rPr>
          <w:rFonts w:ascii="Times New Roman" w:hAnsi="Times New Roman" w:cs="Times New Roman"/>
          <w:sz w:val="24"/>
          <w:szCs w:val="24"/>
        </w:rPr>
        <w:t xml:space="preserve"> </w:t>
      </w:r>
      <w:r w:rsidRPr="00D839C9">
        <w:rPr>
          <w:rFonts w:ascii="Times New Roman" w:hAnsi="Times New Roman" w:cs="Times New Roman"/>
          <w:sz w:val="24"/>
          <w:szCs w:val="24"/>
        </w:rPr>
        <w:t>na jego po</w:t>
      </w:r>
      <w:r w:rsidR="002A4C8D">
        <w:rPr>
          <w:rFonts w:ascii="Times New Roman" w:hAnsi="Times New Roman" w:cs="Times New Roman"/>
          <w:sz w:val="24"/>
          <w:szCs w:val="24"/>
        </w:rPr>
        <w:t>d</w:t>
      </w:r>
      <w:r w:rsidRPr="00D839C9">
        <w:rPr>
          <w:rFonts w:ascii="Times New Roman" w:hAnsi="Times New Roman" w:cs="Times New Roman"/>
          <w:sz w:val="24"/>
          <w:szCs w:val="24"/>
        </w:rPr>
        <w:t>stawie rozporządzeniu pomiarowym – poprzez liczniki i system zdalnego odczytu. Projekt zakłada instalację liczników u odbiorców końcowych zgodnie z harmonogramem w latach 2023-2028. Jednak odbiorca końcowy, który będzie chciał zostać</w:t>
      </w:r>
      <w:r w:rsidR="002A4C8D">
        <w:rPr>
          <w:rFonts w:ascii="Times New Roman" w:hAnsi="Times New Roman" w:cs="Times New Roman"/>
          <w:sz w:val="24"/>
          <w:szCs w:val="24"/>
        </w:rPr>
        <w:t xml:space="preserve"> odbiorcą</w:t>
      </w:r>
      <w:r w:rsidRPr="00D839C9">
        <w:rPr>
          <w:rFonts w:ascii="Times New Roman" w:hAnsi="Times New Roman" w:cs="Times New Roman"/>
          <w:sz w:val="24"/>
          <w:szCs w:val="24"/>
        </w:rPr>
        <w:t xml:space="preserve"> aktywnym</w:t>
      </w:r>
      <w:r w:rsidR="000B61F2">
        <w:rPr>
          <w:rFonts w:ascii="Times New Roman" w:hAnsi="Times New Roman" w:cs="Times New Roman"/>
          <w:sz w:val="24"/>
          <w:szCs w:val="24"/>
        </w:rPr>
        <w:t>,</w:t>
      </w:r>
      <w:r w:rsidRPr="00D839C9">
        <w:rPr>
          <w:rFonts w:ascii="Times New Roman" w:hAnsi="Times New Roman" w:cs="Times New Roman"/>
          <w:sz w:val="24"/>
          <w:szCs w:val="24"/>
        </w:rPr>
        <w:t xml:space="preserve"> będzie mógł </w:t>
      </w:r>
      <w:r w:rsidR="002A4C8D" w:rsidRPr="00D839C9">
        <w:rPr>
          <w:rFonts w:ascii="Times New Roman" w:hAnsi="Times New Roman" w:cs="Times New Roman"/>
          <w:sz w:val="24"/>
          <w:szCs w:val="24"/>
        </w:rPr>
        <w:t>uzyska</w:t>
      </w:r>
      <w:r w:rsidR="002A4C8D">
        <w:rPr>
          <w:rFonts w:ascii="Times New Roman" w:hAnsi="Times New Roman" w:cs="Times New Roman"/>
          <w:sz w:val="24"/>
          <w:szCs w:val="24"/>
        </w:rPr>
        <w:t>ć</w:t>
      </w:r>
      <w:r w:rsidR="002A4C8D" w:rsidRPr="00D839C9">
        <w:rPr>
          <w:rFonts w:ascii="Times New Roman" w:hAnsi="Times New Roman" w:cs="Times New Roman"/>
          <w:sz w:val="24"/>
          <w:szCs w:val="24"/>
        </w:rPr>
        <w:t xml:space="preserve"> </w:t>
      </w:r>
      <w:r w:rsidRPr="00D839C9">
        <w:rPr>
          <w:rFonts w:ascii="Times New Roman" w:hAnsi="Times New Roman" w:cs="Times New Roman"/>
          <w:sz w:val="24"/>
          <w:szCs w:val="24"/>
        </w:rPr>
        <w:t xml:space="preserve">taki licznik na wniosek (art. 11t ust. 6 </w:t>
      </w:r>
      <w:r w:rsidR="002A4C8D">
        <w:rPr>
          <w:rFonts w:ascii="Times New Roman" w:hAnsi="Times New Roman" w:cs="Times New Roman"/>
          <w:sz w:val="24"/>
          <w:szCs w:val="24"/>
        </w:rPr>
        <w:t xml:space="preserve">ww. </w:t>
      </w:r>
      <w:r w:rsidRPr="00D839C9">
        <w:rPr>
          <w:rFonts w:ascii="Times New Roman" w:hAnsi="Times New Roman" w:cs="Times New Roman"/>
          <w:sz w:val="24"/>
          <w:szCs w:val="24"/>
        </w:rPr>
        <w:t>ustawy). Zatem powyższe regulacje dotyczą również obywatelsk</w:t>
      </w:r>
      <w:r w:rsidR="000B61F2">
        <w:rPr>
          <w:rFonts w:ascii="Times New Roman" w:hAnsi="Times New Roman" w:cs="Times New Roman"/>
          <w:sz w:val="24"/>
          <w:szCs w:val="24"/>
        </w:rPr>
        <w:t>iej</w:t>
      </w:r>
      <w:r w:rsidRPr="00D839C9">
        <w:rPr>
          <w:rFonts w:ascii="Times New Roman" w:hAnsi="Times New Roman" w:cs="Times New Roman"/>
          <w:sz w:val="24"/>
          <w:szCs w:val="24"/>
        </w:rPr>
        <w:t xml:space="preserve"> społecznoś</w:t>
      </w:r>
      <w:r w:rsidR="000B61F2">
        <w:rPr>
          <w:rFonts w:ascii="Times New Roman" w:hAnsi="Times New Roman" w:cs="Times New Roman"/>
          <w:sz w:val="24"/>
          <w:szCs w:val="24"/>
        </w:rPr>
        <w:t>ci</w:t>
      </w:r>
      <w:r w:rsidRPr="00D839C9">
        <w:rPr>
          <w:rFonts w:ascii="Times New Roman" w:hAnsi="Times New Roman" w:cs="Times New Roman"/>
          <w:sz w:val="24"/>
          <w:szCs w:val="24"/>
        </w:rPr>
        <w:t xml:space="preserve"> energetyczn</w:t>
      </w:r>
      <w:r w:rsidR="00400933">
        <w:rPr>
          <w:rFonts w:ascii="Times New Roman" w:hAnsi="Times New Roman" w:cs="Times New Roman"/>
          <w:sz w:val="24"/>
          <w:szCs w:val="24"/>
        </w:rPr>
        <w:t>ej.</w:t>
      </w:r>
    </w:p>
    <w:p w14:paraId="1AC67028" w14:textId="7EB197BA" w:rsidR="00B93B66" w:rsidRDefault="00B93B66" w:rsidP="00B93B66">
      <w:pPr>
        <w:spacing w:after="12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Ponadto, w celu uniknięcia jednoczesnego funkcjonowania w systemie prawnym dwóch definicji społeczności energetycznych o zbliżonych uprawnieniach, powyższe regulacje mają również na celu wdrożenie do polskiego porządku prawnego także społeczności </w:t>
      </w:r>
      <w:r w:rsidRPr="00FA4312">
        <w:rPr>
          <w:rFonts w:ascii="Times New Roman" w:hAnsi="Times New Roman" w:cs="Times New Roman"/>
          <w:bCs/>
          <w:sz w:val="24"/>
          <w:szCs w:val="24"/>
        </w:rPr>
        <w:t>działając</w:t>
      </w:r>
      <w:r>
        <w:rPr>
          <w:rFonts w:ascii="Times New Roman" w:hAnsi="Times New Roman" w:cs="Times New Roman"/>
          <w:bCs/>
          <w:sz w:val="24"/>
          <w:szCs w:val="24"/>
        </w:rPr>
        <w:t xml:space="preserve">ej </w:t>
      </w:r>
      <w:r w:rsidRPr="00FA4312">
        <w:rPr>
          <w:rFonts w:ascii="Times New Roman" w:hAnsi="Times New Roman" w:cs="Times New Roman"/>
          <w:bCs/>
          <w:sz w:val="24"/>
          <w:szCs w:val="24"/>
        </w:rPr>
        <w:t>w zakresie energii odnawialnej</w:t>
      </w:r>
      <w:r>
        <w:rPr>
          <w:rFonts w:ascii="Times New Roman" w:hAnsi="Times New Roman" w:cs="Times New Roman"/>
          <w:sz w:val="24"/>
          <w:szCs w:val="24"/>
        </w:rPr>
        <w:t xml:space="preserve">, o której mowa w art. 22 </w:t>
      </w:r>
      <w:r w:rsidR="00C85495" w:rsidRPr="00C85495">
        <w:rPr>
          <w:rFonts w:ascii="Times New Roman" w:hAnsi="Times New Roman" w:cs="Times New Roman"/>
          <w:sz w:val="24"/>
          <w:szCs w:val="24"/>
        </w:rPr>
        <w:t>dyrektyw</w:t>
      </w:r>
      <w:r w:rsidR="00C85495">
        <w:rPr>
          <w:rFonts w:ascii="Times New Roman" w:hAnsi="Times New Roman" w:cs="Times New Roman"/>
          <w:sz w:val="24"/>
          <w:szCs w:val="24"/>
        </w:rPr>
        <w:t>y</w:t>
      </w:r>
      <w:r w:rsidR="00C85495" w:rsidRPr="00C85495">
        <w:rPr>
          <w:rFonts w:ascii="Times New Roman" w:hAnsi="Times New Roman" w:cs="Times New Roman"/>
          <w:sz w:val="24"/>
          <w:szCs w:val="24"/>
        </w:rPr>
        <w:t xml:space="preserve"> Parlamentu Europejskiego i Rady 2018/2001 z dnia 11 grudnia 2018 r. w sprawie promowania stosowania energii ze źródeł odnawialnych, zwaną dalej „dyrektywą RED II”</w:t>
      </w:r>
      <w:r>
        <w:rPr>
          <w:rFonts w:ascii="Times New Roman" w:hAnsi="Times New Roman" w:cs="Times New Roman"/>
          <w:sz w:val="24"/>
          <w:szCs w:val="24"/>
        </w:rPr>
        <w:t>.</w:t>
      </w:r>
    </w:p>
    <w:p w14:paraId="49C95E7C" w14:textId="77777777" w:rsidR="00B93B66" w:rsidRDefault="00B93B66" w:rsidP="00B93B66">
      <w:pPr>
        <w:spacing w:after="120" w:line="360" w:lineRule="auto"/>
        <w:ind w:firstLine="709"/>
        <w:jc w:val="both"/>
        <w:rPr>
          <w:rFonts w:ascii="Times New Roman" w:hAnsi="Times New Roman" w:cs="Times New Roman"/>
          <w:sz w:val="24"/>
          <w:szCs w:val="24"/>
        </w:rPr>
      </w:pPr>
      <w:r>
        <w:rPr>
          <w:rFonts w:ascii="Times New Roman" w:hAnsi="Times New Roman" w:cs="Times New Roman"/>
          <w:sz w:val="24"/>
          <w:szCs w:val="24"/>
        </w:rPr>
        <w:t>Główne założenia obywatelskiej społeczności działającej w zakresie energii odnawialnej zostały wskazane w następujących motywach dyrektywy RED II:</w:t>
      </w:r>
    </w:p>
    <w:p w14:paraId="4D3A9E7A" w14:textId="1893DB0B" w:rsidR="00B93B66" w:rsidRDefault="00B93B66" w:rsidP="00B93B66">
      <w:pPr>
        <w:spacing w:after="120" w:line="360" w:lineRule="auto"/>
        <w:ind w:firstLine="709"/>
        <w:jc w:val="both"/>
        <w:rPr>
          <w:rFonts w:ascii="Times New Roman" w:hAnsi="Times New Roman" w:cs="Times New Roman"/>
          <w:sz w:val="24"/>
          <w:szCs w:val="24"/>
        </w:rPr>
      </w:pPr>
      <w:r>
        <w:rPr>
          <w:rFonts w:ascii="Times New Roman" w:hAnsi="Times New Roman" w:cs="Times New Roman"/>
          <w:sz w:val="24"/>
          <w:szCs w:val="24"/>
        </w:rPr>
        <w:t>1. U</w:t>
      </w:r>
      <w:r w:rsidRPr="00DA7175">
        <w:rPr>
          <w:rFonts w:ascii="Times New Roman" w:hAnsi="Times New Roman" w:cs="Times New Roman"/>
          <w:sz w:val="24"/>
          <w:szCs w:val="24"/>
        </w:rPr>
        <w:t xml:space="preserve">czestnictwo obywateli i władz lokalnych w projektach dotyczących energii odnawialnej za pośrednictwem społeczności energetycznych działających w zakresie energii </w:t>
      </w:r>
      <w:r w:rsidRPr="00DA7175">
        <w:rPr>
          <w:rFonts w:ascii="Times New Roman" w:hAnsi="Times New Roman" w:cs="Times New Roman"/>
          <w:sz w:val="24"/>
          <w:szCs w:val="24"/>
        </w:rPr>
        <w:lastRenderedPageBreak/>
        <w:t>odnawialnej przynosi znaczną wartość dodaną w postaci lokalnej akceptacji dla energii ze źródeł odnawialnych oraz dostępu do dodatkowego kapitału prywatnego, co z kolei skutkuje lokalnymi inwestycjami, większym wyborem dla konsumentów i powszechniejszym uczestnictwem obywateli w transformacji energetyki. Takie zaangażowanie lokalne jest jeszcze bardziej istotne w kontekście wzrostu mocy energii odnawialnej. Środki pozwalające społecznościom energetycznym działającym w zakresie energii odnawialnej konkurować na równych zasadach z innymi producentami mają również na celu zwiększenie udziału obywateli lokalnych w projektach dotyczących energii odnawialnej, a co za tym idzie, zwiększenie stopnia akc</w:t>
      </w:r>
      <w:r>
        <w:rPr>
          <w:rFonts w:ascii="Times New Roman" w:hAnsi="Times New Roman" w:cs="Times New Roman"/>
          <w:sz w:val="24"/>
          <w:szCs w:val="24"/>
        </w:rPr>
        <w:t>eptacji dla energii odnawialnej (pkt 70).</w:t>
      </w:r>
    </w:p>
    <w:p w14:paraId="5CDE8995" w14:textId="08A28555" w:rsidR="00B93B66" w:rsidRDefault="00B93B66" w:rsidP="00B93B66">
      <w:pPr>
        <w:spacing w:after="120" w:line="360" w:lineRule="auto"/>
        <w:ind w:firstLine="709"/>
        <w:jc w:val="both"/>
        <w:rPr>
          <w:rFonts w:ascii="Times New Roman" w:hAnsi="Times New Roman" w:cs="Times New Roman"/>
          <w:sz w:val="24"/>
          <w:szCs w:val="24"/>
        </w:rPr>
      </w:pPr>
      <w:r>
        <w:rPr>
          <w:rFonts w:ascii="Times New Roman" w:hAnsi="Times New Roman" w:cs="Times New Roman"/>
          <w:sz w:val="24"/>
          <w:szCs w:val="24"/>
        </w:rPr>
        <w:t>2. S</w:t>
      </w:r>
      <w:r w:rsidRPr="00FA4312">
        <w:rPr>
          <w:rFonts w:ascii="Times New Roman" w:hAnsi="Times New Roman" w:cs="Times New Roman"/>
          <w:sz w:val="24"/>
          <w:szCs w:val="24"/>
        </w:rPr>
        <w:t>pecyfika lokalnych społeczności energetycznych działających w zakresie energii odnawialnej pod względem wielkości, struktury własności i liczby projektów mogą ograniczać ich zdolność do konkurowania na równych zasadach z dużymi podmiotami, tj. konkurentami prowadzącymi większe projekty i szerszy zakres działalności. W związku z tym państwa członkowskie powinny mieć możliwość wybrania dla społeczności energetycznych działających w zakresie energii odnawialnej dowolnej formy podmiotu pod warunkiem, że podmiot taki może, działając w swoim imieniu, wykonywać prawa i podlegać obowiązkom. Aby zapobiec nadużyciom i zapewnić szerokie uczestnictwo, społeczności energetyczne działające w zakresie energii odnawialnej powinny być w stanie pozostać niezależne od poszczególnych członków i innych tradycyjnych uczestników rynku, którzy uczestniczą w danej społeczności w charakterze członków lub udziałowców lub którzy współpracują z nią za pośrednictwem innych środków, takich jak inwestycje. Uczestnictwo w projektach dotyczących energii odnawialnej powinno być otwarte dla wszystkich potencjalnych członków lokalnych w oparciu o obiektywne, przejrzyste i niedyskryminacyjne kryteria. Jednym ze środków mających zrównoważyć tę niekorzystną sytuację wynikającą ze specyfiki lokalnych społeczności energetycznych działających w zakresie energii odnawialnej pod względem wielkości, struktury własności i liczby projektów jest umożliwienie społecznościom energetycznym działającym w zakresie energii odnawialnej działania w ramach systemu energetycznego i ułatwienie im integracji rynkowej. Społeczności energetyczne działające w zakresie energii odnawialnej powinny mieć możli</w:t>
      </w:r>
      <w:r>
        <w:rPr>
          <w:rFonts w:ascii="Times New Roman" w:hAnsi="Times New Roman" w:cs="Times New Roman"/>
          <w:sz w:val="24"/>
          <w:szCs w:val="24"/>
        </w:rPr>
        <w:t>wość wymiany między sobą energii,</w:t>
      </w:r>
      <w:r w:rsidRPr="00FA4312">
        <w:rPr>
          <w:rFonts w:ascii="Times New Roman" w:hAnsi="Times New Roman" w:cs="Times New Roman"/>
          <w:sz w:val="24"/>
          <w:szCs w:val="24"/>
        </w:rPr>
        <w:t xml:space="preserve"> która jest produkowana przez instalacje należące do ich społeczności. Członkowie społeczności nie powinni jednak być zwolnieni z odpowiednich kosztów, opłat i podatków, które byłyby w podobnej sytuacji ponoszone przez odbiorców końcowych niebędących członkami społeczności lub producentów lub kiedy do tych transferów wykorzystuje się infrastrukturę sieci publicznej</w:t>
      </w:r>
      <w:r>
        <w:rPr>
          <w:rFonts w:ascii="Times New Roman" w:hAnsi="Times New Roman" w:cs="Times New Roman"/>
          <w:sz w:val="24"/>
          <w:szCs w:val="24"/>
        </w:rPr>
        <w:t xml:space="preserve"> (71).</w:t>
      </w:r>
    </w:p>
    <w:p w14:paraId="6050FC1C" w14:textId="77777777" w:rsidR="00B93B66" w:rsidRDefault="00B93B66" w:rsidP="00B93B66">
      <w:pPr>
        <w:spacing w:after="12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Wskazane wyżej założenia wpisują się w założenia leżące u podstaw obywatelskiej społeczności energetycznej z dyrektywy rynkowej. </w:t>
      </w:r>
    </w:p>
    <w:p w14:paraId="1DE495FE" w14:textId="77777777" w:rsidR="00B93B66" w:rsidRDefault="00B93B66" w:rsidP="00B93B66">
      <w:pPr>
        <w:spacing w:after="120" w:line="360" w:lineRule="auto"/>
        <w:ind w:firstLine="709"/>
        <w:jc w:val="both"/>
        <w:rPr>
          <w:rFonts w:ascii="Times New Roman" w:hAnsi="Times New Roman" w:cs="Times New Roman"/>
          <w:sz w:val="24"/>
          <w:szCs w:val="24"/>
        </w:rPr>
      </w:pPr>
      <w:r>
        <w:rPr>
          <w:rFonts w:ascii="Times New Roman" w:hAnsi="Times New Roman" w:cs="Times New Roman"/>
          <w:sz w:val="24"/>
          <w:szCs w:val="24"/>
        </w:rPr>
        <w:t>Do najważniejszych uprawnień, jakie państwo</w:t>
      </w:r>
      <w:r w:rsidRPr="00FA4312">
        <w:rPr>
          <w:rFonts w:ascii="Times New Roman" w:hAnsi="Times New Roman" w:cs="Times New Roman"/>
          <w:sz w:val="24"/>
          <w:szCs w:val="24"/>
        </w:rPr>
        <w:t xml:space="preserve"> członkowskie </w:t>
      </w:r>
      <w:r>
        <w:rPr>
          <w:rFonts w:ascii="Times New Roman" w:hAnsi="Times New Roman" w:cs="Times New Roman"/>
          <w:sz w:val="24"/>
          <w:szCs w:val="24"/>
        </w:rPr>
        <w:t xml:space="preserve">powinno zapewnić </w:t>
      </w:r>
      <w:r w:rsidRPr="00FA4312">
        <w:rPr>
          <w:rFonts w:ascii="Times New Roman" w:hAnsi="Times New Roman" w:cs="Times New Roman"/>
          <w:sz w:val="24"/>
          <w:szCs w:val="24"/>
        </w:rPr>
        <w:t xml:space="preserve">społeczności energetyczne </w:t>
      </w:r>
      <w:proofErr w:type="spellStart"/>
      <w:r>
        <w:rPr>
          <w:rFonts w:ascii="Times New Roman" w:hAnsi="Times New Roman" w:cs="Times New Roman"/>
          <w:sz w:val="24"/>
          <w:szCs w:val="24"/>
        </w:rPr>
        <w:t>oze</w:t>
      </w:r>
      <w:proofErr w:type="spellEnd"/>
      <w:r>
        <w:rPr>
          <w:rFonts w:ascii="Times New Roman" w:hAnsi="Times New Roman" w:cs="Times New Roman"/>
          <w:sz w:val="24"/>
          <w:szCs w:val="24"/>
        </w:rPr>
        <w:t xml:space="preserve"> - zgodnie z art. 22 dyrektywy RED II - jest prawo do </w:t>
      </w:r>
      <w:r w:rsidRPr="00FA4312">
        <w:rPr>
          <w:rFonts w:ascii="Times New Roman" w:hAnsi="Times New Roman" w:cs="Times New Roman"/>
          <w:sz w:val="24"/>
          <w:szCs w:val="24"/>
        </w:rPr>
        <w:t>produkcji</w:t>
      </w:r>
      <w:r>
        <w:rPr>
          <w:rFonts w:ascii="Times New Roman" w:hAnsi="Times New Roman" w:cs="Times New Roman"/>
          <w:sz w:val="24"/>
          <w:szCs w:val="24"/>
        </w:rPr>
        <w:t xml:space="preserve"> (wytwarzania)</w:t>
      </w:r>
      <w:r w:rsidRPr="00FA4312">
        <w:rPr>
          <w:rFonts w:ascii="Times New Roman" w:hAnsi="Times New Roman" w:cs="Times New Roman"/>
          <w:sz w:val="24"/>
          <w:szCs w:val="24"/>
        </w:rPr>
        <w:t>, zużywania, magazynowania i sprzedaży energii odnawialnej, w tym w drodze umów zakupu odnawialnej energii elektrycznej</w:t>
      </w:r>
      <w:r>
        <w:rPr>
          <w:rFonts w:ascii="Times New Roman" w:hAnsi="Times New Roman" w:cs="Times New Roman"/>
          <w:sz w:val="24"/>
          <w:szCs w:val="24"/>
        </w:rPr>
        <w:t xml:space="preserve">. </w:t>
      </w:r>
    </w:p>
    <w:p w14:paraId="655AE040" w14:textId="3BE5F62C" w:rsidR="00B93B66" w:rsidRDefault="00B93B66" w:rsidP="00E3420A">
      <w:pPr>
        <w:spacing w:after="120" w:line="360" w:lineRule="auto"/>
        <w:ind w:firstLine="709"/>
        <w:jc w:val="both"/>
        <w:rPr>
          <w:rFonts w:ascii="Times New Roman" w:hAnsi="Times New Roman" w:cs="Times New Roman"/>
          <w:sz w:val="24"/>
          <w:szCs w:val="24"/>
        </w:rPr>
      </w:pPr>
      <w:r>
        <w:rPr>
          <w:rFonts w:ascii="Times New Roman" w:hAnsi="Times New Roman" w:cs="Times New Roman"/>
          <w:sz w:val="24"/>
          <w:szCs w:val="24"/>
        </w:rPr>
        <w:t>W tym celu należy uwzględnić, że zgodnie z dyrektywą RED II</w:t>
      </w:r>
      <w:r>
        <w:rPr>
          <w:rFonts w:ascii="EUAlbertina" w:eastAsiaTheme="minorHAnsi" w:hAnsi="EUAlbertina" w:cs="EUAlbertina"/>
          <w:color w:val="000000"/>
          <w:sz w:val="19"/>
          <w:szCs w:val="19"/>
          <w:lang w:eastAsia="en-US"/>
        </w:rPr>
        <w:t xml:space="preserve">, </w:t>
      </w:r>
      <w:r w:rsidRPr="00B84E9E">
        <w:rPr>
          <w:rFonts w:ascii="Times New Roman" w:hAnsi="Times New Roman" w:cs="Times New Roman"/>
          <w:sz w:val="24"/>
          <w:szCs w:val="24"/>
        </w:rPr>
        <w:t xml:space="preserve">energia </w:t>
      </w:r>
      <w:r>
        <w:rPr>
          <w:rFonts w:ascii="Times New Roman" w:hAnsi="Times New Roman" w:cs="Times New Roman"/>
          <w:sz w:val="24"/>
          <w:szCs w:val="24"/>
        </w:rPr>
        <w:t>odnawialna</w:t>
      </w:r>
      <w:r w:rsidRPr="00B84E9E">
        <w:rPr>
          <w:rFonts w:ascii="Times New Roman" w:hAnsi="Times New Roman" w:cs="Times New Roman"/>
          <w:sz w:val="24"/>
          <w:szCs w:val="24"/>
        </w:rPr>
        <w:t xml:space="preserve"> oznacza energię z odnawialnych źródeł niekopalnych, a mianowicie energię wiatru, energię promieniowania słonecznego (energię słoneczną termiczną i energię fotowoltaiczną) oraz energię geotermalną, energię otoczenia, energię pływów, fal i inną energię oceanów, hydroenergię, biomasę oraz gaz pochodzący z wysypisk śmieci, oczyszczalni ścieków i ze źródeł biologicznych (bioga</w:t>
      </w:r>
      <w:r>
        <w:rPr>
          <w:rFonts w:ascii="Times New Roman" w:hAnsi="Times New Roman" w:cs="Times New Roman"/>
          <w:sz w:val="24"/>
          <w:szCs w:val="24"/>
        </w:rPr>
        <w:t xml:space="preserve">z). </w:t>
      </w:r>
    </w:p>
    <w:p w14:paraId="6A59F32E" w14:textId="366B1309" w:rsidR="00B93B66" w:rsidRDefault="00B93B66" w:rsidP="00B93B66">
      <w:pPr>
        <w:spacing w:after="12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W zakresie podmiotowym dyrektywa RED II wymaga, aby </w:t>
      </w:r>
      <w:r w:rsidRPr="001E0084">
        <w:rPr>
          <w:rFonts w:ascii="Times New Roman" w:hAnsi="Times New Roman" w:cs="Times New Roman"/>
          <w:sz w:val="24"/>
          <w:szCs w:val="24"/>
        </w:rPr>
        <w:t xml:space="preserve">społeczność energetyczna </w:t>
      </w:r>
      <w:proofErr w:type="spellStart"/>
      <w:r>
        <w:rPr>
          <w:rFonts w:ascii="Times New Roman" w:hAnsi="Times New Roman" w:cs="Times New Roman"/>
          <w:sz w:val="24"/>
          <w:szCs w:val="24"/>
        </w:rPr>
        <w:t>oze</w:t>
      </w:r>
      <w:proofErr w:type="spellEnd"/>
      <w:r w:rsidR="00E3420A">
        <w:rPr>
          <w:rFonts w:ascii="Times New Roman" w:hAnsi="Times New Roman" w:cs="Times New Roman"/>
          <w:sz w:val="24"/>
          <w:szCs w:val="24"/>
        </w:rPr>
        <w:t xml:space="preserve"> </w:t>
      </w:r>
      <w:r>
        <w:rPr>
          <w:rFonts w:ascii="Times New Roman" w:hAnsi="Times New Roman" w:cs="Times New Roman"/>
          <w:sz w:val="24"/>
          <w:szCs w:val="24"/>
        </w:rPr>
        <w:t xml:space="preserve">opierała się </w:t>
      </w:r>
      <w:r w:rsidRPr="001E0084">
        <w:rPr>
          <w:rFonts w:ascii="Times New Roman" w:hAnsi="Times New Roman" w:cs="Times New Roman"/>
          <w:sz w:val="24"/>
          <w:szCs w:val="24"/>
        </w:rPr>
        <w:t>na otwar</w:t>
      </w:r>
      <w:r>
        <w:rPr>
          <w:rFonts w:ascii="Times New Roman" w:hAnsi="Times New Roman" w:cs="Times New Roman"/>
          <w:sz w:val="24"/>
          <w:szCs w:val="24"/>
        </w:rPr>
        <w:t>tym i dobrowolnym uczestnictwie oraz była niezależna</w:t>
      </w:r>
      <w:r w:rsidRPr="001E0084">
        <w:rPr>
          <w:rFonts w:ascii="Times New Roman" w:hAnsi="Times New Roman" w:cs="Times New Roman"/>
          <w:sz w:val="24"/>
          <w:szCs w:val="24"/>
        </w:rPr>
        <w:t xml:space="preserve"> </w:t>
      </w:r>
      <w:r>
        <w:rPr>
          <w:rFonts w:ascii="Times New Roman" w:hAnsi="Times New Roman" w:cs="Times New Roman"/>
          <w:sz w:val="24"/>
          <w:szCs w:val="24"/>
        </w:rPr>
        <w:br/>
      </w:r>
      <w:r w:rsidRPr="001E0084">
        <w:rPr>
          <w:rFonts w:ascii="Times New Roman" w:hAnsi="Times New Roman" w:cs="Times New Roman"/>
          <w:sz w:val="24"/>
          <w:szCs w:val="24"/>
        </w:rPr>
        <w:t xml:space="preserve">i </w:t>
      </w:r>
      <w:r>
        <w:rPr>
          <w:rFonts w:ascii="Times New Roman" w:hAnsi="Times New Roman" w:cs="Times New Roman"/>
          <w:sz w:val="24"/>
          <w:szCs w:val="24"/>
        </w:rPr>
        <w:t>skutecznie kontrolowana</w:t>
      </w:r>
      <w:r w:rsidRPr="001E0084">
        <w:rPr>
          <w:rFonts w:ascii="Times New Roman" w:hAnsi="Times New Roman" w:cs="Times New Roman"/>
          <w:sz w:val="24"/>
          <w:szCs w:val="24"/>
        </w:rPr>
        <w:t xml:space="preserve"> przez udziałowców lub członków zlokalizowanych w niewielkiej odległości od projektów dotyczących energii odnawialnej będących własnością tego podmiotu pra</w:t>
      </w:r>
      <w:r>
        <w:rPr>
          <w:rFonts w:ascii="Times New Roman" w:hAnsi="Times New Roman" w:cs="Times New Roman"/>
          <w:sz w:val="24"/>
          <w:szCs w:val="24"/>
        </w:rPr>
        <w:t>wnego i przez niego rozwijanych. Ponadto, jej udziałowcami lub członkami</w:t>
      </w:r>
      <w:r w:rsidRPr="001E0084">
        <w:rPr>
          <w:rFonts w:ascii="Times New Roman" w:hAnsi="Times New Roman" w:cs="Times New Roman"/>
          <w:sz w:val="24"/>
          <w:szCs w:val="24"/>
        </w:rPr>
        <w:t xml:space="preserve"> </w:t>
      </w:r>
      <w:r>
        <w:rPr>
          <w:rFonts w:ascii="Times New Roman" w:hAnsi="Times New Roman" w:cs="Times New Roman"/>
          <w:sz w:val="24"/>
          <w:szCs w:val="24"/>
        </w:rPr>
        <w:t>powinny być</w:t>
      </w:r>
      <w:r w:rsidRPr="001E0084">
        <w:rPr>
          <w:rFonts w:ascii="Times New Roman" w:hAnsi="Times New Roman" w:cs="Times New Roman"/>
          <w:sz w:val="24"/>
          <w:szCs w:val="24"/>
        </w:rPr>
        <w:t xml:space="preserve"> </w:t>
      </w:r>
      <w:r>
        <w:rPr>
          <w:rFonts w:ascii="Times New Roman" w:hAnsi="Times New Roman" w:cs="Times New Roman"/>
          <w:sz w:val="24"/>
          <w:szCs w:val="24"/>
        </w:rPr>
        <w:t>osoby fizyczne</w:t>
      </w:r>
      <w:r w:rsidRPr="001E0084">
        <w:rPr>
          <w:rFonts w:ascii="Times New Roman" w:hAnsi="Times New Roman" w:cs="Times New Roman"/>
          <w:sz w:val="24"/>
          <w:szCs w:val="24"/>
        </w:rPr>
        <w:t xml:space="preserve">, </w:t>
      </w:r>
      <w:r>
        <w:rPr>
          <w:rFonts w:ascii="Times New Roman" w:hAnsi="Times New Roman" w:cs="Times New Roman"/>
          <w:sz w:val="24"/>
          <w:szCs w:val="24"/>
        </w:rPr>
        <w:t>małe i średnie przedsiębiorstwa lub organy lokalne</w:t>
      </w:r>
      <w:r w:rsidRPr="001E0084">
        <w:rPr>
          <w:rFonts w:ascii="Times New Roman" w:hAnsi="Times New Roman" w:cs="Times New Roman"/>
          <w:sz w:val="24"/>
          <w:szCs w:val="24"/>
        </w:rPr>
        <w:t>, w ty</w:t>
      </w:r>
      <w:r>
        <w:rPr>
          <w:rFonts w:ascii="Times New Roman" w:hAnsi="Times New Roman" w:cs="Times New Roman"/>
          <w:sz w:val="24"/>
          <w:szCs w:val="24"/>
        </w:rPr>
        <w:t>m gminnymi.</w:t>
      </w:r>
    </w:p>
    <w:p w14:paraId="600E19E6" w14:textId="5F91E996" w:rsidR="00B93B66" w:rsidRPr="00D479FE" w:rsidRDefault="00B93B66" w:rsidP="00B93B66">
      <w:pPr>
        <w:spacing w:after="120" w:line="360" w:lineRule="auto"/>
        <w:ind w:firstLine="510"/>
        <w:jc w:val="both"/>
        <w:rPr>
          <w:rFonts w:ascii="Times New Roman" w:hAnsi="Times New Roman" w:cs="Times New Roman"/>
          <w:sz w:val="24"/>
          <w:szCs w:val="24"/>
        </w:rPr>
      </w:pPr>
      <w:r>
        <w:rPr>
          <w:rFonts w:ascii="Times New Roman" w:hAnsi="Times New Roman" w:cs="Times New Roman"/>
          <w:sz w:val="24"/>
          <w:szCs w:val="24"/>
        </w:rPr>
        <w:t>Dyrektywa RED II nie zabrania społecznościom wykonywania działalności ekonomicznie opłacalnej, jednak nastawienie na zysk nie powinno stanowić jej podstawowego celu. Zarówno katalog form prawnych, jak i brzmienie definicji społeczności w niniejszym projekcie spełniają te założenie.</w:t>
      </w:r>
      <w:r w:rsidRPr="00D479FE">
        <w:rPr>
          <w:rFonts w:ascii="Times New Roman" w:hAnsi="Times New Roman" w:cs="Times New Roman"/>
          <w:sz w:val="24"/>
          <w:szCs w:val="24"/>
        </w:rPr>
        <w:t xml:space="preserve"> </w:t>
      </w:r>
      <w:r>
        <w:rPr>
          <w:rFonts w:ascii="Times New Roman" w:hAnsi="Times New Roman" w:cs="Times New Roman"/>
          <w:sz w:val="24"/>
          <w:szCs w:val="24"/>
        </w:rPr>
        <w:t>Realizują wymóg, aby p</w:t>
      </w:r>
      <w:r w:rsidRPr="00D479FE">
        <w:rPr>
          <w:rFonts w:ascii="Times New Roman" w:hAnsi="Times New Roman" w:cs="Times New Roman"/>
          <w:sz w:val="24"/>
          <w:szCs w:val="24"/>
        </w:rPr>
        <w:t xml:space="preserve">odstawowym celem społeczności energetycznej </w:t>
      </w:r>
      <w:proofErr w:type="spellStart"/>
      <w:r w:rsidRPr="00D479FE">
        <w:rPr>
          <w:rFonts w:ascii="Times New Roman" w:hAnsi="Times New Roman" w:cs="Times New Roman"/>
          <w:sz w:val="24"/>
          <w:szCs w:val="24"/>
        </w:rPr>
        <w:t>oze</w:t>
      </w:r>
      <w:proofErr w:type="spellEnd"/>
      <w:r w:rsidRPr="00D479FE">
        <w:rPr>
          <w:rFonts w:ascii="Times New Roman" w:hAnsi="Times New Roman" w:cs="Times New Roman"/>
          <w:sz w:val="24"/>
          <w:szCs w:val="24"/>
        </w:rPr>
        <w:t xml:space="preserve"> </w:t>
      </w:r>
      <w:r>
        <w:rPr>
          <w:rFonts w:ascii="Times New Roman" w:hAnsi="Times New Roman" w:cs="Times New Roman"/>
          <w:sz w:val="24"/>
          <w:szCs w:val="24"/>
        </w:rPr>
        <w:t xml:space="preserve">było </w:t>
      </w:r>
      <w:r w:rsidRPr="00D479FE">
        <w:rPr>
          <w:rFonts w:ascii="Times New Roman" w:hAnsi="Times New Roman" w:cs="Times New Roman"/>
          <w:sz w:val="24"/>
          <w:szCs w:val="24"/>
        </w:rPr>
        <w:t>przede wszystkim przynoszenie korzyści środowiskowych, ekonomicznych lub społecznych jego udziałowcom, członkom lub lokalnym</w:t>
      </w:r>
      <w:r>
        <w:rPr>
          <w:rFonts w:ascii="Times New Roman" w:hAnsi="Times New Roman" w:cs="Times New Roman"/>
          <w:sz w:val="24"/>
          <w:szCs w:val="24"/>
        </w:rPr>
        <w:t xml:space="preserve"> obszarom, na których on działa,</w:t>
      </w:r>
      <w:r w:rsidRPr="00D479FE">
        <w:rPr>
          <w:rFonts w:ascii="Times New Roman" w:hAnsi="Times New Roman" w:cs="Times New Roman"/>
          <w:sz w:val="24"/>
          <w:szCs w:val="24"/>
        </w:rPr>
        <w:t xml:space="preserve"> zamiast przynoszenia zysków finansowych,</w:t>
      </w:r>
    </w:p>
    <w:p w14:paraId="1804815F" w14:textId="6037A60C" w:rsidR="00B93B66" w:rsidRDefault="00B93B66" w:rsidP="00B93B66">
      <w:pPr>
        <w:spacing w:after="12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Odrębnością dyrektywy RED II jest wymóg, aby społeczność energetyczna </w:t>
      </w:r>
      <w:proofErr w:type="spellStart"/>
      <w:r>
        <w:rPr>
          <w:rFonts w:ascii="Times New Roman" w:hAnsi="Times New Roman" w:cs="Times New Roman"/>
          <w:sz w:val="24"/>
          <w:szCs w:val="24"/>
        </w:rPr>
        <w:t>oze</w:t>
      </w:r>
      <w:proofErr w:type="spellEnd"/>
      <w:r>
        <w:rPr>
          <w:rFonts w:ascii="Times New Roman" w:hAnsi="Times New Roman" w:cs="Times New Roman"/>
          <w:sz w:val="24"/>
          <w:szCs w:val="24"/>
        </w:rPr>
        <w:t xml:space="preserve"> była  skutecznie kontrolowana</w:t>
      </w:r>
      <w:r w:rsidRPr="001E0084">
        <w:rPr>
          <w:rFonts w:ascii="Times New Roman" w:hAnsi="Times New Roman" w:cs="Times New Roman"/>
          <w:sz w:val="24"/>
          <w:szCs w:val="24"/>
        </w:rPr>
        <w:t xml:space="preserve"> przez udziałowców lub członków zlokalizowanych w niewielkiej odległości od projektów dotyczących energii odnawialnej będących własnością tego podmiotu pra</w:t>
      </w:r>
      <w:r>
        <w:rPr>
          <w:rFonts w:ascii="Times New Roman" w:hAnsi="Times New Roman" w:cs="Times New Roman"/>
          <w:sz w:val="24"/>
          <w:szCs w:val="24"/>
        </w:rPr>
        <w:t xml:space="preserve">wnego i przez niego rozwijanych. Takie zastrzeżenie wprowadza konieczność wprowadzenia szczególnej regulacji w przypadku, kiedy lokalna społeczność energetyczna będzie prowadzić działalność tylko w zakresie odnawialnych źródeł energii (formuła społeczności energetycznej </w:t>
      </w:r>
      <w:proofErr w:type="spellStart"/>
      <w:r>
        <w:rPr>
          <w:rFonts w:ascii="Times New Roman" w:hAnsi="Times New Roman" w:cs="Times New Roman"/>
          <w:sz w:val="24"/>
          <w:szCs w:val="24"/>
        </w:rPr>
        <w:t>oze</w:t>
      </w:r>
      <w:proofErr w:type="spellEnd"/>
      <w:r>
        <w:rPr>
          <w:rFonts w:ascii="Times New Roman" w:hAnsi="Times New Roman" w:cs="Times New Roman"/>
          <w:sz w:val="24"/>
          <w:szCs w:val="24"/>
        </w:rPr>
        <w:t xml:space="preserve"> z RED II). </w:t>
      </w:r>
    </w:p>
    <w:p w14:paraId="7FE3D3CD" w14:textId="71C7DFFC" w:rsidR="00B93B66" w:rsidRDefault="00B93B66" w:rsidP="00B93B66">
      <w:pPr>
        <w:spacing w:after="12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W takim przypadku </w:t>
      </w:r>
      <w:r w:rsidRPr="00950A10">
        <w:rPr>
          <w:rFonts w:ascii="Times New Roman" w:hAnsi="Times New Roman" w:cs="Times New Roman"/>
          <w:sz w:val="24"/>
          <w:szCs w:val="24"/>
        </w:rPr>
        <w:t xml:space="preserve">uprawnienia decyzyjne i kontrolne </w:t>
      </w:r>
      <w:r>
        <w:rPr>
          <w:rFonts w:ascii="Times New Roman" w:hAnsi="Times New Roman" w:cs="Times New Roman"/>
          <w:sz w:val="24"/>
          <w:szCs w:val="24"/>
        </w:rPr>
        <w:t xml:space="preserve">będą </w:t>
      </w:r>
      <w:r w:rsidRPr="00950A10">
        <w:rPr>
          <w:rFonts w:ascii="Times New Roman" w:hAnsi="Times New Roman" w:cs="Times New Roman"/>
          <w:sz w:val="24"/>
          <w:szCs w:val="24"/>
        </w:rPr>
        <w:t>przysług</w:t>
      </w:r>
      <w:r>
        <w:rPr>
          <w:rFonts w:ascii="Times New Roman" w:hAnsi="Times New Roman" w:cs="Times New Roman"/>
          <w:sz w:val="24"/>
          <w:szCs w:val="24"/>
        </w:rPr>
        <w:t xml:space="preserve">iwać </w:t>
      </w:r>
      <w:r w:rsidRPr="00950A10">
        <w:rPr>
          <w:rFonts w:ascii="Times New Roman" w:hAnsi="Times New Roman" w:cs="Times New Roman"/>
          <w:sz w:val="24"/>
          <w:szCs w:val="24"/>
        </w:rPr>
        <w:t>członkom, udziałowcom lub wspólnikom posiadającym miejsce zamieszkania lub siedzibę na terenie działania operatora systemu dystrybucyjnego elektroenergetycznego.</w:t>
      </w:r>
      <w:r>
        <w:rPr>
          <w:rFonts w:ascii="Times New Roman" w:hAnsi="Times New Roman" w:cs="Times New Roman"/>
          <w:sz w:val="24"/>
          <w:szCs w:val="24"/>
        </w:rPr>
        <w:t xml:space="preserve"> Równocześnie, dodano możliwość wykonywania uprawnień </w:t>
      </w:r>
      <w:proofErr w:type="spellStart"/>
      <w:r>
        <w:rPr>
          <w:rFonts w:ascii="Times New Roman" w:hAnsi="Times New Roman" w:cs="Times New Roman"/>
          <w:sz w:val="24"/>
          <w:szCs w:val="24"/>
        </w:rPr>
        <w:t>decyz</w:t>
      </w:r>
      <w:r w:rsidR="00547805">
        <w:rPr>
          <w:rFonts w:ascii="Times New Roman" w:hAnsi="Times New Roman" w:cs="Times New Roman"/>
          <w:sz w:val="24"/>
          <w:szCs w:val="24"/>
        </w:rPr>
        <w:t>yjno</w:t>
      </w:r>
      <w:proofErr w:type="spellEnd"/>
      <w:r>
        <w:rPr>
          <w:rFonts w:ascii="Times New Roman" w:hAnsi="Times New Roman" w:cs="Times New Roman"/>
          <w:sz w:val="24"/>
          <w:szCs w:val="24"/>
        </w:rPr>
        <w:t xml:space="preserve">–kontrolnych także średnim przedsiębiorcom. Zgodnie z dyrektywą RED II, społeczność </w:t>
      </w:r>
      <w:proofErr w:type="spellStart"/>
      <w:r>
        <w:rPr>
          <w:rFonts w:ascii="Times New Roman" w:hAnsi="Times New Roman" w:cs="Times New Roman"/>
          <w:sz w:val="24"/>
          <w:szCs w:val="24"/>
        </w:rPr>
        <w:t>oze</w:t>
      </w:r>
      <w:proofErr w:type="spellEnd"/>
      <w:r>
        <w:rPr>
          <w:rFonts w:ascii="Times New Roman" w:hAnsi="Times New Roman" w:cs="Times New Roman"/>
          <w:sz w:val="24"/>
          <w:szCs w:val="24"/>
        </w:rPr>
        <w:t xml:space="preserve"> powinna być skutecznie kontrolowania przez udziałowców lub członków, a do nich dyrektywa zalicza także średnich przedsiębiorców</w:t>
      </w:r>
      <w:r w:rsidR="00547805">
        <w:rPr>
          <w:rFonts w:ascii="Times New Roman" w:hAnsi="Times New Roman" w:cs="Times New Roman"/>
          <w:sz w:val="24"/>
          <w:szCs w:val="24"/>
        </w:rPr>
        <w:t xml:space="preserve"> (art. 11zi ust. 2 i 3)</w:t>
      </w:r>
      <w:r>
        <w:rPr>
          <w:rFonts w:ascii="Times New Roman" w:hAnsi="Times New Roman" w:cs="Times New Roman"/>
          <w:sz w:val="24"/>
          <w:szCs w:val="24"/>
        </w:rPr>
        <w:t>.</w:t>
      </w:r>
    </w:p>
    <w:p w14:paraId="62416BD0" w14:textId="17ADBD54" w:rsidR="00B93B66" w:rsidRDefault="00B93B66" w:rsidP="00B93B66">
      <w:pPr>
        <w:spacing w:after="12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Z uwagi na cel dyrektywy, jakim jest rozwój </w:t>
      </w:r>
      <w:proofErr w:type="spellStart"/>
      <w:r>
        <w:rPr>
          <w:rFonts w:ascii="Times New Roman" w:hAnsi="Times New Roman" w:cs="Times New Roman"/>
          <w:sz w:val="24"/>
          <w:szCs w:val="24"/>
        </w:rPr>
        <w:t>oze</w:t>
      </w:r>
      <w:proofErr w:type="spellEnd"/>
      <w:r>
        <w:rPr>
          <w:rFonts w:ascii="Times New Roman" w:hAnsi="Times New Roman" w:cs="Times New Roman"/>
          <w:sz w:val="24"/>
          <w:szCs w:val="24"/>
        </w:rPr>
        <w:t xml:space="preserve">, oraz przynoszenie korzyści społecznościom w wymiarze lokalnym, dodane zostało uprawnienie do wykonywania uprawnień </w:t>
      </w:r>
      <w:proofErr w:type="spellStart"/>
      <w:r>
        <w:rPr>
          <w:rFonts w:ascii="Times New Roman" w:hAnsi="Times New Roman" w:cs="Times New Roman"/>
          <w:sz w:val="24"/>
          <w:szCs w:val="24"/>
        </w:rPr>
        <w:t>decyz</w:t>
      </w:r>
      <w:r w:rsidR="00547805">
        <w:rPr>
          <w:rFonts w:ascii="Times New Roman" w:hAnsi="Times New Roman" w:cs="Times New Roman"/>
          <w:sz w:val="24"/>
          <w:szCs w:val="24"/>
        </w:rPr>
        <w:t>yjno</w:t>
      </w:r>
      <w:proofErr w:type="spellEnd"/>
      <w:r>
        <w:rPr>
          <w:rFonts w:ascii="Times New Roman" w:hAnsi="Times New Roman" w:cs="Times New Roman"/>
          <w:sz w:val="24"/>
          <w:szCs w:val="24"/>
        </w:rPr>
        <w:t xml:space="preserve">–kontrolnych przez podmioty naukowe i badawcze określone w ustawie </w:t>
      </w:r>
      <w:r w:rsidRPr="00950A10">
        <w:rPr>
          <w:rFonts w:ascii="Times New Roman" w:hAnsi="Times New Roman" w:cs="Times New Roman"/>
          <w:sz w:val="24"/>
          <w:szCs w:val="24"/>
        </w:rPr>
        <w:t>Prawo o szkolnictwie wyższym i nauce</w:t>
      </w:r>
      <w:r>
        <w:rPr>
          <w:rFonts w:ascii="Times New Roman" w:hAnsi="Times New Roman" w:cs="Times New Roman"/>
          <w:sz w:val="24"/>
          <w:szCs w:val="24"/>
        </w:rPr>
        <w:t xml:space="preserve">. Wprowadzone rozwiązanie powinno dodatkowo zaktywizować i wzmocnić potencjał lokalnej współpracy w zakresie rozwoju </w:t>
      </w:r>
      <w:proofErr w:type="spellStart"/>
      <w:r>
        <w:rPr>
          <w:rFonts w:ascii="Times New Roman" w:hAnsi="Times New Roman" w:cs="Times New Roman"/>
          <w:sz w:val="24"/>
          <w:szCs w:val="24"/>
        </w:rPr>
        <w:t>oze</w:t>
      </w:r>
      <w:proofErr w:type="spellEnd"/>
      <w:r>
        <w:rPr>
          <w:rFonts w:ascii="Times New Roman" w:hAnsi="Times New Roman" w:cs="Times New Roman"/>
          <w:sz w:val="24"/>
          <w:szCs w:val="24"/>
        </w:rPr>
        <w:t xml:space="preserve"> dzięki zachęcie dla świata nauki do czynnego uczestniczenia w lokalnej społeczności energetycznej.</w:t>
      </w:r>
    </w:p>
    <w:p w14:paraId="02D1ECA6" w14:textId="449F5FD1" w:rsidR="00B93B66" w:rsidRDefault="00B93B66" w:rsidP="00B93B66">
      <w:pPr>
        <w:spacing w:after="12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Z punktu widzenia potrzeby uwzględnienia wymiaru lokalnego, społeczność energetyczna </w:t>
      </w:r>
      <w:proofErr w:type="spellStart"/>
      <w:r>
        <w:rPr>
          <w:rFonts w:ascii="Times New Roman" w:hAnsi="Times New Roman" w:cs="Times New Roman"/>
          <w:sz w:val="24"/>
          <w:szCs w:val="24"/>
        </w:rPr>
        <w:t>oze</w:t>
      </w:r>
      <w:proofErr w:type="spellEnd"/>
      <w:r>
        <w:rPr>
          <w:rFonts w:ascii="Times New Roman" w:hAnsi="Times New Roman" w:cs="Times New Roman"/>
          <w:sz w:val="24"/>
          <w:szCs w:val="24"/>
        </w:rPr>
        <w:t xml:space="preserve"> nie powinna mieć możliwości działania ogólnokrajowego. Z drugiej strony obszar ten nie powinien być zbyt mały, aby umożliwić współpracę między podmiotami, które nie są zlokalizowane w bliskiej odległości od siebie, co jest szczególnie istotne z punktu widzenia zróżnicowania kraju pod względem gęstości zaludnienia, poziomu rozwoju gospodarczego oraz dostępu do infrastruktury sieciowej. Kierując się zasadą proporcjonalności, w projekcie dokonano ograniczenia działalności</w:t>
      </w:r>
      <w:r w:rsidRPr="00C361D5">
        <w:rPr>
          <w:rFonts w:ascii="Times New Roman" w:hAnsi="Times New Roman" w:cs="Times New Roman"/>
          <w:sz w:val="24"/>
          <w:szCs w:val="24"/>
        </w:rPr>
        <w:t xml:space="preserve"> </w:t>
      </w:r>
      <w:r>
        <w:rPr>
          <w:rFonts w:ascii="Times New Roman" w:hAnsi="Times New Roman" w:cs="Times New Roman"/>
          <w:sz w:val="24"/>
          <w:szCs w:val="24"/>
        </w:rPr>
        <w:t>do obszaru</w:t>
      </w:r>
      <w:r w:rsidRPr="00C361D5">
        <w:rPr>
          <w:rFonts w:ascii="Times New Roman" w:hAnsi="Times New Roman" w:cs="Times New Roman"/>
          <w:sz w:val="24"/>
          <w:szCs w:val="24"/>
        </w:rPr>
        <w:t xml:space="preserve"> działania jednego operatora systemu dystrybucyjnego elektroenergetycznego</w:t>
      </w:r>
      <w:r>
        <w:rPr>
          <w:rFonts w:ascii="Times New Roman" w:hAnsi="Times New Roman" w:cs="Times New Roman"/>
          <w:sz w:val="24"/>
          <w:szCs w:val="24"/>
        </w:rPr>
        <w:t>, co nie powinno stwarzać przeszkody dla rozwoju społeczności energetycznych na obszarach słabiej rozwiniętych, a przeciwnie – tworzyć zachęty do podjęcia współpracy w takiej formule.</w:t>
      </w:r>
    </w:p>
    <w:p w14:paraId="312BACF8" w14:textId="77777777" w:rsidR="009E0E0A" w:rsidRPr="00950A10" w:rsidRDefault="009E0E0A" w:rsidP="00B93B66">
      <w:pPr>
        <w:spacing w:after="120" w:line="360" w:lineRule="auto"/>
        <w:ind w:firstLine="709"/>
        <w:jc w:val="both"/>
        <w:rPr>
          <w:rFonts w:ascii="Times New Roman" w:hAnsi="Times New Roman" w:cs="Times New Roman"/>
          <w:sz w:val="24"/>
          <w:szCs w:val="24"/>
        </w:rPr>
      </w:pPr>
    </w:p>
    <w:p w14:paraId="76E64590" w14:textId="1212DB8D" w:rsidR="00A70D0B" w:rsidRPr="00613198" w:rsidRDefault="009E6E51" w:rsidP="00867AEE">
      <w:pPr>
        <w:spacing w:after="120" w:line="360" w:lineRule="auto"/>
        <w:ind w:firstLine="708"/>
        <w:jc w:val="both"/>
        <w:rPr>
          <w:rFonts w:ascii="Times New Roman" w:hAnsi="Times New Roman" w:cs="Times New Roman"/>
          <w:sz w:val="24"/>
          <w:szCs w:val="24"/>
        </w:rPr>
      </w:pPr>
      <w:r w:rsidRPr="00613198">
        <w:rPr>
          <w:rFonts w:ascii="Times New Roman" w:hAnsi="Times New Roman" w:cs="Times New Roman"/>
          <w:b/>
          <w:sz w:val="24"/>
          <w:szCs w:val="24"/>
        </w:rPr>
        <w:t>Ad 4</w:t>
      </w:r>
      <w:r w:rsidR="00A74805" w:rsidRPr="00613198">
        <w:rPr>
          <w:rFonts w:ascii="Times New Roman" w:hAnsi="Times New Roman" w:cs="Times New Roman"/>
          <w:b/>
          <w:sz w:val="24"/>
          <w:szCs w:val="24"/>
        </w:rPr>
        <w:t>.</w:t>
      </w:r>
      <w:r w:rsidR="00A74805" w:rsidRPr="00613198">
        <w:rPr>
          <w:rFonts w:ascii="Times New Roman" w:hAnsi="Times New Roman" w:cs="Times New Roman"/>
          <w:sz w:val="24"/>
          <w:szCs w:val="24"/>
        </w:rPr>
        <w:t xml:space="preserve"> </w:t>
      </w:r>
      <w:r w:rsidR="008404C8" w:rsidRPr="00613198">
        <w:rPr>
          <w:rFonts w:ascii="Times New Roman" w:hAnsi="Times New Roman" w:cs="Times New Roman"/>
          <w:b/>
          <w:sz w:val="24"/>
          <w:szCs w:val="24"/>
        </w:rPr>
        <w:t xml:space="preserve">Umowa z ceną dynamiczną </w:t>
      </w:r>
      <w:r w:rsidR="002A4C8D">
        <w:rPr>
          <w:rFonts w:ascii="Times New Roman" w:hAnsi="Times New Roman" w:cs="Times New Roman"/>
          <w:b/>
          <w:sz w:val="24"/>
          <w:szCs w:val="24"/>
        </w:rPr>
        <w:t>energii elektrycznej</w:t>
      </w:r>
    </w:p>
    <w:p w14:paraId="3902FC31" w14:textId="3AF62F92" w:rsidR="00A77025" w:rsidRDefault="00F407B7" w:rsidP="00101198">
      <w:pPr>
        <w:spacing w:after="120" w:line="360" w:lineRule="auto"/>
        <w:ind w:firstLine="708"/>
        <w:jc w:val="both"/>
        <w:rPr>
          <w:rFonts w:ascii="Times New Roman" w:hAnsi="Times New Roman" w:cs="Times New Roman"/>
          <w:sz w:val="24"/>
          <w:szCs w:val="24"/>
        </w:rPr>
      </w:pPr>
      <w:r w:rsidRPr="00613198">
        <w:rPr>
          <w:rFonts w:ascii="Times New Roman" w:hAnsi="Times New Roman" w:cs="Times New Roman"/>
          <w:sz w:val="24"/>
          <w:szCs w:val="24"/>
        </w:rPr>
        <w:t>W projekcie ustawy wprowadzono definicję umów z ceną dynamiczną</w:t>
      </w:r>
      <w:r w:rsidR="002A4C8D">
        <w:rPr>
          <w:rFonts w:ascii="Times New Roman" w:hAnsi="Times New Roman" w:cs="Times New Roman"/>
          <w:sz w:val="24"/>
          <w:szCs w:val="24"/>
        </w:rPr>
        <w:t xml:space="preserve"> energii elektrycznej</w:t>
      </w:r>
      <w:r w:rsidRPr="00613198">
        <w:rPr>
          <w:rFonts w:ascii="Times New Roman" w:hAnsi="Times New Roman" w:cs="Times New Roman"/>
          <w:sz w:val="24"/>
          <w:szCs w:val="24"/>
        </w:rPr>
        <w:t xml:space="preserve"> doprecyzowując, że częstotliwość rozliczeń na rynku jest równa okresowi rozliczania niezbilansowania w rozumieniu art. 2 pkt 15</w:t>
      </w:r>
      <w:r w:rsidR="00E251A7" w:rsidRPr="00E251A7">
        <w:t xml:space="preserve"> </w:t>
      </w:r>
      <w:r w:rsidR="00E251A7" w:rsidRPr="00E251A7">
        <w:rPr>
          <w:rFonts w:ascii="Times New Roman" w:hAnsi="Times New Roman" w:cs="Times New Roman"/>
          <w:sz w:val="24"/>
          <w:szCs w:val="24"/>
        </w:rPr>
        <w:t>rozporządzenia Parlamentu Europejskiego i Rady (UE) nr 2019/943 z dnia 5 czerwca 2019 r. w sprawie rynku wewnętrznego energii elektrycznej</w:t>
      </w:r>
      <w:r w:rsidR="00E251A7">
        <w:rPr>
          <w:rFonts w:ascii="Times New Roman" w:hAnsi="Times New Roman" w:cs="Times New Roman"/>
          <w:sz w:val="24"/>
          <w:szCs w:val="24"/>
        </w:rPr>
        <w:t>, zwanego dalej</w:t>
      </w:r>
      <w:r w:rsidRPr="00613198">
        <w:rPr>
          <w:rFonts w:ascii="Times New Roman" w:hAnsi="Times New Roman" w:cs="Times New Roman"/>
          <w:sz w:val="24"/>
          <w:szCs w:val="24"/>
        </w:rPr>
        <w:t xml:space="preserve"> </w:t>
      </w:r>
      <w:r w:rsidR="00E251A7">
        <w:rPr>
          <w:rFonts w:ascii="Times New Roman" w:hAnsi="Times New Roman" w:cs="Times New Roman"/>
          <w:sz w:val="24"/>
          <w:szCs w:val="24"/>
        </w:rPr>
        <w:t>„</w:t>
      </w:r>
      <w:r w:rsidRPr="00613198">
        <w:rPr>
          <w:rFonts w:ascii="Times New Roman" w:hAnsi="Times New Roman" w:cs="Times New Roman"/>
          <w:sz w:val="24"/>
          <w:szCs w:val="24"/>
        </w:rPr>
        <w:t>rozporządzeni</w:t>
      </w:r>
      <w:r w:rsidR="00E251A7">
        <w:rPr>
          <w:rFonts w:ascii="Times New Roman" w:hAnsi="Times New Roman" w:cs="Times New Roman"/>
          <w:sz w:val="24"/>
          <w:szCs w:val="24"/>
        </w:rPr>
        <w:t>em</w:t>
      </w:r>
      <w:r w:rsidRPr="00613198">
        <w:rPr>
          <w:rFonts w:ascii="Times New Roman" w:hAnsi="Times New Roman" w:cs="Times New Roman"/>
          <w:sz w:val="24"/>
          <w:szCs w:val="24"/>
        </w:rPr>
        <w:t xml:space="preserve"> 2019/943</w:t>
      </w:r>
      <w:r w:rsidR="00E251A7">
        <w:rPr>
          <w:rFonts w:ascii="Times New Roman" w:hAnsi="Times New Roman" w:cs="Times New Roman"/>
          <w:sz w:val="24"/>
          <w:szCs w:val="24"/>
        </w:rPr>
        <w:t>”</w:t>
      </w:r>
      <w:r w:rsidR="006B4DB6">
        <w:rPr>
          <w:rFonts w:ascii="Times New Roman" w:hAnsi="Times New Roman" w:cs="Times New Roman"/>
          <w:sz w:val="24"/>
          <w:szCs w:val="24"/>
        </w:rPr>
        <w:t>.</w:t>
      </w:r>
      <w:r w:rsidRPr="00613198">
        <w:rPr>
          <w:rFonts w:ascii="Times New Roman" w:hAnsi="Times New Roman" w:cs="Times New Roman"/>
          <w:sz w:val="24"/>
          <w:szCs w:val="24"/>
        </w:rPr>
        <w:t xml:space="preserve"> W praktyce okres ten wynosi 15 minut. Uzupełniono treść art. 5 ustawy – </w:t>
      </w:r>
      <w:r w:rsidR="00BF79A7" w:rsidRPr="00613198">
        <w:rPr>
          <w:rFonts w:ascii="Times New Roman" w:hAnsi="Times New Roman" w:cs="Times New Roman"/>
          <w:sz w:val="24"/>
          <w:szCs w:val="24"/>
        </w:rPr>
        <w:t>Prawo energetyczne</w:t>
      </w:r>
      <w:r w:rsidR="00AF4A03" w:rsidRPr="00613198">
        <w:rPr>
          <w:rFonts w:ascii="Times New Roman" w:hAnsi="Times New Roman" w:cs="Times New Roman"/>
          <w:sz w:val="24"/>
          <w:szCs w:val="24"/>
        </w:rPr>
        <w:t>,</w:t>
      </w:r>
      <w:r w:rsidRPr="00613198">
        <w:rPr>
          <w:rFonts w:ascii="Times New Roman" w:hAnsi="Times New Roman" w:cs="Times New Roman"/>
          <w:sz w:val="24"/>
          <w:szCs w:val="24"/>
        </w:rPr>
        <w:t xml:space="preserve"> nakładając na sprzedawcę energii elektrycznej stosującego umowę z ceną dynamiczną </w:t>
      </w:r>
      <w:r w:rsidR="006B4DB6">
        <w:rPr>
          <w:rFonts w:ascii="Times New Roman" w:hAnsi="Times New Roman" w:cs="Times New Roman"/>
          <w:sz w:val="24"/>
          <w:szCs w:val="24"/>
        </w:rPr>
        <w:t xml:space="preserve">energii elektrycznej </w:t>
      </w:r>
      <w:r w:rsidRPr="00613198">
        <w:rPr>
          <w:rFonts w:ascii="Times New Roman" w:hAnsi="Times New Roman" w:cs="Times New Roman"/>
          <w:sz w:val="24"/>
          <w:szCs w:val="24"/>
        </w:rPr>
        <w:lastRenderedPageBreak/>
        <w:t>obowiązki informacyjne co do nowych możliwości na rynku energii elektrycznej. Należy zaznaczyć, że tylko odbiorca końcowy posiadający zainstalowany licznik zdalnego odczytu będzie w stanie skorzystać z ofert z cen</w:t>
      </w:r>
      <w:r w:rsidR="00906607" w:rsidRPr="00613198">
        <w:rPr>
          <w:rFonts w:ascii="Times New Roman" w:hAnsi="Times New Roman" w:cs="Times New Roman"/>
          <w:sz w:val="24"/>
          <w:szCs w:val="24"/>
        </w:rPr>
        <w:t>ą</w:t>
      </w:r>
      <w:r w:rsidRPr="00613198">
        <w:rPr>
          <w:rFonts w:ascii="Times New Roman" w:hAnsi="Times New Roman" w:cs="Times New Roman"/>
          <w:sz w:val="24"/>
          <w:szCs w:val="24"/>
        </w:rPr>
        <w:t xml:space="preserve"> dynamiczną, ze względu na częstotliwość pomiarów energii elektrycznej w porównani</w:t>
      </w:r>
      <w:r w:rsidR="00906607" w:rsidRPr="00613198">
        <w:rPr>
          <w:rFonts w:ascii="Times New Roman" w:hAnsi="Times New Roman" w:cs="Times New Roman"/>
          <w:sz w:val="24"/>
          <w:szCs w:val="24"/>
        </w:rPr>
        <w:t>u</w:t>
      </w:r>
      <w:r w:rsidRPr="00613198">
        <w:rPr>
          <w:rFonts w:ascii="Times New Roman" w:hAnsi="Times New Roman" w:cs="Times New Roman"/>
          <w:sz w:val="24"/>
          <w:szCs w:val="24"/>
        </w:rPr>
        <w:t xml:space="preserve"> z licznikami konwencjonalnymi. Ustawodawca unijny ograniczył obowiązek prowadzenia sprzedaży energii elektrycznej na podstawie umowy z ceną dynamiczną energii elektrycznej do tych sprzedawców, którzy obsługują 200 000 odbiorców końcowych. Podmiotami, które będą w posiadaniu informacji na temat cen i stawek opłat na okresy doby następnej będą praktycznie giełdy towarowe oraz wyznaczeni operatorzy rynku energii elektrycznej w rozumieniu rozporządzenia Komisji (UE) 2015/1222 z dnia 24 lipca 2015 r. ustanawiającego wytyczne dotyczące alokacji zdolności przesyłowych i zarządzania ograniczeniami przesyłowymi. W związku z powyższym</w:t>
      </w:r>
      <w:r w:rsidR="006B4DB6">
        <w:rPr>
          <w:rFonts w:ascii="Times New Roman" w:hAnsi="Times New Roman" w:cs="Times New Roman"/>
          <w:sz w:val="24"/>
          <w:szCs w:val="24"/>
        </w:rPr>
        <w:t>,</w:t>
      </w:r>
      <w:r w:rsidRPr="00613198">
        <w:rPr>
          <w:rFonts w:ascii="Times New Roman" w:hAnsi="Times New Roman" w:cs="Times New Roman"/>
          <w:sz w:val="24"/>
          <w:szCs w:val="24"/>
        </w:rPr>
        <w:t xml:space="preserve"> to na te podmioty nałożono obowiązki informacyjne w tym zakresie wynikające z przepisów </w:t>
      </w:r>
      <w:r w:rsidR="006B4DB6">
        <w:rPr>
          <w:rFonts w:ascii="Times New Roman" w:hAnsi="Times New Roman" w:cs="Times New Roman"/>
          <w:sz w:val="24"/>
          <w:szCs w:val="24"/>
        </w:rPr>
        <w:t>p</w:t>
      </w:r>
      <w:r w:rsidR="006B4DB6" w:rsidRPr="00613198">
        <w:rPr>
          <w:rFonts w:ascii="Times New Roman" w:hAnsi="Times New Roman" w:cs="Times New Roman"/>
          <w:sz w:val="24"/>
          <w:szCs w:val="24"/>
        </w:rPr>
        <w:t xml:space="preserve">rawa </w:t>
      </w:r>
      <w:r w:rsidR="006B4DB6">
        <w:rPr>
          <w:rFonts w:ascii="Times New Roman" w:hAnsi="Times New Roman" w:cs="Times New Roman"/>
          <w:sz w:val="24"/>
          <w:szCs w:val="24"/>
        </w:rPr>
        <w:t>unijnego</w:t>
      </w:r>
      <w:r w:rsidRPr="00613198">
        <w:rPr>
          <w:rFonts w:ascii="Times New Roman" w:hAnsi="Times New Roman" w:cs="Times New Roman"/>
          <w:sz w:val="24"/>
          <w:szCs w:val="24"/>
        </w:rPr>
        <w:t>. Jedną z cech charaktery</w:t>
      </w:r>
      <w:r w:rsidR="00B861D7" w:rsidRPr="00613198">
        <w:rPr>
          <w:rFonts w:ascii="Times New Roman" w:hAnsi="Times New Roman" w:cs="Times New Roman"/>
          <w:sz w:val="24"/>
          <w:szCs w:val="24"/>
        </w:rPr>
        <w:t>stycznych umów z ceną dynamiczną</w:t>
      </w:r>
      <w:r w:rsidR="006B4DB6">
        <w:rPr>
          <w:rFonts w:ascii="Times New Roman" w:hAnsi="Times New Roman" w:cs="Times New Roman"/>
          <w:sz w:val="24"/>
          <w:szCs w:val="24"/>
        </w:rPr>
        <w:t xml:space="preserve"> energii elektrycznej</w:t>
      </w:r>
      <w:r w:rsidRPr="00613198">
        <w:rPr>
          <w:rFonts w:ascii="Times New Roman" w:hAnsi="Times New Roman" w:cs="Times New Roman"/>
          <w:sz w:val="24"/>
          <w:szCs w:val="24"/>
        </w:rPr>
        <w:t xml:space="preserve"> jest ryzyko jakie niesie za sobą różna cena energii elektrycznej w danym momencie. Dlatego też </w:t>
      </w:r>
      <w:r w:rsidR="00B861D7" w:rsidRPr="00613198">
        <w:rPr>
          <w:rFonts w:ascii="Times New Roman" w:hAnsi="Times New Roman" w:cs="Times New Roman"/>
          <w:sz w:val="24"/>
          <w:szCs w:val="24"/>
        </w:rPr>
        <w:t>s</w:t>
      </w:r>
      <w:r w:rsidRPr="00613198">
        <w:rPr>
          <w:rFonts w:ascii="Times New Roman" w:hAnsi="Times New Roman" w:cs="Times New Roman"/>
          <w:sz w:val="24"/>
          <w:szCs w:val="24"/>
        </w:rPr>
        <w:t>przedawca energii elektrycznej stosujący umowy z ceną dynamiczną energii elektrycznej został zobowiązany do informowania odbiorców końcowych, w sposób przejrzysty i zrozumiały, o kosztach i korzyściach</w:t>
      </w:r>
      <w:r w:rsidR="00B861D7" w:rsidRPr="00613198">
        <w:rPr>
          <w:rFonts w:ascii="Times New Roman" w:hAnsi="Times New Roman" w:cs="Times New Roman"/>
          <w:sz w:val="24"/>
          <w:szCs w:val="24"/>
        </w:rPr>
        <w:t>,</w:t>
      </w:r>
      <w:r w:rsidRPr="00613198">
        <w:rPr>
          <w:rFonts w:ascii="Times New Roman" w:hAnsi="Times New Roman" w:cs="Times New Roman"/>
          <w:sz w:val="24"/>
          <w:szCs w:val="24"/>
        </w:rPr>
        <w:t xml:space="preserve"> a także o ryzykach związanych z umowami z cenami dynamicznymi energii elektrycznej oraz o konieczności zainstalowania licznika zdalnego odczytu w celu skorzystania z możliwości zawarcia takiej umowy. </w:t>
      </w:r>
    </w:p>
    <w:p w14:paraId="6B6358F1" w14:textId="16017F92" w:rsidR="00105CE1" w:rsidRDefault="00F407B7" w:rsidP="00101198">
      <w:pPr>
        <w:spacing w:after="120" w:line="360" w:lineRule="auto"/>
        <w:ind w:firstLine="708"/>
        <w:jc w:val="both"/>
        <w:rPr>
          <w:rFonts w:ascii="Times New Roman" w:hAnsi="Times New Roman" w:cs="Times New Roman"/>
          <w:sz w:val="24"/>
          <w:szCs w:val="24"/>
        </w:rPr>
      </w:pPr>
      <w:r w:rsidRPr="00613198">
        <w:rPr>
          <w:rFonts w:ascii="Times New Roman" w:hAnsi="Times New Roman" w:cs="Times New Roman"/>
          <w:sz w:val="24"/>
          <w:szCs w:val="24"/>
        </w:rPr>
        <w:t>W celu zapewnienia przejrzystości</w:t>
      </w:r>
      <w:r w:rsidR="00B861D7" w:rsidRPr="00613198">
        <w:rPr>
          <w:rFonts w:ascii="Times New Roman" w:hAnsi="Times New Roman" w:cs="Times New Roman"/>
          <w:sz w:val="24"/>
          <w:szCs w:val="24"/>
        </w:rPr>
        <w:t>,</w:t>
      </w:r>
      <w:r w:rsidRPr="00613198">
        <w:rPr>
          <w:rFonts w:ascii="Times New Roman" w:hAnsi="Times New Roman" w:cs="Times New Roman"/>
          <w:sz w:val="24"/>
          <w:szCs w:val="24"/>
        </w:rPr>
        <w:t xml:space="preserve"> na regulatora – Prezesa URE</w:t>
      </w:r>
      <w:r w:rsidR="00B861D7" w:rsidRPr="00613198">
        <w:rPr>
          <w:rFonts w:ascii="Times New Roman" w:hAnsi="Times New Roman" w:cs="Times New Roman"/>
          <w:sz w:val="24"/>
          <w:szCs w:val="24"/>
        </w:rPr>
        <w:t>,</w:t>
      </w:r>
      <w:r w:rsidRPr="00613198">
        <w:rPr>
          <w:rFonts w:ascii="Times New Roman" w:hAnsi="Times New Roman" w:cs="Times New Roman"/>
          <w:sz w:val="24"/>
          <w:szCs w:val="24"/>
        </w:rPr>
        <w:t xml:space="preserve"> został nałożony obowiązek monitorowania sytuacji na rynku energii elektrycznej związanej z cenami dynamicznymi. Wprowadzono także zmiany dostos</w:t>
      </w:r>
      <w:r w:rsidR="00B861D7" w:rsidRPr="00613198">
        <w:rPr>
          <w:rFonts w:ascii="Times New Roman" w:hAnsi="Times New Roman" w:cs="Times New Roman"/>
          <w:sz w:val="24"/>
          <w:szCs w:val="24"/>
        </w:rPr>
        <w:t>owujące</w:t>
      </w:r>
      <w:r w:rsidRPr="00613198">
        <w:rPr>
          <w:rFonts w:ascii="Times New Roman" w:hAnsi="Times New Roman" w:cs="Times New Roman"/>
          <w:sz w:val="24"/>
          <w:szCs w:val="24"/>
        </w:rPr>
        <w:t xml:space="preserve"> w przepisach (np. art. 45a ustawy – </w:t>
      </w:r>
      <w:r w:rsidR="00BF79A7" w:rsidRPr="00613198">
        <w:rPr>
          <w:rFonts w:ascii="Times New Roman" w:hAnsi="Times New Roman" w:cs="Times New Roman"/>
          <w:sz w:val="24"/>
          <w:szCs w:val="24"/>
        </w:rPr>
        <w:t>Prawo energetyczne</w:t>
      </w:r>
      <w:r w:rsidRPr="00613198">
        <w:rPr>
          <w:rFonts w:ascii="Times New Roman" w:hAnsi="Times New Roman" w:cs="Times New Roman"/>
          <w:sz w:val="24"/>
          <w:szCs w:val="24"/>
        </w:rPr>
        <w:t xml:space="preserve">) związane z nową </w:t>
      </w:r>
      <w:r w:rsidR="000476D6" w:rsidRPr="00613198">
        <w:rPr>
          <w:rFonts w:ascii="Times New Roman" w:hAnsi="Times New Roman" w:cs="Times New Roman"/>
          <w:sz w:val="24"/>
          <w:szCs w:val="24"/>
        </w:rPr>
        <w:t>sytuacj</w:t>
      </w:r>
      <w:r w:rsidR="000476D6">
        <w:rPr>
          <w:rFonts w:ascii="Times New Roman" w:hAnsi="Times New Roman" w:cs="Times New Roman"/>
          <w:sz w:val="24"/>
          <w:szCs w:val="24"/>
        </w:rPr>
        <w:t>ą</w:t>
      </w:r>
      <w:r w:rsidR="000476D6" w:rsidRPr="00613198">
        <w:rPr>
          <w:rFonts w:ascii="Times New Roman" w:hAnsi="Times New Roman" w:cs="Times New Roman"/>
          <w:sz w:val="24"/>
          <w:szCs w:val="24"/>
        </w:rPr>
        <w:t xml:space="preserve"> </w:t>
      </w:r>
      <w:r w:rsidRPr="00613198">
        <w:rPr>
          <w:rFonts w:ascii="Times New Roman" w:hAnsi="Times New Roman" w:cs="Times New Roman"/>
          <w:sz w:val="24"/>
          <w:szCs w:val="24"/>
        </w:rPr>
        <w:t>na rynku energii elektrycznej. Co do zasady przepisy dotyczące umów z cen</w:t>
      </w:r>
      <w:r w:rsidR="00010D01" w:rsidRPr="00613198">
        <w:rPr>
          <w:rFonts w:ascii="Times New Roman" w:hAnsi="Times New Roman" w:cs="Times New Roman"/>
          <w:sz w:val="24"/>
          <w:szCs w:val="24"/>
        </w:rPr>
        <w:t>ą</w:t>
      </w:r>
      <w:r w:rsidRPr="00613198">
        <w:rPr>
          <w:rFonts w:ascii="Times New Roman" w:hAnsi="Times New Roman" w:cs="Times New Roman"/>
          <w:sz w:val="24"/>
          <w:szCs w:val="24"/>
        </w:rPr>
        <w:t xml:space="preserve"> dynamiczną będą mogły w pełni zadziałać w momencie zainstalowania liczników zdalnego odczytu oraz uruchomienia systemów zdalnego odczytu oraz Centralnego Systemu Informacji Rynku Energii. Utworzenie tych systemów jest niezbędne w celu zagwarantowania przejrzystości cen energii elektrycznej na rynku, możliwości ich porównania i szybkiego reagowania na zmieniające się okoliczności.</w:t>
      </w:r>
    </w:p>
    <w:p w14:paraId="5287B0B2" w14:textId="77777777" w:rsidR="009E0E0A" w:rsidRPr="00613198" w:rsidRDefault="009E0E0A" w:rsidP="00101198">
      <w:pPr>
        <w:spacing w:after="120" w:line="360" w:lineRule="auto"/>
        <w:ind w:firstLine="708"/>
        <w:jc w:val="both"/>
        <w:rPr>
          <w:rFonts w:ascii="Times New Roman" w:hAnsi="Times New Roman" w:cs="Times New Roman"/>
          <w:b/>
          <w:sz w:val="24"/>
          <w:szCs w:val="24"/>
        </w:rPr>
      </w:pPr>
    </w:p>
    <w:p w14:paraId="5D580A5D" w14:textId="7BE7BE9C" w:rsidR="00722871" w:rsidRPr="00613198" w:rsidRDefault="009E6E51" w:rsidP="00FB4958">
      <w:pPr>
        <w:spacing w:after="120" w:line="360" w:lineRule="auto"/>
        <w:ind w:firstLine="708"/>
        <w:jc w:val="both"/>
        <w:rPr>
          <w:rFonts w:ascii="Times New Roman" w:hAnsi="Times New Roman" w:cs="Times New Roman"/>
          <w:sz w:val="24"/>
          <w:szCs w:val="24"/>
        </w:rPr>
      </w:pPr>
      <w:r w:rsidRPr="00613198">
        <w:rPr>
          <w:rFonts w:ascii="Times New Roman" w:hAnsi="Times New Roman" w:cs="Times New Roman"/>
          <w:b/>
          <w:sz w:val="24"/>
          <w:szCs w:val="24"/>
        </w:rPr>
        <w:t>Ad 5</w:t>
      </w:r>
      <w:r w:rsidR="00234351" w:rsidRPr="00613198">
        <w:rPr>
          <w:rFonts w:ascii="Times New Roman" w:hAnsi="Times New Roman" w:cs="Times New Roman"/>
          <w:b/>
          <w:sz w:val="24"/>
          <w:szCs w:val="24"/>
        </w:rPr>
        <w:t xml:space="preserve"> i 6</w:t>
      </w:r>
      <w:r w:rsidR="00DF7AF2" w:rsidRPr="00613198">
        <w:rPr>
          <w:rFonts w:ascii="Times New Roman" w:hAnsi="Times New Roman" w:cs="Times New Roman"/>
          <w:b/>
          <w:sz w:val="24"/>
          <w:szCs w:val="24"/>
        </w:rPr>
        <w:t>.</w:t>
      </w:r>
      <w:r w:rsidR="00DF7AF2" w:rsidRPr="00613198">
        <w:rPr>
          <w:rFonts w:ascii="Times New Roman" w:hAnsi="Times New Roman" w:cs="Times New Roman"/>
          <w:sz w:val="24"/>
          <w:szCs w:val="24"/>
        </w:rPr>
        <w:t xml:space="preserve"> </w:t>
      </w:r>
      <w:r w:rsidR="00722871" w:rsidRPr="00613198">
        <w:rPr>
          <w:rFonts w:ascii="Times New Roman" w:hAnsi="Times New Roman" w:cs="Times New Roman"/>
          <w:b/>
          <w:sz w:val="24"/>
          <w:szCs w:val="24"/>
        </w:rPr>
        <w:t>Odpowiedź odbioru</w:t>
      </w:r>
    </w:p>
    <w:p w14:paraId="15927285" w14:textId="77777777" w:rsidR="00DF7AF2" w:rsidRPr="00613198" w:rsidRDefault="009E6E51" w:rsidP="009E6E51">
      <w:pPr>
        <w:spacing w:after="120" w:line="360" w:lineRule="auto"/>
        <w:ind w:firstLine="708"/>
        <w:jc w:val="both"/>
        <w:rPr>
          <w:rFonts w:ascii="Times New Roman" w:hAnsi="Times New Roman" w:cs="Times New Roman"/>
          <w:sz w:val="24"/>
          <w:szCs w:val="24"/>
        </w:rPr>
      </w:pPr>
      <w:r w:rsidRPr="00613198">
        <w:rPr>
          <w:rFonts w:ascii="Times New Roman" w:hAnsi="Times New Roman" w:cs="Times New Roman"/>
          <w:sz w:val="24"/>
          <w:szCs w:val="24"/>
        </w:rPr>
        <w:t>W projekcie ustawy wprowadza się ramy prawne dla fu</w:t>
      </w:r>
      <w:r w:rsidR="0027047B" w:rsidRPr="00613198">
        <w:rPr>
          <w:rFonts w:ascii="Times New Roman" w:hAnsi="Times New Roman" w:cs="Times New Roman"/>
          <w:sz w:val="24"/>
          <w:szCs w:val="24"/>
        </w:rPr>
        <w:t xml:space="preserve">nkcjonowania odpowiedzi odbioru, </w:t>
      </w:r>
      <w:r w:rsidRPr="00613198">
        <w:rPr>
          <w:rFonts w:ascii="Times New Roman" w:hAnsi="Times New Roman" w:cs="Times New Roman"/>
          <w:sz w:val="24"/>
          <w:szCs w:val="24"/>
        </w:rPr>
        <w:t>agregacji</w:t>
      </w:r>
      <w:r w:rsidR="0027047B" w:rsidRPr="00613198">
        <w:rPr>
          <w:rFonts w:ascii="Times New Roman" w:hAnsi="Times New Roman" w:cs="Times New Roman"/>
          <w:sz w:val="24"/>
          <w:szCs w:val="24"/>
        </w:rPr>
        <w:t xml:space="preserve"> i odbiorcy aktywnego</w:t>
      </w:r>
      <w:r w:rsidRPr="00613198">
        <w:rPr>
          <w:rFonts w:ascii="Times New Roman" w:hAnsi="Times New Roman" w:cs="Times New Roman"/>
          <w:sz w:val="24"/>
          <w:szCs w:val="24"/>
        </w:rPr>
        <w:t xml:space="preserve">. </w:t>
      </w:r>
    </w:p>
    <w:p w14:paraId="2E401EE6" w14:textId="078B7381" w:rsidR="009E6E51" w:rsidRPr="00613198" w:rsidRDefault="009E6E51" w:rsidP="009E6E51">
      <w:pPr>
        <w:spacing w:after="120" w:line="360" w:lineRule="auto"/>
        <w:ind w:firstLine="708"/>
        <w:jc w:val="both"/>
        <w:rPr>
          <w:rFonts w:ascii="Times New Roman" w:hAnsi="Times New Roman" w:cs="Times New Roman"/>
          <w:sz w:val="24"/>
          <w:szCs w:val="24"/>
        </w:rPr>
      </w:pPr>
      <w:r w:rsidRPr="00613198">
        <w:rPr>
          <w:rFonts w:ascii="Times New Roman" w:hAnsi="Times New Roman" w:cs="Times New Roman"/>
          <w:sz w:val="24"/>
          <w:szCs w:val="24"/>
        </w:rPr>
        <w:lastRenderedPageBreak/>
        <w:t xml:space="preserve">Odpowiedź odbioru należy rozumieć jako zmianę </w:t>
      </w:r>
      <w:r w:rsidR="00D818CE">
        <w:rPr>
          <w:rFonts w:ascii="Times New Roman" w:hAnsi="Times New Roman" w:cs="Times New Roman"/>
          <w:sz w:val="24"/>
          <w:szCs w:val="24"/>
        </w:rPr>
        <w:t>zużycia</w:t>
      </w:r>
      <w:r w:rsidR="00D818CE" w:rsidRPr="00613198">
        <w:rPr>
          <w:rFonts w:ascii="Times New Roman" w:hAnsi="Times New Roman" w:cs="Times New Roman"/>
          <w:sz w:val="24"/>
          <w:szCs w:val="24"/>
        </w:rPr>
        <w:t xml:space="preserve"> </w:t>
      </w:r>
      <w:r w:rsidRPr="00613198">
        <w:rPr>
          <w:rFonts w:ascii="Times New Roman" w:hAnsi="Times New Roman" w:cs="Times New Roman"/>
          <w:sz w:val="24"/>
          <w:szCs w:val="24"/>
        </w:rPr>
        <w:t xml:space="preserve">energii elektrycznej </w:t>
      </w:r>
      <w:r w:rsidR="0043736D">
        <w:rPr>
          <w:rFonts w:ascii="Times New Roman" w:hAnsi="Times New Roman" w:cs="Times New Roman"/>
          <w:sz w:val="24"/>
          <w:szCs w:val="24"/>
        </w:rPr>
        <w:t xml:space="preserve">przez </w:t>
      </w:r>
      <w:r w:rsidRPr="00613198">
        <w:rPr>
          <w:rFonts w:ascii="Times New Roman" w:hAnsi="Times New Roman" w:cs="Times New Roman"/>
          <w:sz w:val="24"/>
          <w:szCs w:val="24"/>
        </w:rPr>
        <w:t>odbiorc</w:t>
      </w:r>
      <w:r w:rsidR="00D818CE">
        <w:rPr>
          <w:rFonts w:ascii="Times New Roman" w:hAnsi="Times New Roman" w:cs="Times New Roman"/>
          <w:sz w:val="24"/>
          <w:szCs w:val="24"/>
        </w:rPr>
        <w:t xml:space="preserve">y </w:t>
      </w:r>
      <w:r w:rsidRPr="00613198">
        <w:rPr>
          <w:rFonts w:ascii="Times New Roman" w:hAnsi="Times New Roman" w:cs="Times New Roman"/>
          <w:sz w:val="24"/>
          <w:szCs w:val="24"/>
        </w:rPr>
        <w:t>końcow</w:t>
      </w:r>
      <w:r w:rsidR="00D818CE">
        <w:rPr>
          <w:rFonts w:ascii="Times New Roman" w:hAnsi="Times New Roman" w:cs="Times New Roman"/>
          <w:sz w:val="24"/>
          <w:szCs w:val="24"/>
        </w:rPr>
        <w:t>ego</w:t>
      </w:r>
      <w:r w:rsidRPr="00613198">
        <w:rPr>
          <w:rFonts w:ascii="Times New Roman" w:hAnsi="Times New Roman" w:cs="Times New Roman"/>
          <w:sz w:val="24"/>
          <w:szCs w:val="24"/>
        </w:rPr>
        <w:t xml:space="preserve"> w stosunku do </w:t>
      </w:r>
      <w:r w:rsidR="00D818CE">
        <w:rPr>
          <w:rFonts w:ascii="Times New Roman" w:hAnsi="Times New Roman" w:cs="Times New Roman"/>
          <w:sz w:val="24"/>
          <w:szCs w:val="24"/>
        </w:rPr>
        <w:t>jego</w:t>
      </w:r>
      <w:r w:rsidRPr="00613198">
        <w:rPr>
          <w:rFonts w:ascii="Times New Roman" w:hAnsi="Times New Roman" w:cs="Times New Roman"/>
          <w:sz w:val="24"/>
          <w:szCs w:val="24"/>
        </w:rPr>
        <w:t xml:space="preserve"> zwykłego lub bieżącego </w:t>
      </w:r>
      <w:r w:rsidR="00D818CE">
        <w:rPr>
          <w:rFonts w:ascii="Times New Roman" w:hAnsi="Times New Roman" w:cs="Times New Roman"/>
          <w:sz w:val="24"/>
          <w:szCs w:val="24"/>
        </w:rPr>
        <w:t>zużycia</w:t>
      </w:r>
      <w:r w:rsidRPr="00613198">
        <w:rPr>
          <w:rFonts w:ascii="Times New Roman" w:hAnsi="Times New Roman" w:cs="Times New Roman"/>
          <w:sz w:val="24"/>
          <w:szCs w:val="24"/>
        </w:rPr>
        <w:t xml:space="preserve"> energii elektrycznej w odpowiedzi na sygnały rynkowe, tj. w odpowiedzi na zmienne w czasie ceny energii elektrycznej lub zachęty finansowe, bądź w następstwie przyjęcia oferty odbiorcy końcowego, która została złożona indywidualnie lub w ramach agregacji, dotyczącej sprzedaży zmniejszenia lub zwiększenia zapotrzebowania po cenie obowiązującej na rynku energii elektrycznej. </w:t>
      </w:r>
    </w:p>
    <w:p w14:paraId="6CEE3B70" w14:textId="77777777" w:rsidR="009E6E51" w:rsidRPr="00613198" w:rsidRDefault="00581EAE" w:rsidP="009E6E51">
      <w:pPr>
        <w:spacing w:after="120" w:line="360" w:lineRule="auto"/>
        <w:ind w:firstLine="708"/>
        <w:jc w:val="both"/>
        <w:rPr>
          <w:rFonts w:ascii="Times New Roman" w:hAnsi="Times New Roman" w:cs="Times New Roman"/>
          <w:sz w:val="24"/>
          <w:szCs w:val="24"/>
        </w:rPr>
      </w:pPr>
      <w:r w:rsidRPr="00613198">
        <w:rPr>
          <w:rFonts w:ascii="Times New Roman" w:hAnsi="Times New Roman" w:cs="Times New Roman"/>
          <w:sz w:val="24"/>
          <w:szCs w:val="24"/>
        </w:rPr>
        <w:t xml:space="preserve">Dyrektywa </w:t>
      </w:r>
      <w:r w:rsidR="009E6E51" w:rsidRPr="00613198">
        <w:rPr>
          <w:rFonts w:ascii="Times New Roman" w:hAnsi="Times New Roman" w:cs="Times New Roman"/>
          <w:sz w:val="24"/>
          <w:szCs w:val="24"/>
        </w:rPr>
        <w:t>2019/944 obliguje</w:t>
      </w:r>
      <w:r w:rsidRPr="00613198">
        <w:rPr>
          <w:rFonts w:ascii="Times New Roman" w:hAnsi="Times New Roman" w:cs="Times New Roman"/>
          <w:sz w:val="24"/>
          <w:szCs w:val="24"/>
        </w:rPr>
        <w:t xml:space="preserve"> państwa członkowskie</w:t>
      </w:r>
      <w:r w:rsidR="009E6E51" w:rsidRPr="00613198">
        <w:rPr>
          <w:rFonts w:ascii="Times New Roman" w:hAnsi="Times New Roman" w:cs="Times New Roman"/>
          <w:sz w:val="24"/>
          <w:szCs w:val="24"/>
        </w:rPr>
        <w:t xml:space="preserve"> do wprowadzenia ram prawnych zapewniających wszystkim konsumentom </w:t>
      </w:r>
      <w:r w:rsidRPr="00613198">
        <w:rPr>
          <w:rFonts w:ascii="Times New Roman" w:hAnsi="Times New Roman" w:cs="Times New Roman"/>
          <w:sz w:val="24"/>
          <w:szCs w:val="24"/>
        </w:rPr>
        <w:t>możliwoś</w:t>
      </w:r>
      <w:r w:rsidR="00DF7AF2" w:rsidRPr="00613198">
        <w:rPr>
          <w:rFonts w:ascii="Times New Roman" w:hAnsi="Times New Roman" w:cs="Times New Roman"/>
          <w:sz w:val="24"/>
          <w:szCs w:val="24"/>
        </w:rPr>
        <w:t>ci</w:t>
      </w:r>
      <w:r w:rsidR="009E6E51" w:rsidRPr="00613198">
        <w:rPr>
          <w:rFonts w:ascii="Times New Roman" w:hAnsi="Times New Roman" w:cs="Times New Roman"/>
          <w:sz w:val="24"/>
          <w:szCs w:val="24"/>
        </w:rPr>
        <w:t xml:space="preserve"> czerpania korzyści z ich bezpośredniego uczestnictwa w rynku, w szczególności poprzez dostosowywanie swojego zużycia energii w odpowiedzi na sygnały rynkowe, w zamian za korzystanie z niższych cen energii lub innych zachęt finansowych. </w:t>
      </w:r>
    </w:p>
    <w:p w14:paraId="0A6B2862" w14:textId="26C7B126" w:rsidR="009E6E51" w:rsidRPr="00613198" w:rsidRDefault="009E6E51" w:rsidP="009E6E51">
      <w:pPr>
        <w:spacing w:after="120" w:line="360" w:lineRule="auto"/>
        <w:ind w:firstLine="708"/>
        <w:jc w:val="both"/>
        <w:rPr>
          <w:rFonts w:ascii="Times New Roman" w:hAnsi="Times New Roman" w:cs="Times New Roman"/>
          <w:sz w:val="24"/>
          <w:szCs w:val="24"/>
        </w:rPr>
      </w:pPr>
      <w:r w:rsidRPr="00613198">
        <w:rPr>
          <w:rFonts w:ascii="Times New Roman" w:hAnsi="Times New Roman" w:cs="Times New Roman"/>
          <w:sz w:val="24"/>
          <w:szCs w:val="24"/>
        </w:rPr>
        <w:t xml:space="preserve">W związku z tym, </w:t>
      </w:r>
      <w:r w:rsidR="00581EAE" w:rsidRPr="00613198">
        <w:rPr>
          <w:rFonts w:ascii="Times New Roman" w:hAnsi="Times New Roman" w:cs="Times New Roman"/>
          <w:sz w:val="24"/>
          <w:szCs w:val="24"/>
        </w:rPr>
        <w:t xml:space="preserve">w </w:t>
      </w:r>
      <w:r w:rsidRPr="00613198">
        <w:rPr>
          <w:rFonts w:ascii="Times New Roman" w:hAnsi="Times New Roman" w:cs="Times New Roman"/>
          <w:sz w:val="24"/>
          <w:szCs w:val="24"/>
        </w:rPr>
        <w:t>projek</w:t>
      </w:r>
      <w:r w:rsidR="00581EAE" w:rsidRPr="00613198">
        <w:rPr>
          <w:rFonts w:ascii="Times New Roman" w:hAnsi="Times New Roman" w:cs="Times New Roman"/>
          <w:sz w:val="24"/>
          <w:szCs w:val="24"/>
        </w:rPr>
        <w:t>cie</w:t>
      </w:r>
      <w:r w:rsidR="00234351" w:rsidRPr="00613198">
        <w:rPr>
          <w:rFonts w:ascii="Times New Roman" w:hAnsi="Times New Roman" w:cs="Times New Roman"/>
          <w:sz w:val="24"/>
          <w:szCs w:val="24"/>
        </w:rPr>
        <w:t xml:space="preserve"> ustawy</w:t>
      </w:r>
      <w:r w:rsidRPr="00613198">
        <w:rPr>
          <w:rFonts w:ascii="Times New Roman" w:hAnsi="Times New Roman" w:cs="Times New Roman"/>
          <w:sz w:val="24"/>
          <w:szCs w:val="24"/>
        </w:rPr>
        <w:t xml:space="preserve"> </w:t>
      </w:r>
      <w:r w:rsidR="00581EAE" w:rsidRPr="00613198">
        <w:rPr>
          <w:rFonts w:ascii="Times New Roman" w:hAnsi="Times New Roman" w:cs="Times New Roman"/>
          <w:sz w:val="24"/>
          <w:szCs w:val="24"/>
        </w:rPr>
        <w:t>umożliwia się</w:t>
      </w:r>
      <w:r w:rsidRPr="00613198">
        <w:rPr>
          <w:rFonts w:ascii="Times New Roman" w:hAnsi="Times New Roman" w:cs="Times New Roman"/>
          <w:sz w:val="24"/>
          <w:szCs w:val="24"/>
        </w:rPr>
        <w:t xml:space="preserve"> </w:t>
      </w:r>
      <w:r w:rsidR="00A70D0B" w:rsidRPr="00613198">
        <w:rPr>
          <w:rFonts w:ascii="Times New Roman" w:hAnsi="Times New Roman" w:cs="Times New Roman"/>
          <w:sz w:val="24"/>
          <w:szCs w:val="24"/>
        </w:rPr>
        <w:t xml:space="preserve">odbiorcom końcowym </w:t>
      </w:r>
      <w:r w:rsidRPr="00613198">
        <w:rPr>
          <w:rFonts w:ascii="Times New Roman" w:hAnsi="Times New Roman" w:cs="Times New Roman"/>
          <w:sz w:val="24"/>
          <w:szCs w:val="24"/>
        </w:rPr>
        <w:t>uczestniczeni</w:t>
      </w:r>
      <w:r w:rsidR="00581EAE" w:rsidRPr="00613198">
        <w:rPr>
          <w:rFonts w:ascii="Times New Roman" w:hAnsi="Times New Roman" w:cs="Times New Roman"/>
          <w:sz w:val="24"/>
          <w:szCs w:val="24"/>
        </w:rPr>
        <w:t>e</w:t>
      </w:r>
      <w:r w:rsidRPr="00613198">
        <w:rPr>
          <w:rFonts w:ascii="Times New Roman" w:hAnsi="Times New Roman" w:cs="Times New Roman"/>
          <w:sz w:val="24"/>
          <w:szCs w:val="24"/>
        </w:rPr>
        <w:t xml:space="preserve"> we wszystkich formach odpowiedzi odbioru. Będzie to możliwe </w:t>
      </w:r>
      <w:r w:rsidR="00234351" w:rsidRPr="00613198">
        <w:rPr>
          <w:rFonts w:ascii="Times New Roman" w:hAnsi="Times New Roman" w:cs="Times New Roman"/>
          <w:sz w:val="24"/>
          <w:szCs w:val="24"/>
        </w:rPr>
        <w:t xml:space="preserve">zwłaszcza </w:t>
      </w:r>
      <w:r w:rsidRPr="00613198">
        <w:rPr>
          <w:rFonts w:ascii="Times New Roman" w:hAnsi="Times New Roman" w:cs="Times New Roman"/>
          <w:sz w:val="24"/>
          <w:szCs w:val="24"/>
        </w:rPr>
        <w:t>dzięki wprowadzeniu inteligentnych systemów opomiarowania oraz umów z cenami dynamicznymi energii elektrycznej, które dadzą odbiorcom końcowym możliwość dostosowywania swojego zużyci</w:t>
      </w:r>
      <w:r w:rsidR="00010D01" w:rsidRPr="00613198">
        <w:rPr>
          <w:rFonts w:ascii="Times New Roman" w:hAnsi="Times New Roman" w:cs="Times New Roman"/>
          <w:sz w:val="24"/>
          <w:szCs w:val="24"/>
        </w:rPr>
        <w:t>a</w:t>
      </w:r>
      <w:r w:rsidRPr="00613198">
        <w:rPr>
          <w:rFonts w:ascii="Times New Roman" w:hAnsi="Times New Roman" w:cs="Times New Roman"/>
          <w:sz w:val="24"/>
          <w:szCs w:val="24"/>
        </w:rPr>
        <w:t xml:space="preserve"> energii elektrycznej do sygnałów cenowych w czasie </w:t>
      </w:r>
      <w:r w:rsidR="00A70D0B" w:rsidRPr="00613198">
        <w:rPr>
          <w:rFonts w:ascii="Times New Roman" w:hAnsi="Times New Roman" w:cs="Times New Roman"/>
          <w:sz w:val="24"/>
          <w:szCs w:val="24"/>
        </w:rPr>
        <w:t xml:space="preserve">rzeczywistym, odzwierciedlającym </w:t>
      </w:r>
      <w:r w:rsidRPr="00613198">
        <w:rPr>
          <w:rFonts w:ascii="Times New Roman" w:hAnsi="Times New Roman" w:cs="Times New Roman"/>
          <w:sz w:val="24"/>
          <w:szCs w:val="24"/>
        </w:rPr>
        <w:t>wartość i koszt energii elektrycznej l</w:t>
      </w:r>
      <w:r w:rsidR="00234351" w:rsidRPr="00613198">
        <w:rPr>
          <w:rFonts w:ascii="Times New Roman" w:hAnsi="Times New Roman" w:cs="Times New Roman"/>
          <w:sz w:val="24"/>
          <w:szCs w:val="24"/>
        </w:rPr>
        <w:t xml:space="preserve">ub przesyłu w różnych okresach. </w:t>
      </w:r>
      <w:r w:rsidRPr="00613198">
        <w:rPr>
          <w:rFonts w:ascii="Times New Roman" w:hAnsi="Times New Roman" w:cs="Times New Roman"/>
          <w:sz w:val="24"/>
          <w:szCs w:val="24"/>
        </w:rPr>
        <w:t>Odpowiedź odbioru odgrywa również zasadniczą rolę w umożliwieniu inteligentnego ładowania pojazdów elektrycznych, umożliwiając tym samym skuteczną integrację pojazdów elektrycznych w sieci energetycznej. Będzie mieć to zasadnicze znaczenie dla procesu obniżania emisyjności transportu.</w:t>
      </w:r>
    </w:p>
    <w:p w14:paraId="4BF8F245" w14:textId="77777777" w:rsidR="00722871" w:rsidRPr="00613198" w:rsidRDefault="00722871" w:rsidP="009E6E51">
      <w:pPr>
        <w:spacing w:after="120" w:line="360" w:lineRule="auto"/>
        <w:ind w:firstLine="708"/>
        <w:jc w:val="both"/>
        <w:rPr>
          <w:rFonts w:ascii="Times New Roman" w:hAnsi="Times New Roman" w:cs="Times New Roman"/>
          <w:b/>
          <w:sz w:val="24"/>
          <w:szCs w:val="24"/>
        </w:rPr>
      </w:pPr>
      <w:r w:rsidRPr="00613198">
        <w:rPr>
          <w:rFonts w:ascii="Times New Roman" w:hAnsi="Times New Roman" w:cs="Times New Roman"/>
          <w:b/>
          <w:sz w:val="24"/>
          <w:szCs w:val="24"/>
        </w:rPr>
        <w:t>Agregacja</w:t>
      </w:r>
    </w:p>
    <w:p w14:paraId="372BB7A2" w14:textId="3DA5851C" w:rsidR="00C45A17" w:rsidRDefault="009E6E51" w:rsidP="009E6E51">
      <w:pPr>
        <w:spacing w:after="120" w:line="360" w:lineRule="auto"/>
        <w:jc w:val="both"/>
        <w:rPr>
          <w:rFonts w:ascii="Times New Roman" w:hAnsi="Times New Roman" w:cs="Times New Roman"/>
          <w:sz w:val="24"/>
          <w:szCs w:val="24"/>
        </w:rPr>
      </w:pPr>
      <w:r w:rsidRPr="00613198">
        <w:rPr>
          <w:rFonts w:ascii="Times New Roman" w:hAnsi="Times New Roman" w:cs="Times New Roman"/>
          <w:sz w:val="24"/>
          <w:szCs w:val="24"/>
        </w:rPr>
        <w:tab/>
      </w:r>
      <w:r w:rsidR="00A70D0B" w:rsidRPr="00613198">
        <w:rPr>
          <w:rFonts w:ascii="Times New Roman" w:hAnsi="Times New Roman" w:cs="Times New Roman"/>
          <w:sz w:val="24"/>
          <w:szCs w:val="24"/>
        </w:rPr>
        <w:t>A</w:t>
      </w:r>
      <w:r w:rsidRPr="00613198">
        <w:rPr>
          <w:rFonts w:ascii="Times New Roman" w:hAnsi="Times New Roman" w:cs="Times New Roman"/>
          <w:sz w:val="24"/>
          <w:szCs w:val="24"/>
        </w:rPr>
        <w:t xml:space="preserve">gregację należy rozumieć jako </w:t>
      </w:r>
      <w:r w:rsidR="002002EC" w:rsidRPr="00613198">
        <w:rPr>
          <w:rFonts w:ascii="Times New Roman" w:hAnsi="Times New Roman" w:cs="Times New Roman"/>
          <w:sz w:val="24"/>
          <w:szCs w:val="24"/>
        </w:rPr>
        <w:t xml:space="preserve">działalność </w:t>
      </w:r>
      <w:r w:rsidR="00D818CE">
        <w:rPr>
          <w:rFonts w:ascii="Times New Roman" w:hAnsi="Times New Roman" w:cs="Times New Roman"/>
          <w:sz w:val="24"/>
          <w:szCs w:val="24"/>
        </w:rPr>
        <w:t xml:space="preserve">wykonywaną przez agregatora, </w:t>
      </w:r>
      <w:r w:rsidR="002002EC" w:rsidRPr="00613198">
        <w:rPr>
          <w:rFonts w:ascii="Times New Roman" w:hAnsi="Times New Roman" w:cs="Times New Roman"/>
          <w:sz w:val="24"/>
          <w:szCs w:val="24"/>
        </w:rPr>
        <w:t xml:space="preserve">polegającą na </w:t>
      </w:r>
      <w:r w:rsidR="00D818CE">
        <w:rPr>
          <w:rFonts w:ascii="Times New Roman" w:hAnsi="Times New Roman" w:cs="Times New Roman"/>
          <w:sz w:val="24"/>
          <w:szCs w:val="24"/>
        </w:rPr>
        <w:t>łączeniu</w:t>
      </w:r>
      <w:r w:rsidR="00D818CE" w:rsidRPr="00613198">
        <w:rPr>
          <w:rFonts w:ascii="Times New Roman" w:hAnsi="Times New Roman" w:cs="Times New Roman"/>
          <w:sz w:val="24"/>
          <w:szCs w:val="24"/>
        </w:rPr>
        <w:t xml:space="preserve"> </w:t>
      </w:r>
      <w:r w:rsidR="002002EC" w:rsidRPr="00613198">
        <w:rPr>
          <w:rFonts w:ascii="Times New Roman" w:hAnsi="Times New Roman" w:cs="Times New Roman"/>
          <w:sz w:val="24"/>
          <w:szCs w:val="24"/>
        </w:rPr>
        <w:t>wielkości mocy oraz energii elektrycznej oferowanej przez odbiorców, wytwórców lub posiadaczy magazynów energii elektrycznej, z uwzględnieniem zdolności technicznych sieci do której są przyłączeni, w celu sprzedaży energii elektrycznej, świadczenia usług systemowych lub usług elastyczności na rynkach energii elektrycznej.</w:t>
      </w:r>
      <w:r w:rsidR="00A50244" w:rsidRPr="00613198">
        <w:rPr>
          <w:rFonts w:ascii="Times New Roman" w:hAnsi="Times New Roman" w:cs="Times New Roman"/>
          <w:sz w:val="24"/>
          <w:szCs w:val="24"/>
        </w:rPr>
        <w:t xml:space="preserve"> </w:t>
      </w:r>
    </w:p>
    <w:p w14:paraId="1B22235B" w14:textId="409716D8" w:rsidR="00C45A17" w:rsidRDefault="00C45A17" w:rsidP="004441E2">
      <w:pPr>
        <w:spacing w:after="12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W projekcie ustawy wprowadza się również pojęcia agregatora rozumianego jako </w:t>
      </w:r>
      <w:r w:rsidR="00D818CE">
        <w:rPr>
          <w:rFonts w:ascii="Times New Roman" w:hAnsi="Times New Roman" w:cs="Times New Roman"/>
          <w:sz w:val="24"/>
          <w:szCs w:val="24"/>
        </w:rPr>
        <w:t xml:space="preserve">uczestnik rynku </w:t>
      </w:r>
      <w:r>
        <w:rPr>
          <w:rFonts w:ascii="Times New Roman" w:hAnsi="Times New Roman" w:cs="Times New Roman"/>
          <w:sz w:val="24"/>
          <w:szCs w:val="24"/>
        </w:rPr>
        <w:t xml:space="preserve">zajmujący się agregacją oraz niezależnego agregatora, czyli agregatora, który nie jest powiązany ze sprzedawcą odbiorcy </w:t>
      </w:r>
      <w:r w:rsidR="006E24C8">
        <w:rPr>
          <w:rFonts w:ascii="Times New Roman" w:hAnsi="Times New Roman" w:cs="Times New Roman"/>
          <w:sz w:val="24"/>
          <w:szCs w:val="24"/>
        </w:rPr>
        <w:t>oraz n</w:t>
      </w:r>
      <w:r w:rsidR="006E24C8" w:rsidRPr="006E24C8">
        <w:rPr>
          <w:rFonts w:ascii="Times New Roman" w:hAnsi="Times New Roman" w:cs="Times New Roman"/>
          <w:sz w:val="24"/>
          <w:szCs w:val="24"/>
        </w:rPr>
        <w:t>ie</w:t>
      </w:r>
      <w:r w:rsidR="006E24C8">
        <w:rPr>
          <w:rFonts w:ascii="Times New Roman" w:hAnsi="Times New Roman" w:cs="Times New Roman"/>
          <w:sz w:val="24"/>
          <w:szCs w:val="24"/>
        </w:rPr>
        <w:t xml:space="preserve"> </w:t>
      </w:r>
      <w:r w:rsidR="006E24C8" w:rsidRPr="006E24C8">
        <w:rPr>
          <w:rFonts w:ascii="Times New Roman" w:hAnsi="Times New Roman" w:cs="Times New Roman"/>
          <w:sz w:val="24"/>
          <w:szCs w:val="24"/>
        </w:rPr>
        <w:t>zalicza</w:t>
      </w:r>
      <w:r w:rsidR="006E24C8">
        <w:rPr>
          <w:rFonts w:ascii="Times New Roman" w:hAnsi="Times New Roman" w:cs="Times New Roman"/>
          <w:sz w:val="24"/>
          <w:szCs w:val="24"/>
        </w:rPr>
        <w:t xml:space="preserve"> </w:t>
      </w:r>
      <w:r w:rsidR="006E24C8" w:rsidRPr="006E24C8">
        <w:rPr>
          <w:rFonts w:ascii="Times New Roman" w:hAnsi="Times New Roman" w:cs="Times New Roman"/>
          <w:sz w:val="24"/>
          <w:szCs w:val="24"/>
        </w:rPr>
        <w:t>się do grupy kapitałowej, do której zalicza się ten sprzedawca</w:t>
      </w:r>
      <w:r w:rsidR="006E24C8">
        <w:rPr>
          <w:rFonts w:ascii="Times New Roman" w:hAnsi="Times New Roman" w:cs="Times New Roman"/>
          <w:sz w:val="24"/>
          <w:szCs w:val="24"/>
        </w:rPr>
        <w:t xml:space="preserve"> </w:t>
      </w:r>
      <w:r>
        <w:rPr>
          <w:rFonts w:ascii="Times New Roman" w:hAnsi="Times New Roman" w:cs="Times New Roman"/>
          <w:sz w:val="24"/>
          <w:szCs w:val="24"/>
        </w:rPr>
        <w:t>(</w:t>
      </w:r>
      <w:r w:rsidR="0043736D">
        <w:rPr>
          <w:rFonts w:ascii="Times New Roman" w:hAnsi="Times New Roman" w:cs="Times New Roman"/>
          <w:sz w:val="24"/>
          <w:szCs w:val="24"/>
        </w:rPr>
        <w:t xml:space="preserve">dodawany do ustawy – Prawo energetyczne </w:t>
      </w:r>
      <w:r>
        <w:rPr>
          <w:rFonts w:ascii="Times New Roman" w:hAnsi="Times New Roman" w:cs="Times New Roman"/>
          <w:sz w:val="24"/>
          <w:szCs w:val="24"/>
        </w:rPr>
        <w:t xml:space="preserve">art. 3 pkt 6e i 6f). </w:t>
      </w:r>
      <w:r w:rsidR="00696706">
        <w:rPr>
          <w:rFonts w:ascii="Times New Roman" w:hAnsi="Times New Roman" w:cs="Times New Roman"/>
          <w:sz w:val="24"/>
          <w:szCs w:val="24"/>
        </w:rPr>
        <w:lastRenderedPageBreak/>
        <w:t>Powyższy podział ma celu</w:t>
      </w:r>
      <w:r w:rsidR="00400933">
        <w:rPr>
          <w:rFonts w:ascii="Times New Roman" w:hAnsi="Times New Roman" w:cs="Times New Roman"/>
          <w:sz w:val="24"/>
          <w:szCs w:val="24"/>
        </w:rPr>
        <w:t xml:space="preserve"> wyraźne</w:t>
      </w:r>
      <w:r w:rsidR="00696706" w:rsidRPr="00696706">
        <w:rPr>
          <w:rFonts w:ascii="Times New Roman" w:hAnsi="Times New Roman" w:cs="Times New Roman"/>
          <w:sz w:val="24"/>
          <w:szCs w:val="24"/>
        </w:rPr>
        <w:t xml:space="preserve"> rozdzieleni</w:t>
      </w:r>
      <w:r w:rsidR="00696706">
        <w:rPr>
          <w:rFonts w:ascii="Times New Roman" w:hAnsi="Times New Roman" w:cs="Times New Roman"/>
          <w:sz w:val="24"/>
          <w:szCs w:val="24"/>
        </w:rPr>
        <w:t>e</w:t>
      </w:r>
      <w:r w:rsidR="00696706" w:rsidRPr="00696706">
        <w:rPr>
          <w:rFonts w:ascii="Times New Roman" w:hAnsi="Times New Roman" w:cs="Times New Roman"/>
          <w:sz w:val="24"/>
          <w:szCs w:val="24"/>
        </w:rPr>
        <w:t xml:space="preserve"> </w:t>
      </w:r>
      <w:r w:rsidR="00696706">
        <w:rPr>
          <w:rFonts w:ascii="Times New Roman" w:hAnsi="Times New Roman" w:cs="Times New Roman"/>
          <w:sz w:val="24"/>
          <w:szCs w:val="24"/>
        </w:rPr>
        <w:t>podmiotów świadczących usługi agregacji na te</w:t>
      </w:r>
      <w:r w:rsidR="00400933">
        <w:rPr>
          <w:rFonts w:ascii="Times New Roman" w:hAnsi="Times New Roman" w:cs="Times New Roman"/>
          <w:sz w:val="24"/>
          <w:szCs w:val="24"/>
        </w:rPr>
        <w:t>,</w:t>
      </w:r>
      <w:r w:rsidR="00696706">
        <w:rPr>
          <w:rFonts w:ascii="Times New Roman" w:hAnsi="Times New Roman" w:cs="Times New Roman"/>
          <w:sz w:val="24"/>
          <w:szCs w:val="24"/>
        </w:rPr>
        <w:t xml:space="preserve"> które zajmują się tylko </w:t>
      </w:r>
      <w:r w:rsidR="00CC1744">
        <w:rPr>
          <w:rFonts w:ascii="Times New Roman" w:hAnsi="Times New Roman" w:cs="Times New Roman"/>
          <w:sz w:val="24"/>
          <w:szCs w:val="24"/>
        </w:rPr>
        <w:t>świadczeniem</w:t>
      </w:r>
      <w:r w:rsidR="00612EA3">
        <w:rPr>
          <w:rFonts w:ascii="Times New Roman" w:hAnsi="Times New Roman" w:cs="Times New Roman"/>
          <w:sz w:val="24"/>
          <w:szCs w:val="24"/>
        </w:rPr>
        <w:t xml:space="preserve"> tych usług</w:t>
      </w:r>
      <w:r w:rsidR="00696706">
        <w:rPr>
          <w:rFonts w:ascii="Times New Roman" w:hAnsi="Times New Roman" w:cs="Times New Roman"/>
          <w:sz w:val="24"/>
          <w:szCs w:val="24"/>
        </w:rPr>
        <w:t xml:space="preserve"> oraz podmioty</w:t>
      </w:r>
      <w:r w:rsidR="00612EA3">
        <w:rPr>
          <w:rFonts w:ascii="Times New Roman" w:hAnsi="Times New Roman" w:cs="Times New Roman"/>
          <w:sz w:val="24"/>
          <w:szCs w:val="24"/>
        </w:rPr>
        <w:t>, u których usługi te należą do jednego z przedmiotów</w:t>
      </w:r>
      <w:r w:rsidR="00CC1744">
        <w:rPr>
          <w:rFonts w:ascii="Times New Roman" w:hAnsi="Times New Roman" w:cs="Times New Roman"/>
          <w:sz w:val="24"/>
          <w:szCs w:val="24"/>
        </w:rPr>
        <w:t xml:space="preserve"> p</w:t>
      </w:r>
      <w:r w:rsidR="00612EA3">
        <w:rPr>
          <w:rFonts w:ascii="Times New Roman" w:hAnsi="Times New Roman" w:cs="Times New Roman"/>
          <w:sz w:val="24"/>
          <w:szCs w:val="24"/>
        </w:rPr>
        <w:t>rowadzonej przez ni</w:t>
      </w:r>
      <w:r w:rsidR="00400933">
        <w:rPr>
          <w:rFonts w:ascii="Times New Roman" w:hAnsi="Times New Roman" w:cs="Times New Roman"/>
          <w:sz w:val="24"/>
          <w:szCs w:val="24"/>
        </w:rPr>
        <w:t>e</w:t>
      </w:r>
      <w:r w:rsidR="00CC1744">
        <w:rPr>
          <w:rFonts w:ascii="Times New Roman" w:hAnsi="Times New Roman" w:cs="Times New Roman"/>
          <w:sz w:val="24"/>
          <w:szCs w:val="24"/>
        </w:rPr>
        <w:t xml:space="preserve"> </w:t>
      </w:r>
      <w:r w:rsidR="00612EA3">
        <w:rPr>
          <w:rFonts w:ascii="Times New Roman" w:hAnsi="Times New Roman" w:cs="Times New Roman"/>
          <w:sz w:val="24"/>
          <w:szCs w:val="24"/>
        </w:rPr>
        <w:t xml:space="preserve">działalności gospodarczej. Zgodnie z dyrektywą 2019/944 </w:t>
      </w:r>
      <w:r w:rsidR="00CC1744">
        <w:rPr>
          <w:rFonts w:ascii="Times New Roman" w:hAnsi="Times New Roman" w:cs="Times New Roman"/>
          <w:sz w:val="24"/>
          <w:szCs w:val="24"/>
        </w:rPr>
        <w:t xml:space="preserve">proponowane </w:t>
      </w:r>
      <w:r w:rsidR="00612EA3">
        <w:rPr>
          <w:rFonts w:ascii="Times New Roman" w:hAnsi="Times New Roman" w:cs="Times New Roman"/>
          <w:sz w:val="24"/>
          <w:szCs w:val="24"/>
        </w:rPr>
        <w:t>przepis</w:t>
      </w:r>
      <w:r w:rsidR="00CC1744">
        <w:rPr>
          <w:rFonts w:ascii="Times New Roman" w:hAnsi="Times New Roman" w:cs="Times New Roman"/>
          <w:sz w:val="24"/>
          <w:szCs w:val="24"/>
        </w:rPr>
        <w:t>y</w:t>
      </w:r>
      <w:r w:rsidR="00612EA3">
        <w:rPr>
          <w:rFonts w:ascii="Times New Roman" w:hAnsi="Times New Roman" w:cs="Times New Roman"/>
          <w:sz w:val="24"/>
          <w:szCs w:val="24"/>
        </w:rPr>
        <w:t xml:space="preserve"> dotycząc</w:t>
      </w:r>
      <w:r w:rsidR="00400933">
        <w:rPr>
          <w:rFonts w:ascii="Times New Roman" w:hAnsi="Times New Roman" w:cs="Times New Roman"/>
          <w:sz w:val="24"/>
          <w:szCs w:val="24"/>
        </w:rPr>
        <w:t>e</w:t>
      </w:r>
      <w:r w:rsidR="00612EA3">
        <w:rPr>
          <w:rFonts w:ascii="Times New Roman" w:hAnsi="Times New Roman" w:cs="Times New Roman"/>
          <w:sz w:val="24"/>
          <w:szCs w:val="24"/>
        </w:rPr>
        <w:t xml:space="preserve"> świadczenia usług agregacji m</w:t>
      </w:r>
      <w:r w:rsidR="00CC1744">
        <w:rPr>
          <w:rFonts w:ascii="Times New Roman" w:hAnsi="Times New Roman" w:cs="Times New Roman"/>
          <w:sz w:val="24"/>
          <w:szCs w:val="24"/>
        </w:rPr>
        <w:t>ają</w:t>
      </w:r>
      <w:r w:rsidR="00612EA3">
        <w:rPr>
          <w:rFonts w:ascii="Times New Roman" w:hAnsi="Times New Roman" w:cs="Times New Roman"/>
          <w:sz w:val="24"/>
          <w:szCs w:val="24"/>
        </w:rPr>
        <w:t xml:space="preserve"> zastosowanie </w:t>
      </w:r>
      <w:r w:rsidR="00612EA3" w:rsidRPr="00612EA3">
        <w:rPr>
          <w:rFonts w:ascii="Times New Roman" w:hAnsi="Times New Roman" w:cs="Times New Roman"/>
          <w:sz w:val="24"/>
          <w:szCs w:val="24"/>
        </w:rPr>
        <w:t>do obu podmiotów</w:t>
      </w:r>
      <w:r w:rsidR="00612EA3">
        <w:rPr>
          <w:rFonts w:ascii="Times New Roman" w:hAnsi="Times New Roman" w:cs="Times New Roman"/>
          <w:sz w:val="24"/>
          <w:szCs w:val="24"/>
        </w:rPr>
        <w:t xml:space="preserve"> i będą mogły świadczyć swoje usługi na równych zasadach</w:t>
      </w:r>
      <w:r w:rsidR="0043736D">
        <w:rPr>
          <w:rFonts w:ascii="Times New Roman" w:hAnsi="Times New Roman" w:cs="Times New Roman"/>
          <w:sz w:val="24"/>
          <w:szCs w:val="24"/>
        </w:rPr>
        <w:t xml:space="preserve">, z </w:t>
      </w:r>
      <w:r w:rsidR="00612EA3">
        <w:rPr>
          <w:rFonts w:ascii="Times New Roman" w:hAnsi="Times New Roman" w:cs="Times New Roman"/>
          <w:sz w:val="24"/>
          <w:szCs w:val="24"/>
        </w:rPr>
        <w:t>tym</w:t>
      </w:r>
      <w:r w:rsidR="00400933">
        <w:rPr>
          <w:rFonts w:ascii="Times New Roman" w:hAnsi="Times New Roman" w:cs="Times New Roman"/>
          <w:sz w:val="24"/>
          <w:szCs w:val="24"/>
        </w:rPr>
        <w:t>,</w:t>
      </w:r>
      <w:r w:rsidR="00612EA3">
        <w:rPr>
          <w:rFonts w:ascii="Times New Roman" w:hAnsi="Times New Roman" w:cs="Times New Roman"/>
          <w:sz w:val="24"/>
          <w:szCs w:val="24"/>
        </w:rPr>
        <w:t xml:space="preserve"> że zastrzega się, że odbiorcy końcowi nie </w:t>
      </w:r>
      <w:r w:rsidR="00CC1744">
        <w:rPr>
          <w:rFonts w:ascii="Times New Roman" w:hAnsi="Times New Roman" w:cs="Times New Roman"/>
          <w:sz w:val="24"/>
          <w:szCs w:val="24"/>
        </w:rPr>
        <w:t xml:space="preserve">będą mogli </w:t>
      </w:r>
      <w:r w:rsidR="00612EA3">
        <w:rPr>
          <w:rFonts w:ascii="Times New Roman" w:hAnsi="Times New Roman" w:cs="Times New Roman"/>
          <w:sz w:val="24"/>
          <w:szCs w:val="24"/>
        </w:rPr>
        <w:t xml:space="preserve">zostać </w:t>
      </w:r>
      <w:r w:rsidR="00612EA3" w:rsidRPr="00612EA3">
        <w:rPr>
          <w:rFonts w:ascii="Times New Roman" w:hAnsi="Times New Roman" w:cs="Times New Roman"/>
          <w:sz w:val="24"/>
          <w:szCs w:val="24"/>
        </w:rPr>
        <w:t>obciąż</w:t>
      </w:r>
      <w:r w:rsidR="00612EA3">
        <w:rPr>
          <w:rFonts w:ascii="Times New Roman" w:hAnsi="Times New Roman" w:cs="Times New Roman"/>
          <w:sz w:val="24"/>
          <w:szCs w:val="24"/>
        </w:rPr>
        <w:t>eni przez p</w:t>
      </w:r>
      <w:r w:rsidR="00612EA3" w:rsidRPr="00612EA3">
        <w:rPr>
          <w:rFonts w:ascii="Times New Roman" w:hAnsi="Times New Roman" w:cs="Times New Roman"/>
          <w:sz w:val="24"/>
          <w:szCs w:val="24"/>
        </w:rPr>
        <w:t>rzedsiębiorstwa energetyczne dyskryminacyjnymi wymogami, procedurami</w:t>
      </w:r>
      <w:r w:rsidR="00CC1744">
        <w:rPr>
          <w:rFonts w:ascii="Times New Roman" w:hAnsi="Times New Roman" w:cs="Times New Roman"/>
          <w:sz w:val="24"/>
          <w:szCs w:val="24"/>
        </w:rPr>
        <w:t xml:space="preserve"> czy </w:t>
      </w:r>
      <w:r w:rsidR="00612EA3" w:rsidRPr="00612EA3">
        <w:rPr>
          <w:rFonts w:ascii="Times New Roman" w:hAnsi="Times New Roman" w:cs="Times New Roman"/>
          <w:sz w:val="24"/>
          <w:szCs w:val="24"/>
        </w:rPr>
        <w:t>nieuzasadnionymi opłatami lub karami z powodu zawarcia umów o świadczenie usług agregacji z niezależnymi agre</w:t>
      </w:r>
      <w:r w:rsidR="00612EA3">
        <w:rPr>
          <w:rFonts w:ascii="Times New Roman" w:hAnsi="Times New Roman" w:cs="Times New Roman"/>
          <w:sz w:val="24"/>
          <w:szCs w:val="24"/>
        </w:rPr>
        <w:t>ga</w:t>
      </w:r>
      <w:r w:rsidR="00612EA3" w:rsidRPr="00612EA3">
        <w:rPr>
          <w:rFonts w:ascii="Times New Roman" w:hAnsi="Times New Roman" w:cs="Times New Roman"/>
          <w:sz w:val="24"/>
          <w:szCs w:val="24"/>
        </w:rPr>
        <w:t>t</w:t>
      </w:r>
      <w:r w:rsidR="00612EA3">
        <w:rPr>
          <w:rFonts w:ascii="Times New Roman" w:hAnsi="Times New Roman" w:cs="Times New Roman"/>
          <w:sz w:val="24"/>
          <w:szCs w:val="24"/>
        </w:rPr>
        <w:t>o</w:t>
      </w:r>
      <w:r w:rsidR="00612EA3" w:rsidRPr="00612EA3">
        <w:rPr>
          <w:rFonts w:ascii="Times New Roman" w:hAnsi="Times New Roman" w:cs="Times New Roman"/>
          <w:sz w:val="24"/>
          <w:szCs w:val="24"/>
        </w:rPr>
        <w:t>rami (</w:t>
      </w:r>
      <w:r w:rsidR="008F6244">
        <w:rPr>
          <w:rFonts w:ascii="Times New Roman" w:hAnsi="Times New Roman" w:cs="Times New Roman"/>
          <w:sz w:val="24"/>
          <w:szCs w:val="24"/>
        </w:rPr>
        <w:t xml:space="preserve">dodawany </w:t>
      </w:r>
      <w:r w:rsidR="00612EA3" w:rsidRPr="00612EA3">
        <w:rPr>
          <w:rFonts w:ascii="Times New Roman" w:hAnsi="Times New Roman" w:cs="Times New Roman"/>
          <w:sz w:val="24"/>
          <w:szCs w:val="24"/>
        </w:rPr>
        <w:t>art. 5a</w:t>
      </w:r>
      <w:r w:rsidR="00612EA3" w:rsidRPr="004441E2">
        <w:rPr>
          <w:rFonts w:ascii="Times New Roman" w:hAnsi="Times New Roman" w:cs="Times New Roman"/>
          <w:sz w:val="24"/>
          <w:szCs w:val="24"/>
          <w:vertAlign w:val="superscript"/>
        </w:rPr>
        <w:t>1</w:t>
      </w:r>
      <w:r w:rsidR="00612EA3" w:rsidRPr="00612EA3">
        <w:rPr>
          <w:rFonts w:ascii="Times New Roman" w:hAnsi="Times New Roman" w:cs="Times New Roman"/>
          <w:sz w:val="24"/>
          <w:szCs w:val="24"/>
        </w:rPr>
        <w:t xml:space="preserve"> ust. </w:t>
      </w:r>
      <w:r w:rsidR="006E24C8">
        <w:rPr>
          <w:rFonts w:ascii="Times New Roman" w:hAnsi="Times New Roman" w:cs="Times New Roman"/>
          <w:sz w:val="24"/>
          <w:szCs w:val="24"/>
        </w:rPr>
        <w:t>5</w:t>
      </w:r>
      <w:r w:rsidR="00CC1744">
        <w:rPr>
          <w:rFonts w:ascii="Times New Roman" w:hAnsi="Times New Roman" w:cs="Times New Roman"/>
          <w:sz w:val="24"/>
          <w:szCs w:val="24"/>
        </w:rPr>
        <w:t xml:space="preserve"> ustawy</w:t>
      </w:r>
      <w:r w:rsidR="008F6244">
        <w:rPr>
          <w:rFonts w:ascii="Times New Roman" w:hAnsi="Times New Roman" w:cs="Times New Roman"/>
          <w:sz w:val="24"/>
          <w:szCs w:val="24"/>
        </w:rPr>
        <w:t xml:space="preserve"> – Prawo energetyczne</w:t>
      </w:r>
      <w:r w:rsidR="00612EA3" w:rsidRPr="00612EA3">
        <w:rPr>
          <w:rFonts w:ascii="Times New Roman" w:hAnsi="Times New Roman" w:cs="Times New Roman"/>
          <w:sz w:val="24"/>
          <w:szCs w:val="24"/>
        </w:rPr>
        <w:t>).</w:t>
      </w:r>
    </w:p>
    <w:p w14:paraId="28732386" w14:textId="3339BB21" w:rsidR="009E6E51" w:rsidRPr="00613198" w:rsidRDefault="00581EAE" w:rsidP="004441E2">
      <w:pPr>
        <w:spacing w:after="120" w:line="360" w:lineRule="auto"/>
        <w:ind w:firstLine="708"/>
        <w:jc w:val="both"/>
        <w:rPr>
          <w:rFonts w:ascii="Times New Roman" w:hAnsi="Times New Roman" w:cs="Times New Roman"/>
          <w:sz w:val="24"/>
          <w:szCs w:val="24"/>
        </w:rPr>
      </w:pPr>
      <w:r w:rsidRPr="00613198">
        <w:rPr>
          <w:rFonts w:ascii="Times New Roman" w:hAnsi="Times New Roman" w:cs="Times New Roman"/>
          <w:sz w:val="24"/>
          <w:szCs w:val="24"/>
        </w:rPr>
        <w:t>Proponuje się</w:t>
      </w:r>
      <w:r w:rsidR="00612EA3">
        <w:rPr>
          <w:rFonts w:ascii="Times New Roman" w:hAnsi="Times New Roman" w:cs="Times New Roman"/>
          <w:sz w:val="24"/>
          <w:szCs w:val="24"/>
        </w:rPr>
        <w:t xml:space="preserve"> również</w:t>
      </w:r>
      <w:r w:rsidRPr="00613198">
        <w:rPr>
          <w:rFonts w:ascii="Times New Roman" w:hAnsi="Times New Roman" w:cs="Times New Roman"/>
          <w:sz w:val="24"/>
          <w:szCs w:val="24"/>
        </w:rPr>
        <w:t>, by ze względu</w:t>
      </w:r>
      <w:r w:rsidR="00A70D0B" w:rsidRPr="00613198">
        <w:rPr>
          <w:rFonts w:ascii="Times New Roman" w:hAnsi="Times New Roman" w:cs="Times New Roman"/>
          <w:sz w:val="24"/>
          <w:szCs w:val="24"/>
        </w:rPr>
        <w:t xml:space="preserve"> na</w:t>
      </w:r>
      <w:r w:rsidRPr="00613198">
        <w:rPr>
          <w:rFonts w:ascii="Times New Roman" w:hAnsi="Times New Roman" w:cs="Times New Roman"/>
          <w:sz w:val="24"/>
          <w:szCs w:val="24"/>
        </w:rPr>
        <w:t xml:space="preserve"> techniczne możliwości rozliczeniowe, </w:t>
      </w:r>
      <w:r w:rsidR="009E6E51" w:rsidRPr="00613198">
        <w:rPr>
          <w:rFonts w:ascii="Times New Roman" w:hAnsi="Times New Roman" w:cs="Times New Roman"/>
          <w:sz w:val="24"/>
          <w:szCs w:val="24"/>
        </w:rPr>
        <w:t>odbiorca</w:t>
      </w:r>
      <w:r w:rsidR="00A6038A">
        <w:rPr>
          <w:rFonts w:ascii="Times New Roman" w:hAnsi="Times New Roman" w:cs="Times New Roman"/>
          <w:sz w:val="24"/>
          <w:szCs w:val="24"/>
        </w:rPr>
        <w:t xml:space="preserve"> końcowy energii elektrycznej</w:t>
      </w:r>
      <w:r w:rsidR="009E6E51" w:rsidRPr="00613198">
        <w:rPr>
          <w:rFonts w:ascii="Times New Roman" w:hAnsi="Times New Roman" w:cs="Times New Roman"/>
          <w:sz w:val="24"/>
          <w:szCs w:val="24"/>
        </w:rPr>
        <w:t>, wytwórca lub posiadacz magazynu energii elektrycznej m</w:t>
      </w:r>
      <w:r w:rsidRPr="00613198">
        <w:rPr>
          <w:rFonts w:ascii="Times New Roman" w:hAnsi="Times New Roman" w:cs="Times New Roman"/>
          <w:sz w:val="24"/>
          <w:szCs w:val="24"/>
        </w:rPr>
        <w:t>ógł</w:t>
      </w:r>
      <w:r w:rsidR="009E6E51" w:rsidRPr="00613198">
        <w:rPr>
          <w:rFonts w:ascii="Times New Roman" w:hAnsi="Times New Roman" w:cs="Times New Roman"/>
          <w:sz w:val="24"/>
          <w:szCs w:val="24"/>
        </w:rPr>
        <w:t xml:space="preserve"> być agregowany </w:t>
      </w:r>
      <w:r w:rsidR="002002EC" w:rsidRPr="00613198">
        <w:rPr>
          <w:rFonts w:ascii="Times New Roman" w:hAnsi="Times New Roman" w:cs="Times New Roman"/>
          <w:sz w:val="24"/>
          <w:szCs w:val="24"/>
        </w:rPr>
        <w:t xml:space="preserve">w </w:t>
      </w:r>
      <w:r w:rsidR="006E24C8">
        <w:rPr>
          <w:rFonts w:ascii="Times New Roman" w:hAnsi="Times New Roman" w:cs="Times New Roman"/>
          <w:sz w:val="24"/>
          <w:szCs w:val="24"/>
        </w:rPr>
        <w:t xml:space="preserve">danym punkcie poboru energii </w:t>
      </w:r>
      <w:r w:rsidR="00A70D0B" w:rsidRPr="00613198">
        <w:rPr>
          <w:rFonts w:ascii="Times New Roman" w:hAnsi="Times New Roman" w:cs="Times New Roman"/>
          <w:sz w:val="24"/>
          <w:szCs w:val="24"/>
        </w:rPr>
        <w:t xml:space="preserve">tylko </w:t>
      </w:r>
      <w:r w:rsidR="009E6E51" w:rsidRPr="00613198">
        <w:rPr>
          <w:rFonts w:ascii="Times New Roman" w:hAnsi="Times New Roman" w:cs="Times New Roman"/>
          <w:sz w:val="24"/>
          <w:szCs w:val="24"/>
        </w:rPr>
        <w:t>przez jednego agregatora</w:t>
      </w:r>
      <w:r w:rsidR="00DF7AF2" w:rsidRPr="00613198">
        <w:rPr>
          <w:rFonts w:ascii="Times New Roman" w:hAnsi="Times New Roman" w:cs="Times New Roman"/>
          <w:sz w:val="24"/>
          <w:szCs w:val="24"/>
        </w:rPr>
        <w:t xml:space="preserve"> </w:t>
      </w:r>
      <w:r w:rsidR="006E24C8">
        <w:rPr>
          <w:rFonts w:ascii="Times New Roman" w:hAnsi="Times New Roman" w:cs="Times New Roman"/>
          <w:sz w:val="24"/>
          <w:szCs w:val="24"/>
        </w:rPr>
        <w:t xml:space="preserve">– </w:t>
      </w:r>
      <w:r w:rsidR="008F6244">
        <w:rPr>
          <w:rFonts w:ascii="Times New Roman" w:hAnsi="Times New Roman" w:cs="Times New Roman"/>
          <w:sz w:val="24"/>
          <w:szCs w:val="24"/>
        </w:rPr>
        <w:t>dodawany</w:t>
      </w:r>
      <w:r w:rsidR="006E24C8">
        <w:rPr>
          <w:rFonts w:ascii="Times New Roman" w:hAnsi="Times New Roman" w:cs="Times New Roman"/>
          <w:sz w:val="24"/>
          <w:szCs w:val="24"/>
        </w:rPr>
        <w:t xml:space="preserve"> </w:t>
      </w:r>
      <w:r w:rsidR="00DF7AF2" w:rsidRPr="00613198">
        <w:rPr>
          <w:rFonts w:ascii="Times New Roman" w:hAnsi="Times New Roman" w:cs="Times New Roman"/>
          <w:sz w:val="24"/>
          <w:szCs w:val="24"/>
        </w:rPr>
        <w:t>art. 5</w:t>
      </w:r>
      <w:r w:rsidR="00E573D1">
        <w:rPr>
          <w:rFonts w:ascii="Times New Roman" w:hAnsi="Times New Roman" w:cs="Times New Roman"/>
          <w:sz w:val="24"/>
          <w:szCs w:val="24"/>
        </w:rPr>
        <w:t>a</w:t>
      </w:r>
      <w:r w:rsidR="00D3645B" w:rsidRPr="00613198">
        <w:rPr>
          <w:rFonts w:ascii="Times New Roman" w:hAnsi="Times New Roman" w:cs="Times New Roman"/>
          <w:sz w:val="24"/>
          <w:szCs w:val="24"/>
          <w:vertAlign w:val="superscript"/>
        </w:rPr>
        <w:t>1</w:t>
      </w:r>
      <w:r w:rsidR="00E573D1">
        <w:rPr>
          <w:rFonts w:ascii="Times New Roman" w:hAnsi="Times New Roman" w:cs="Times New Roman"/>
          <w:sz w:val="24"/>
          <w:szCs w:val="24"/>
          <w:vertAlign w:val="superscript"/>
        </w:rPr>
        <w:t xml:space="preserve"> </w:t>
      </w:r>
      <w:r w:rsidR="00E573D1">
        <w:rPr>
          <w:rFonts w:ascii="Times New Roman" w:hAnsi="Times New Roman" w:cs="Times New Roman"/>
          <w:sz w:val="24"/>
          <w:szCs w:val="24"/>
        </w:rPr>
        <w:t xml:space="preserve">ust. </w:t>
      </w:r>
      <w:r w:rsidR="006E24C8">
        <w:rPr>
          <w:rFonts w:ascii="Times New Roman" w:hAnsi="Times New Roman" w:cs="Times New Roman"/>
          <w:sz w:val="24"/>
          <w:szCs w:val="24"/>
        </w:rPr>
        <w:t>7</w:t>
      </w:r>
      <w:r w:rsidR="00E573D1">
        <w:rPr>
          <w:rFonts w:ascii="Times New Roman" w:hAnsi="Times New Roman" w:cs="Times New Roman"/>
          <w:sz w:val="24"/>
          <w:szCs w:val="24"/>
        </w:rPr>
        <w:t xml:space="preserve"> ustawy</w:t>
      </w:r>
      <w:r w:rsidR="008F6244">
        <w:rPr>
          <w:rFonts w:ascii="Times New Roman" w:hAnsi="Times New Roman" w:cs="Times New Roman"/>
          <w:sz w:val="24"/>
          <w:szCs w:val="24"/>
        </w:rPr>
        <w:t xml:space="preserve"> - Prawo energetyczne</w:t>
      </w:r>
      <w:r w:rsidR="00DF7AF2" w:rsidRPr="00613198">
        <w:rPr>
          <w:rFonts w:ascii="Times New Roman" w:hAnsi="Times New Roman" w:cs="Times New Roman"/>
          <w:sz w:val="24"/>
          <w:szCs w:val="24"/>
        </w:rPr>
        <w:t>.</w:t>
      </w:r>
    </w:p>
    <w:p w14:paraId="64269914" w14:textId="5C25D776" w:rsidR="009E6E51" w:rsidRPr="00613198" w:rsidRDefault="009E6E51" w:rsidP="009E6E51">
      <w:pPr>
        <w:spacing w:after="120" w:line="360" w:lineRule="auto"/>
        <w:ind w:firstLine="708"/>
        <w:jc w:val="both"/>
        <w:rPr>
          <w:rFonts w:ascii="Times New Roman" w:hAnsi="Times New Roman" w:cs="Times New Roman"/>
          <w:sz w:val="24"/>
          <w:szCs w:val="24"/>
        </w:rPr>
      </w:pPr>
      <w:r w:rsidRPr="00613198">
        <w:rPr>
          <w:rFonts w:ascii="Times New Roman" w:hAnsi="Times New Roman" w:cs="Times New Roman"/>
          <w:sz w:val="24"/>
          <w:szCs w:val="24"/>
        </w:rPr>
        <w:t xml:space="preserve">Agregacja </w:t>
      </w:r>
      <w:r w:rsidR="00234351" w:rsidRPr="00613198">
        <w:rPr>
          <w:rFonts w:ascii="Times New Roman" w:hAnsi="Times New Roman" w:cs="Times New Roman"/>
          <w:sz w:val="24"/>
          <w:szCs w:val="24"/>
        </w:rPr>
        <w:t>umożliwia</w:t>
      </w:r>
      <w:r w:rsidRPr="00613198">
        <w:rPr>
          <w:rFonts w:ascii="Times New Roman" w:hAnsi="Times New Roman" w:cs="Times New Roman"/>
          <w:sz w:val="24"/>
          <w:szCs w:val="24"/>
        </w:rPr>
        <w:t xml:space="preserve"> wszystkim grupom odbiorców, tj. przemysłowym, komercyjnym ora</w:t>
      </w:r>
      <w:r w:rsidR="00234351" w:rsidRPr="00613198">
        <w:rPr>
          <w:rFonts w:ascii="Times New Roman" w:hAnsi="Times New Roman" w:cs="Times New Roman"/>
          <w:sz w:val="24"/>
          <w:szCs w:val="24"/>
        </w:rPr>
        <w:t>z gospodarstwom domowym, dostęp</w:t>
      </w:r>
      <w:r w:rsidRPr="00613198">
        <w:rPr>
          <w:rFonts w:ascii="Times New Roman" w:hAnsi="Times New Roman" w:cs="Times New Roman"/>
          <w:sz w:val="24"/>
          <w:szCs w:val="24"/>
        </w:rPr>
        <w:t xml:space="preserve"> do rynku energii elektrycznej, na którym będą mogły oferować swoją elastyczność oraz energię, którą wytwarzają we wysłanym zakresie.</w:t>
      </w:r>
      <w:r w:rsidR="00A70D0B" w:rsidRPr="00613198">
        <w:rPr>
          <w:rFonts w:ascii="Times New Roman" w:hAnsi="Times New Roman" w:cs="Times New Roman"/>
          <w:sz w:val="24"/>
          <w:szCs w:val="24"/>
        </w:rPr>
        <w:t xml:space="preserve"> </w:t>
      </w:r>
      <w:r w:rsidR="00DF7AF2" w:rsidRPr="00613198">
        <w:rPr>
          <w:rFonts w:ascii="Times New Roman" w:hAnsi="Times New Roman" w:cs="Times New Roman"/>
          <w:sz w:val="24"/>
          <w:szCs w:val="24"/>
        </w:rPr>
        <w:br/>
      </w:r>
      <w:r w:rsidRPr="00613198">
        <w:rPr>
          <w:rFonts w:ascii="Times New Roman" w:hAnsi="Times New Roman" w:cs="Times New Roman"/>
          <w:sz w:val="24"/>
          <w:szCs w:val="24"/>
        </w:rPr>
        <w:t xml:space="preserve">W projekcie ustawy </w:t>
      </w:r>
      <w:r w:rsidR="00581EAE" w:rsidRPr="00613198">
        <w:rPr>
          <w:rFonts w:ascii="Times New Roman" w:hAnsi="Times New Roman" w:cs="Times New Roman"/>
          <w:sz w:val="24"/>
          <w:szCs w:val="24"/>
        </w:rPr>
        <w:t xml:space="preserve">umożliwia się korzystanie </w:t>
      </w:r>
      <w:r w:rsidRPr="00613198">
        <w:rPr>
          <w:rFonts w:ascii="Times New Roman" w:hAnsi="Times New Roman" w:cs="Times New Roman"/>
          <w:sz w:val="24"/>
          <w:szCs w:val="24"/>
        </w:rPr>
        <w:t>z usług agregacji na podstawie umowy agregacji zawartej pomiędzy odbiorcą końcowym, wytwórcą lub posiadaczem magazynu energii elektrycznej a agregatorem</w:t>
      </w:r>
      <w:r w:rsidR="00DF7AF2" w:rsidRPr="00613198">
        <w:rPr>
          <w:rFonts w:ascii="Times New Roman" w:hAnsi="Times New Roman" w:cs="Times New Roman"/>
          <w:sz w:val="24"/>
          <w:szCs w:val="24"/>
        </w:rPr>
        <w:t xml:space="preserve"> (art. 5</w:t>
      </w:r>
      <w:r w:rsidR="00E573D1">
        <w:rPr>
          <w:rFonts w:ascii="Times New Roman" w:hAnsi="Times New Roman" w:cs="Times New Roman"/>
          <w:sz w:val="24"/>
          <w:szCs w:val="24"/>
        </w:rPr>
        <w:t>a</w:t>
      </w:r>
      <w:r w:rsidR="00D3645B" w:rsidRPr="00613198">
        <w:rPr>
          <w:rFonts w:ascii="Times New Roman" w:hAnsi="Times New Roman" w:cs="Times New Roman"/>
          <w:sz w:val="24"/>
          <w:szCs w:val="24"/>
          <w:vertAlign w:val="superscript"/>
        </w:rPr>
        <w:t>1</w:t>
      </w:r>
      <w:r w:rsidR="00DF7AF2" w:rsidRPr="00613198">
        <w:rPr>
          <w:rFonts w:ascii="Times New Roman" w:hAnsi="Times New Roman" w:cs="Times New Roman"/>
          <w:sz w:val="24"/>
          <w:szCs w:val="24"/>
        </w:rPr>
        <w:t xml:space="preserve"> ust. 1).</w:t>
      </w:r>
      <w:r w:rsidRPr="00613198">
        <w:rPr>
          <w:rFonts w:ascii="Times New Roman" w:hAnsi="Times New Roman" w:cs="Times New Roman"/>
          <w:sz w:val="24"/>
          <w:szCs w:val="24"/>
        </w:rPr>
        <w:t xml:space="preserve"> Zawarcie</w:t>
      </w:r>
      <w:r w:rsidR="00E631E9">
        <w:rPr>
          <w:rFonts w:ascii="Times New Roman" w:hAnsi="Times New Roman" w:cs="Times New Roman"/>
          <w:sz w:val="24"/>
          <w:szCs w:val="24"/>
        </w:rPr>
        <w:t xml:space="preserve"> powyższej</w:t>
      </w:r>
      <w:r w:rsidRPr="00613198">
        <w:rPr>
          <w:rFonts w:ascii="Times New Roman" w:hAnsi="Times New Roman" w:cs="Times New Roman"/>
          <w:sz w:val="24"/>
          <w:szCs w:val="24"/>
        </w:rPr>
        <w:t xml:space="preserve"> umowy  </w:t>
      </w:r>
      <w:r w:rsidR="00581EAE" w:rsidRPr="00613198">
        <w:rPr>
          <w:rFonts w:ascii="Times New Roman" w:hAnsi="Times New Roman" w:cs="Times New Roman"/>
          <w:sz w:val="24"/>
          <w:szCs w:val="24"/>
        </w:rPr>
        <w:t xml:space="preserve">ma </w:t>
      </w:r>
      <w:r w:rsidRPr="00613198">
        <w:rPr>
          <w:rFonts w:ascii="Times New Roman" w:hAnsi="Times New Roman" w:cs="Times New Roman"/>
          <w:sz w:val="24"/>
          <w:szCs w:val="24"/>
        </w:rPr>
        <w:t>odbywa</w:t>
      </w:r>
      <w:r w:rsidR="00581EAE" w:rsidRPr="00613198">
        <w:rPr>
          <w:rFonts w:ascii="Times New Roman" w:hAnsi="Times New Roman" w:cs="Times New Roman"/>
          <w:sz w:val="24"/>
          <w:szCs w:val="24"/>
        </w:rPr>
        <w:t>ć</w:t>
      </w:r>
      <w:r w:rsidRPr="00613198">
        <w:rPr>
          <w:rFonts w:ascii="Times New Roman" w:hAnsi="Times New Roman" w:cs="Times New Roman"/>
          <w:sz w:val="24"/>
          <w:szCs w:val="24"/>
        </w:rPr>
        <w:t xml:space="preserve"> się niezależnie od zawartej z przedsiębiorstwem energetycznym umowy sprzedaży energii elektrycznej i bez zgody przedsiębiorstwa energetycznego, z </w:t>
      </w:r>
      <w:r w:rsidR="002F17F4" w:rsidRPr="00613198">
        <w:rPr>
          <w:rFonts w:ascii="Times New Roman" w:hAnsi="Times New Roman" w:cs="Times New Roman"/>
          <w:sz w:val="24"/>
          <w:szCs w:val="24"/>
        </w:rPr>
        <w:t>którym taka umowa jest zawarta (art. 5</w:t>
      </w:r>
      <w:r w:rsidR="00E573D1">
        <w:rPr>
          <w:rFonts w:ascii="Times New Roman" w:hAnsi="Times New Roman" w:cs="Times New Roman"/>
          <w:sz w:val="24"/>
          <w:szCs w:val="24"/>
        </w:rPr>
        <w:t>a</w:t>
      </w:r>
      <w:r w:rsidR="00D3645B" w:rsidRPr="00613198">
        <w:rPr>
          <w:rFonts w:ascii="Times New Roman" w:hAnsi="Times New Roman" w:cs="Times New Roman"/>
          <w:sz w:val="24"/>
          <w:szCs w:val="24"/>
          <w:vertAlign w:val="superscript"/>
        </w:rPr>
        <w:t>1</w:t>
      </w:r>
      <w:r w:rsidR="002F17F4" w:rsidRPr="00613198">
        <w:rPr>
          <w:rFonts w:ascii="Times New Roman" w:hAnsi="Times New Roman" w:cs="Times New Roman"/>
          <w:sz w:val="24"/>
          <w:szCs w:val="24"/>
        </w:rPr>
        <w:t xml:space="preserve"> ust. 2). O</w:t>
      </w:r>
      <w:r w:rsidR="00234351" w:rsidRPr="00613198">
        <w:rPr>
          <w:rFonts w:ascii="Times New Roman" w:hAnsi="Times New Roman" w:cs="Times New Roman"/>
          <w:sz w:val="24"/>
          <w:szCs w:val="24"/>
        </w:rPr>
        <w:t>dbiorcom końcowym</w:t>
      </w:r>
      <w:r w:rsidR="00A6038A">
        <w:rPr>
          <w:rFonts w:ascii="Times New Roman" w:hAnsi="Times New Roman" w:cs="Times New Roman"/>
          <w:sz w:val="24"/>
          <w:szCs w:val="24"/>
        </w:rPr>
        <w:t>,</w:t>
      </w:r>
      <w:r w:rsidR="00234351" w:rsidRPr="00613198">
        <w:rPr>
          <w:rFonts w:ascii="Times New Roman" w:hAnsi="Times New Roman" w:cs="Times New Roman"/>
          <w:sz w:val="24"/>
          <w:szCs w:val="24"/>
        </w:rPr>
        <w:t xml:space="preserve"> będącym stroną </w:t>
      </w:r>
      <w:r w:rsidR="00015138" w:rsidRPr="00613198">
        <w:rPr>
          <w:rFonts w:ascii="Times New Roman" w:hAnsi="Times New Roman" w:cs="Times New Roman"/>
          <w:sz w:val="24"/>
          <w:szCs w:val="24"/>
        </w:rPr>
        <w:t xml:space="preserve">tej </w:t>
      </w:r>
      <w:r w:rsidR="00234351" w:rsidRPr="00613198">
        <w:rPr>
          <w:rFonts w:ascii="Times New Roman" w:hAnsi="Times New Roman" w:cs="Times New Roman"/>
          <w:sz w:val="24"/>
          <w:szCs w:val="24"/>
        </w:rPr>
        <w:t>umowy</w:t>
      </w:r>
      <w:r w:rsidR="00A6038A">
        <w:rPr>
          <w:rFonts w:ascii="Times New Roman" w:hAnsi="Times New Roman" w:cs="Times New Roman"/>
          <w:sz w:val="24"/>
          <w:szCs w:val="24"/>
        </w:rPr>
        <w:t>,</w:t>
      </w:r>
      <w:r w:rsidR="00234351" w:rsidRPr="00613198">
        <w:rPr>
          <w:rFonts w:ascii="Times New Roman" w:hAnsi="Times New Roman" w:cs="Times New Roman"/>
          <w:sz w:val="24"/>
          <w:szCs w:val="24"/>
        </w:rPr>
        <w:t xml:space="preserve"> zapewnia się możliwość uzyskania od agregatora, na ich żądanie, bezpłatnie, co najmniej raz w każdym okresie rozliczeniowym danych pomiarowych dotyczących odpowiedzi odbioru, lub danych pomiarowych dotyczących ilości dostarczanej energii elektrycznej oraz danych ilości sprzedawanej energii elektrycznej.</w:t>
      </w:r>
    </w:p>
    <w:p w14:paraId="37CB8675" w14:textId="32C7BB62" w:rsidR="009E6E51" w:rsidRPr="00613198" w:rsidRDefault="00CF1D11" w:rsidP="009E6E51">
      <w:pPr>
        <w:spacing w:after="120" w:line="360" w:lineRule="auto"/>
        <w:ind w:firstLine="708"/>
        <w:jc w:val="both"/>
        <w:rPr>
          <w:rFonts w:ascii="Times New Roman" w:hAnsi="Times New Roman" w:cs="Times New Roman"/>
          <w:sz w:val="24"/>
          <w:szCs w:val="24"/>
        </w:rPr>
      </w:pPr>
      <w:r>
        <w:rPr>
          <w:rFonts w:ascii="Times New Roman" w:hAnsi="Times New Roman" w:cs="Times New Roman"/>
          <w:sz w:val="24"/>
          <w:szCs w:val="24"/>
        </w:rPr>
        <w:t>Działalność z zakresie</w:t>
      </w:r>
      <w:r w:rsidR="009E6E51" w:rsidRPr="00613198">
        <w:rPr>
          <w:rFonts w:ascii="Times New Roman" w:hAnsi="Times New Roman" w:cs="Times New Roman"/>
          <w:sz w:val="24"/>
          <w:szCs w:val="24"/>
        </w:rPr>
        <w:t xml:space="preserve"> agregacji odbywa</w:t>
      </w:r>
      <w:r w:rsidR="00581EAE" w:rsidRPr="00613198">
        <w:rPr>
          <w:rFonts w:ascii="Times New Roman" w:hAnsi="Times New Roman" w:cs="Times New Roman"/>
          <w:sz w:val="24"/>
          <w:szCs w:val="24"/>
        </w:rPr>
        <w:t>ć</w:t>
      </w:r>
      <w:r w:rsidR="009E6E51" w:rsidRPr="00613198">
        <w:rPr>
          <w:rFonts w:ascii="Times New Roman" w:hAnsi="Times New Roman" w:cs="Times New Roman"/>
          <w:sz w:val="24"/>
          <w:szCs w:val="24"/>
        </w:rPr>
        <w:t xml:space="preserve"> się </w:t>
      </w:r>
      <w:r w:rsidR="00581EAE" w:rsidRPr="00613198">
        <w:rPr>
          <w:rFonts w:ascii="Times New Roman" w:hAnsi="Times New Roman" w:cs="Times New Roman"/>
          <w:sz w:val="24"/>
          <w:szCs w:val="24"/>
        </w:rPr>
        <w:t xml:space="preserve">ma </w:t>
      </w:r>
      <w:r w:rsidR="009E6E51" w:rsidRPr="00613198">
        <w:rPr>
          <w:rFonts w:ascii="Times New Roman" w:hAnsi="Times New Roman" w:cs="Times New Roman"/>
          <w:sz w:val="24"/>
          <w:szCs w:val="24"/>
        </w:rPr>
        <w:t>zgodnie z warunkami korzystania z sieci elektroenergetycznej i wymogami odnośnie przekazywania informacji pomiędzy przedsiębiorstwami energetycznymi oraz pomiędzy przedsiębiorstwami energetycznymi a odbiorcami określonymi w instrukcji ruchu i eksploatacji sieci przez operatora systemu elektroenergetycznego, na którego obszarze działania świadczona jest agregacja. W przypadku gdy właściwy jest więcej niż jeden operator systemu elektroenergetycznego, należy dochować warunków i wymogów określonych przez każdego z tych operatorów systemu.</w:t>
      </w:r>
    </w:p>
    <w:p w14:paraId="15F20974" w14:textId="77777777" w:rsidR="009E6E51" w:rsidRPr="00613198" w:rsidRDefault="009E6E51" w:rsidP="009E6E51">
      <w:pPr>
        <w:spacing w:after="120" w:line="360" w:lineRule="auto"/>
        <w:ind w:firstLine="708"/>
        <w:jc w:val="both"/>
        <w:rPr>
          <w:rFonts w:ascii="Times New Roman" w:hAnsi="Times New Roman" w:cs="Times New Roman"/>
          <w:sz w:val="24"/>
          <w:szCs w:val="24"/>
        </w:rPr>
      </w:pPr>
      <w:r w:rsidRPr="00613198">
        <w:rPr>
          <w:rFonts w:ascii="Times New Roman" w:hAnsi="Times New Roman" w:cs="Times New Roman"/>
          <w:sz w:val="24"/>
          <w:szCs w:val="24"/>
        </w:rPr>
        <w:lastRenderedPageBreak/>
        <w:t xml:space="preserve">Projekt ustawy zapewnia </w:t>
      </w:r>
      <w:r w:rsidR="00581EAE" w:rsidRPr="00613198">
        <w:rPr>
          <w:rFonts w:ascii="Times New Roman" w:hAnsi="Times New Roman" w:cs="Times New Roman"/>
          <w:sz w:val="24"/>
          <w:szCs w:val="24"/>
        </w:rPr>
        <w:t xml:space="preserve">agregatorom </w:t>
      </w:r>
      <w:r w:rsidRPr="00613198">
        <w:rPr>
          <w:rFonts w:ascii="Times New Roman" w:hAnsi="Times New Roman" w:cs="Times New Roman"/>
          <w:sz w:val="24"/>
          <w:szCs w:val="24"/>
        </w:rPr>
        <w:t xml:space="preserve">prawo do wejścia na rynek energii elektrycznej bez zgody innych uczestników, a także możliwość funkcjonowania na równych zasadach jak przedsiębiorstwa energetyczne czy odbiorcy. </w:t>
      </w:r>
    </w:p>
    <w:p w14:paraId="01615D8B" w14:textId="44AD3455" w:rsidR="003874A2" w:rsidRPr="00613198" w:rsidRDefault="0046415B" w:rsidP="009E6E51">
      <w:pPr>
        <w:spacing w:after="120" w:line="360" w:lineRule="auto"/>
        <w:ind w:firstLine="708"/>
        <w:jc w:val="both"/>
        <w:rPr>
          <w:rFonts w:ascii="Times New Roman" w:hAnsi="Times New Roman" w:cs="Times New Roman"/>
          <w:sz w:val="24"/>
          <w:szCs w:val="24"/>
        </w:rPr>
      </w:pPr>
      <w:r w:rsidRPr="00613198">
        <w:rPr>
          <w:rFonts w:ascii="Times New Roman" w:hAnsi="Times New Roman" w:cs="Times New Roman"/>
          <w:sz w:val="24"/>
          <w:szCs w:val="24"/>
        </w:rPr>
        <w:t>Zgodnie z projektowanym art. 5b</w:t>
      </w:r>
      <w:r w:rsidR="00D3645B" w:rsidRPr="00613198">
        <w:rPr>
          <w:rFonts w:ascii="Times New Roman" w:hAnsi="Times New Roman" w:cs="Times New Roman"/>
          <w:sz w:val="24"/>
          <w:szCs w:val="24"/>
          <w:vertAlign w:val="superscript"/>
        </w:rPr>
        <w:t>4</w:t>
      </w:r>
      <w:r w:rsidR="002F17F4" w:rsidRPr="00613198">
        <w:rPr>
          <w:rFonts w:ascii="Times New Roman" w:hAnsi="Times New Roman" w:cs="Times New Roman"/>
          <w:sz w:val="24"/>
          <w:szCs w:val="24"/>
        </w:rPr>
        <w:t xml:space="preserve"> ust. 1</w:t>
      </w:r>
      <w:r w:rsidRPr="00613198">
        <w:rPr>
          <w:rFonts w:ascii="Times New Roman" w:hAnsi="Times New Roman" w:cs="Times New Roman"/>
          <w:sz w:val="24"/>
          <w:szCs w:val="24"/>
        </w:rPr>
        <w:t xml:space="preserve"> agregator będzie mógł podjąć działalność po zamieszczeniu </w:t>
      </w:r>
      <w:r w:rsidR="00722871" w:rsidRPr="00613198">
        <w:rPr>
          <w:rFonts w:ascii="Times New Roman" w:hAnsi="Times New Roman" w:cs="Times New Roman"/>
          <w:sz w:val="24"/>
          <w:szCs w:val="24"/>
        </w:rPr>
        <w:t>jego</w:t>
      </w:r>
      <w:r w:rsidRPr="00613198">
        <w:rPr>
          <w:rFonts w:ascii="Times New Roman" w:hAnsi="Times New Roman" w:cs="Times New Roman"/>
          <w:sz w:val="24"/>
          <w:szCs w:val="24"/>
        </w:rPr>
        <w:t xml:space="preserve"> danych w </w:t>
      </w:r>
      <w:r w:rsidR="00DB5FC1">
        <w:rPr>
          <w:rFonts w:ascii="Times New Roman" w:hAnsi="Times New Roman" w:cs="Times New Roman"/>
          <w:sz w:val="24"/>
          <w:szCs w:val="24"/>
        </w:rPr>
        <w:t>wykazie</w:t>
      </w:r>
      <w:r w:rsidRPr="00613198">
        <w:rPr>
          <w:rFonts w:ascii="Times New Roman" w:hAnsi="Times New Roman" w:cs="Times New Roman"/>
          <w:sz w:val="24"/>
          <w:szCs w:val="24"/>
        </w:rPr>
        <w:t xml:space="preserve"> agregatorów. </w:t>
      </w:r>
      <w:r w:rsidR="003874A2" w:rsidRPr="00613198">
        <w:rPr>
          <w:rFonts w:ascii="Times New Roman" w:hAnsi="Times New Roman" w:cs="Times New Roman"/>
          <w:sz w:val="24"/>
          <w:szCs w:val="24"/>
        </w:rPr>
        <w:t xml:space="preserve">Wprowadzenie obowiązku rejestracji działalności agregatorów pozwoli na uwidocznienie tych podmiotów na rynku energii elektrycznej oraz rozpowszechnienie samej usługi dając możliwość </w:t>
      </w:r>
      <w:r w:rsidR="00A6038A" w:rsidRPr="00613198">
        <w:rPr>
          <w:rFonts w:ascii="Times New Roman" w:hAnsi="Times New Roman" w:cs="Times New Roman"/>
          <w:sz w:val="24"/>
          <w:szCs w:val="24"/>
        </w:rPr>
        <w:t>skorzystani</w:t>
      </w:r>
      <w:r w:rsidR="00A6038A">
        <w:rPr>
          <w:rFonts w:ascii="Times New Roman" w:hAnsi="Times New Roman" w:cs="Times New Roman"/>
          <w:sz w:val="24"/>
          <w:szCs w:val="24"/>
        </w:rPr>
        <w:t>a</w:t>
      </w:r>
      <w:r w:rsidR="00A6038A" w:rsidRPr="00613198">
        <w:rPr>
          <w:rFonts w:ascii="Times New Roman" w:hAnsi="Times New Roman" w:cs="Times New Roman"/>
          <w:sz w:val="24"/>
          <w:szCs w:val="24"/>
        </w:rPr>
        <w:t xml:space="preserve"> </w:t>
      </w:r>
      <w:r w:rsidR="003874A2" w:rsidRPr="00613198">
        <w:rPr>
          <w:rFonts w:ascii="Times New Roman" w:hAnsi="Times New Roman" w:cs="Times New Roman"/>
          <w:sz w:val="24"/>
          <w:szCs w:val="24"/>
        </w:rPr>
        <w:t xml:space="preserve">z niej wszystkim zainteresowanym. Umożliwi to również monitorowanie rozwoju agregacji w całym kraju. </w:t>
      </w:r>
      <w:r w:rsidR="00DB5FC1">
        <w:rPr>
          <w:rFonts w:ascii="Times New Roman" w:hAnsi="Times New Roman" w:cs="Times New Roman"/>
          <w:sz w:val="24"/>
          <w:szCs w:val="24"/>
        </w:rPr>
        <w:t>Wykaz</w:t>
      </w:r>
      <w:r w:rsidR="003874A2" w:rsidRPr="00613198">
        <w:rPr>
          <w:rFonts w:ascii="Times New Roman" w:hAnsi="Times New Roman" w:cs="Times New Roman"/>
          <w:sz w:val="24"/>
          <w:szCs w:val="24"/>
        </w:rPr>
        <w:t xml:space="preserve"> ten prowadzony ma być przez Prezesa URE w formie elektronicznej. Prezes URE dokona wpisu agregatora do </w:t>
      </w:r>
      <w:r w:rsidR="00DB5FC1">
        <w:rPr>
          <w:rFonts w:ascii="Times New Roman" w:hAnsi="Times New Roman" w:cs="Times New Roman"/>
          <w:sz w:val="24"/>
          <w:szCs w:val="24"/>
        </w:rPr>
        <w:t>wykazu</w:t>
      </w:r>
      <w:r w:rsidR="003874A2" w:rsidRPr="00613198">
        <w:rPr>
          <w:rFonts w:ascii="Times New Roman" w:hAnsi="Times New Roman" w:cs="Times New Roman"/>
          <w:sz w:val="24"/>
          <w:szCs w:val="24"/>
        </w:rPr>
        <w:t xml:space="preserve"> na jego wniosek. </w:t>
      </w:r>
    </w:p>
    <w:p w14:paraId="0F4E4C08" w14:textId="6D2B5D87" w:rsidR="009E6E51" w:rsidRPr="00613198" w:rsidRDefault="009E6E51" w:rsidP="009E6E51">
      <w:pPr>
        <w:spacing w:after="120" w:line="360" w:lineRule="auto"/>
        <w:ind w:firstLine="708"/>
        <w:jc w:val="both"/>
        <w:rPr>
          <w:rFonts w:ascii="Times New Roman" w:hAnsi="Times New Roman" w:cs="Times New Roman"/>
          <w:sz w:val="24"/>
          <w:szCs w:val="24"/>
        </w:rPr>
      </w:pPr>
      <w:r w:rsidRPr="00613198">
        <w:rPr>
          <w:rFonts w:ascii="Times New Roman" w:hAnsi="Times New Roman" w:cs="Times New Roman"/>
          <w:sz w:val="24"/>
          <w:szCs w:val="24"/>
        </w:rPr>
        <w:t>W zakresie rozwiązywani</w:t>
      </w:r>
      <w:r w:rsidR="0046415B" w:rsidRPr="00613198">
        <w:rPr>
          <w:rFonts w:ascii="Times New Roman" w:hAnsi="Times New Roman" w:cs="Times New Roman"/>
          <w:sz w:val="24"/>
          <w:szCs w:val="24"/>
        </w:rPr>
        <w:t>a</w:t>
      </w:r>
      <w:r w:rsidRPr="00613198">
        <w:rPr>
          <w:rFonts w:ascii="Times New Roman" w:hAnsi="Times New Roman" w:cs="Times New Roman"/>
          <w:sz w:val="24"/>
          <w:szCs w:val="24"/>
        </w:rPr>
        <w:t xml:space="preserve"> konfliktów pomiędzy agregatorami</w:t>
      </w:r>
      <w:r w:rsidR="0046415B" w:rsidRPr="00613198">
        <w:rPr>
          <w:rFonts w:ascii="Times New Roman" w:hAnsi="Times New Roman" w:cs="Times New Roman"/>
          <w:sz w:val="24"/>
          <w:szCs w:val="24"/>
        </w:rPr>
        <w:t xml:space="preserve"> a innymi uczestnikami rynku</w:t>
      </w:r>
      <w:r w:rsidR="00A70D0B" w:rsidRPr="00613198">
        <w:rPr>
          <w:rFonts w:ascii="Times New Roman" w:hAnsi="Times New Roman" w:cs="Times New Roman"/>
          <w:sz w:val="24"/>
          <w:szCs w:val="24"/>
        </w:rPr>
        <w:t xml:space="preserve"> właściwy</w:t>
      </w:r>
      <w:r w:rsidRPr="00613198">
        <w:rPr>
          <w:rFonts w:ascii="Times New Roman" w:hAnsi="Times New Roman" w:cs="Times New Roman"/>
          <w:sz w:val="24"/>
          <w:szCs w:val="24"/>
        </w:rPr>
        <w:t xml:space="preserve"> będzie Koordynator do spraw negocjacji działający przy Prezesie URE,</w:t>
      </w:r>
      <w:r w:rsidR="0046415B" w:rsidRPr="00613198">
        <w:rPr>
          <w:rFonts w:ascii="Times New Roman" w:hAnsi="Times New Roman" w:cs="Times New Roman"/>
          <w:sz w:val="24"/>
          <w:szCs w:val="24"/>
        </w:rPr>
        <w:t xml:space="preserve"> d</w:t>
      </w:r>
      <w:r w:rsidR="00BE4F3D" w:rsidRPr="00613198">
        <w:rPr>
          <w:rFonts w:ascii="Times New Roman" w:hAnsi="Times New Roman" w:cs="Times New Roman"/>
          <w:sz w:val="24"/>
          <w:szCs w:val="24"/>
        </w:rPr>
        <w:t>o którego stosuje się przepisy</w:t>
      </w:r>
      <w:r w:rsidR="0046415B" w:rsidRPr="00613198">
        <w:rPr>
          <w:rFonts w:ascii="Times New Roman" w:hAnsi="Times New Roman" w:cs="Times New Roman"/>
          <w:sz w:val="24"/>
          <w:szCs w:val="24"/>
        </w:rPr>
        <w:t xml:space="preserve"> </w:t>
      </w:r>
      <w:r w:rsidRPr="00613198">
        <w:rPr>
          <w:rFonts w:ascii="Times New Roman" w:hAnsi="Times New Roman" w:cs="Times New Roman"/>
          <w:sz w:val="24"/>
          <w:szCs w:val="24"/>
        </w:rPr>
        <w:t xml:space="preserve">rozdziału 4a ustawy – </w:t>
      </w:r>
      <w:r w:rsidR="00BF79A7" w:rsidRPr="00613198">
        <w:rPr>
          <w:rFonts w:ascii="Times New Roman" w:hAnsi="Times New Roman" w:cs="Times New Roman"/>
          <w:sz w:val="24"/>
          <w:szCs w:val="24"/>
        </w:rPr>
        <w:t>Prawo energetyczne</w:t>
      </w:r>
      <w:r w:rsidRPr="00613198">
        <w:rPr>
          <w:rFonts w:ascii="Times New Roman" w:hAnsi="Times New Roman" w:cs="Times New Roman"/>
          <w:sz w:val="24"/>
          <w:szCs w:val="24"/>
        </w:rPr>
        <w:t>. Z tego względu rozszerzono jego kompetencje o możliwość prowadzenia postępowań w sprawie pozasądowego rozstrzygania sporów wynikłych z umów o świadczenie usług agregacji.</w:t>
      </w:r>
    </w:p>
    <w:p w14:paraId="49C77AAA" w14:textId="77777777" w:rsidR="009E6E51" w:rsidRPr="00613198" w:rsidRDefault="009E6E51" w:rsidP="00FB4958">
      <w:pPr>
        <w:spacing w:after="120" w:line="360" w:lineRule="auto"/>
        <w:ind w:firstLine="708"/>
        <w:jc w:val="both"/>
        <w:rPr>
          <w:rFonts w:ascii="Times New Roman" w:hAnsi="Times New Roman" w:cs="Times New Roman"/>
          <w:sz w:val="24"/>
          <w:szCs w:val="24"/>
        </w:rPr>
      </w:pPr>
      <w:r w:rsidRPr="00613198">
        <w:rPr>
          <w:rFonts w:ascii="Times New Roman" w:hAnsi="Times New Roman" w:cs="Times New Roman"/>
          <w:sz w:val="24"/>
          <w:szCs w:val="24"/>
        </w:rPr>
        <w:t>Agregacja została wyłączona z obowiązku sporządzania taryf, ponieważ brak jest celowości i uzasadnienia merytorycznego</w:t>
      </w:r>
      <w:r w:rsidR="0046415B" w:rsidRPr="00613198">
        <w:rPr>
          <w:rFonts w:ascii="Times New Roman" w:hAnsi="Times New Roman" w:cs="Times New Roman"/>
          <w:sz w:val="24"/>
          <w:szCs w:val="24"/>
        </w:rPr>
        <w:t xml:space="preserve"> wprowadzenia takiego obowiązku</w:t>
      </w:r>
      <w:r w:rsidRPr="00613198">
        <w:rPr>
          <w:rFonts w:ascii="Times New Roman" w:hAnsi="Times New Roman" w:cs="Times New Roman"/>
          <w:sz w:val="24"/>
          <w:szCs w:val="24"/>
        </w:rPr>
        <w:t xml:space="preserve">. </w:t>
      </w:r>
    </w:p>
    <w:p w14:paraId="04B9B419" w14:textId="77777777" w:rsidR="00722871" w:rsidRPr="00613198" w:rsidRDefault="00722871" w:rsidP="00FB4958">
      <w:pPr>
        <w:spacing w:after="120" w:line="360" w:lineRule="auto"/>
        <w:ind w:firstLine="708"/>
        <w:jc w:val="both"/>
        <w:rPr>
          <w:rFonts w:ascii="Times New Roman" w:hAnsi="Times New Roman" w:cs="Times New Roman"/>
          <w:b/>
          <w:sz w:val="24"/>
          <w:szCs w:val="24"/>
        </w:rPr>
      </w:pPr>
      <w:r w:rsidRPr="00613198">
        <w:rPr>
          <w:rFonts w:ascii="Times New Roman" w:hAnsi="Times New Roman" w:cs="Times New Roman"/>
          <w:b/>
          <w:sz w:val="24"/>
          <w:szCs w:val="24"/>
        </w:rPr>
        <w:t>Odbiorca aktywny</w:t>
      </w:r>
    </w:p>
    <w:p w14:paraId="633EE744" w14:textId="77777777" w:rsidR="0027047B" w:rsidRPr="00613198" w:rsidRDefault="00722871" w:rsidP="0027047B">
      <w:pPr>
        <w:spacing w:after="120" w:line="360" w:lineRule="auto"/>
        <w:ind w:firstLine="708"/>
        <w:jc w:val="both"/>
        <w:rPr>
          <w:rFonts w:ascii="Times New Roman" w:hAnsi="Times New Roman" w:cs="Times New Roman"/>
          <w:sz w:val="24"/>
          <w:szCs w:val="24"/>
        </w:rPr>
      </w:pPr>
      <w:r w:rsidRPr="00613198">
        <w:rPr>
          <w:rFonts w:ascii="Times New Roman" w:hAnsi="Times New Roman" w:cs="Times New Roman"/>
          <w:sz w:val="24"/>
          <w:szCs w:val="24"/>
        </w:rPr>
        <w:t xml:space="preserve">Dyrektywa </w:t>
      </w:r>
      <w:r w:rsidR="0027047B" w:rsidRPr="00613198">
        <w:rPr>
          <w:rFonts w:ascii="Times New Roman" w:hAnsi="Times New Roman" w:cs="Times New Roman"/>
          <w:sz w:val="24"/>
          <w:szCs w:val="24"/>
        </w:rPr>
        <w:t xml:space="preserve">2019/944 obliguje </w:t>
      </w:r>
      <w:r w:rsidRPr="00613198">
        <w:rPr>
          <w:rFonts w:ascii="Times New Roman" w:hAnsi="Times New Roman" w:cs="Times New Roman"/>
          <w:sz w:val="24"/>
          <w:szCs w:val="24"/>
        </w:rPr>
        <w:t xml:space="preserve">państwa członkowskie </w:t>
      </w:r>
      <w:r w:rsidR="0027047B" w:rsidRPr="00613198">
        <w:rPr>
          <w:rFonts w:ascii="Times New Roman" w:hAnsi="Times New Roman" w:cs="Times New Roman"/>
          <w:sz w:val="24"/>
          <w:szCs w:val="24"/>
        </w:rPr>
        <w:t>do zapewnienia odbiorcom</w:t>
      </w:r>
      <w:r w:rsidR="00A70D0B" w:rsidRPr="00613198">
        <w:rPr>
          <w:rFonts w:ascii="Times New Roman" w:hAnsi="Times New Roman" w:cs="Times New Roman"/>
          <w:sz w:val="24"/>
          <w:szCs w:val="24"/>
        </w:rPr>
        <w:t xml:space="preserve"> </w:t>
      </w:r>
      <w:r w:rsidR="0027047B" w:rsidRPr="00613198">
        <w:rPr>
          <w:rFonts w:ascii="Times New Roman" w:hAnsi="Times New Roman" w:cs="Times New Roman"/>
          <w:sz w:val="24"/>
          <w:szCs w:val="24"/>
        </w:rPr>
        <w:t xml:space="preserve">końcowym </w:t>
      </w:r>
      <w:bookmarkStart w:id="5" w:name="_Hlk86235334"/>
      <w:r w:rsidR="0027047B" w:rsidRPr="00613198">
        <w:rPr>
          <w:rFonts w:ascii="Times New Roman" w:hAnsi="Times New Roman" w:cs="Times New Roman"/>
          <w:sz w:val="24"/>
          <w:szCs w:val="24"/>
        </w:rPr>
        <w:t>możliwości uczestniczenia oraz czerpania korzyści z ich bezpośredniego uczestnictwa w rynku energii elektrycznej</w:t>
      </w:r>
      <w:bookmarkEnd w:id="5"/>
      <w:r w:rsidR="0027047B" w:rsidRPr="00613198">
        <w:rPr>
          <w:rFonts w:ascii="Times New Roman" w:hAnsi="Times New Roman" w:cs="Times New Roman"/>
          <w:sz w:val="24"/>
          <w:szCs w:val="24"/>
        </w:rPr>
        <w:t xml:space="preserve">, w szczególności przez </w:t>
      </w:r>
      <w:bookmarkStart w:id="6" w:name="_Hlk86235636"/>
      <w:r w:rsidR="0027047B" w:rsidRPr="00613198">
        <w:rPr>
          <w:rFonts w:ascii="Times New Roman" w:hAnsi="Times New Roman" w:cs="Times New Roman"/>
          <w:sz w:val="24"/>
          <w:szCs w:val="24"/>
        </w:rPr>
        <w:t xml:space="preserve">dostosowywanie swojego zużycia energii w odpowiedzi na sygnały rynkowe. W zamian za </w:t>
      </w:r>
      <w:r w:rsidR="008C5290" w:rsidRPr="00613198">
        <w:rPr>
          <w:rFonts w:ascii="Times New Roman" w:hAnsi="Times New Roman" w:cs="Times New Roman"/>
          <w:sz w:val="24"/>
          <w:szCs w:val="24"/>
        </w:rPr>
        <w:t xml:space="preserve">to dostosowanie, </w:t>
      </w:r>
      <w:r w:rsidRPr="00613198">
        <w:rPr>
          <w:rFonts w:ascii="Times New Roman" w:hAnsi="Times New Roman" w:cs="Times New Roman"/>
          <w:sz w:val="24"/>
          <w:szCs w:val="24"/>
        </w:rPr>
        <w:t xml:space="preserve">odbiorcy </w:t>
      </w:r>
      <w:r w:rsidR="008C5290" w:rsidRPr="00613198">
        <w:rPr>
          <w:rFonts w:ascii="Times New Roman" w:hAnsi="Times New Roman" w:cs="Times New Roman"/>
          <w:sz w:val="24"/>
          <w:szCs w:val="24"/>
        </w:rPr>
        <w:t xml:space="preserve">aktywnemu </w:t>
      </w:r>
      <w:r w:rsidRPr="00613198">
        <w:rPr>
          <w:rFonts w:ascii="Times New Roman" w:hAnsi="Times New Roman" w:cs="Times New Roman"/>
          <w:sz w:val="24"/>
          <w:szCs w:val="24"/>
        </w:rPr>
        <w:t>należy u</w:t>
      </w:r>
      <w:r w:rsidR="0027047B" w:rsidRPr="00613198">
        <w:rPr>
          <w:rFonts w:ascii="Times New Roman" w:hAnsi="Times New Roman" w:cs="Times New Roman"/>
          <w:sz w:val="24"/>
          <w:szCs w:val="24"/>
        </w:rPr>
        <w:t>możliw</w:t>
      </w:r>
      <w:r w:rsidRPr="00613198">
        <w:rPr>
          <w:rFonts w:ascii="Times New Roman" w:hAnsi="Times New Roman" w:cs="Times New Roman"/>
          <w:sz w:val="24"/>
          <w:szCs w:val="24"/>
        </w:rPr>
        <w:t xml:space="preserve">ić </w:t>
      </w:r>
      <w:r w:rsidR="0027047B" w:rsidRPr="00613198">
        <w:rPr>
          <w:rFonts w:ascii="Times New Roman" w:hAnsi="Times New Roman" w:cs="Times New Roman"/>
          <w:sz w:val="24"/>
          <w:szCs w:val="24"/>
        </w:rPr>
        <w:t>korzystani</w:t>
      </w:r>
      <w:r w:rsidRPr="00613198">
        <w:rPr>
          <w:rFonts w:ascii="Times New Roman" w:hAnsi="Times New Roman" w:cs="Times New Roman"/>
          <w:sz w:val="24"/>
          <w:szCs w:val="24"/>
        </w:rPr>
        <w:t>e</w:t>
      </w:r>
      <w:r w:rsidR="0027047B" w:rsidRPr="00613198">
        <w:rPr>
          <w:rFonts w:ascii="Times New Roman" w:hAnsi="Times New Roman" w:cs="Times New Roman"/>
          <w:sz w:val="24"/>
          <w:szCs w:val="24"/>
        </w:rPr>
        <w:t xml:space="preserve"> z niższych cen energii lub otrzymyw</w:t>
      </w:r>
      <w:r w:rsidR="008C5290" w:rsidRPr="00613198">
        <w:rPr>
          <w:rFonts w:ascii="Times New Roman" w:hAnsi="Times New Roman" w:cs="Times New Roman"/>
          <w:sz w:val="24"/>
          <w:szCs w:val="24"/>
        </w:rPr>
        <w:t>anie innych zachęt finansowych.</w:t>
      </w:r>
    </w:p>
    <w:bookmarkEnd w:id="6"/>
    <w:p w14:paraId="7F3B00C7" w14:textId="64666C6F" w:rsidR="008C5290" w:rsidRPr="00613198" w:rsidRDefault="008C5290" w:rsidP="0027047B">
      <w:pPr>
        <w:spacing w:after="120" w:line="360" w:lineRule="auto"/>
        <w:ind w:firstLine="708"/>
        <w:jc w:val="both"/>
        <w:rPr>
          <w:rFonts w:ascii="Times New Roman" w:hAnsi="Times New Roman" w:cs="Times New Roman"/>
          <w:sz w:val="24"/>
          <w:szCs w:val="24"/>
        </w:rPr>
      </w:pPr>
      <w:r w:rsidRPr="00613198">
        <w:rPr>
          <w:rFonts w:ascii="Times New Roman" w:hAnsi="Times New Roman" w:cs="Times New Roman"/>
          <w:sz w:val="24"/>
          <w:szCs w:val="24"/>
        </w:rPr>
        <w:t xml:space="preserve">Projekt ustawy </w:t>
      </w:r>
      <w:r w:rsidR="00A6038A">
        <w:rPr>
          <w:rFonts w:ascii="Times New Roman" w:hAnsi="Times New Roman" w:cs="Times New Roman"/>
          <w:sz w:val="24"/>
          <w:szCs w:val="24"/>
        </w:rPr>
        <w:t xml:space="preserve">ma na celu </w:t>
      </w:r>
      <w:r w:rsidR="00A6038A" w:rsidRPr="00613198">
        <w:rPr>
          <w:rFonts w:ascii="Times New Roman" w:hAnsi="Times New Roman" w:cs="Times New Roman"/>
          <w:sz w:val="24"/>
          <w:szCs w:val="24"/>
        </w:rPr>
        <w:t>stw</w:t>
      </w:r>
      <w:r w:rsidR="003E50DE">
        <w:rPr>
          <w:rFonts w:ascii="Times New Roman" w:hAnsi="Times New Roman" w:cs="Times New Roman"/>
          <w:sz w:val="24"/>
          <w:szCs w:val="24"/>
        </w:rPr>
        <w:t>o</w:t>
      </w:r>
      <w:r w:rsidR="00A6038A" w:rsidRPr="00613198">
        <w:rPr>
          <w:rFonts w:ascii="Times New Roman" w:hAnsi="Times New Roman" w:cs="Times New Roman"/>
          <w:sz w:val="24"/>
          <w:szCs w:val="24"/>
        </w:rPr>
        <w:t>rz</w:t>
      </w:r>
      <w:r w:rsidR="00A6038A">
        <w:rPr>
          <w:rFonts w:ascii="Times New Roman" w:hAnsi="Times New Roman" w:cs="Times New Roman"/>
          <w:sz w:val="24"/>
          <w:szCs w:val="24"/>
        </w:rPr>
        <w:t>enie</w:t>
      </w:r>
      <w:r w:rsidR="00A6038A" w:rsidRPr="00613198">
        <w:rPr>
          <w:rFonts w:ascii="Times New Roman" w:hAnsi="Times New Roman" w:cs="Times New Roman"/>
          <w:sz w:val="24"/>
          <w:szCs w:val="24"/>
        </w:rPr>
        <w:t xml:space="preserve"> </w:t>
      </w:r>
      <w:r w:rsidRPr="00613198">
        <w:rPr>
          <w:rFonts w:ascii="Times New Roman" w:hAnsi="Times New Roman" w:cs="Times New Roman"/>
          <w:sz w:val="24"/>
          <w:szCs w:val="24"/>
        </w:rPr>
        <w:t xml:space="preserve">podstaw </w:t>
      </w:r>
      <w:r w:rsidR="00A6038A" w:rsidRPr="00613198">
        <w:rPr>
          <w:rFonts w:ascii="Times New Roman" w:hAnsi="Times New Roman" w:cs="Times New Roman"/>
          <w:sz w:val="24"/>
          <w:szCs w:val="24"/>
        </w:rPr>
        <w:t>prawn</w:t>
      </w:r>
      <w:r w:rsidR="00A6038A">
        <w:rPr>
          <w:rFonts w:ascii="Times New Roman" w:hAnsi="Times New Roman" w:cs="Times New Roman"/>
          <w:sz w:val="24"/>
          <w:szCs w:val="24"/>
        </w:rPr>
        <w:t>ych</w:t>
      </w:r>
      <w:r w:rsidR="00A6038A" w:rsidRPr="00613198">
        <w:rPr>
          <w:rFonts w:ascii="Times New Roman" w:hAnsi="Times New Roman" w:cs="Times New Roman"/>
          <w:sz w:val="24"/>
          <w:szCs w:val="24"/>
        </w:rPr>
        <w:t xml:space="preserve"> </w:t>
      </w:r>
      <w:r w:rsidRPr="00613198">
        <w:rPr>
          <w:rFonts w:ascii="Times New Roman" w:hAnsi="Times New Roman" w:cs="Times New Roman"/>
          <w:sz w:val="24"/>
          <w:szCs w:val="24"/>
        </w:rPr>
        <w:t>do działania odbiorcy aktywnego, którego należy rozumieć jako odbiorcę końcowego lub grupę działających wspólnie odbiorców końcowych, którzy mają możliwość zużywania, magazynowania lub sprzedaży</w:t>
      </w:r>
      <w:r w:rsidR="00E573D1">
        <w:rPr>
          <w:rFonts w:ascii="Times New Roman" w:hAnsi="Times New Roman" w:cs="Times New Roman"/>
          <w:sz w:val="24"/>
          <w:szCs w:val="24"/>
        </w:rPr>
        <w:t xml:space="preserve"> </w:t>
      </w:r>
      <w:r w:rsidRPr="00613198">
        <w:rPr>
          <w:rFonts w:ascii="Times New Roman" w:hAnsi="Times New Roman" w:cs="Times New Roman"/>
          <w:sz w:val="24"/>
          <w:szCs w:val="24"/>
        </w:rPr>
        <w:t xml:space="preserve"> </w:t>
      </w:r>
      <w:bookmarkStart w:id="7" w:name="_Hlk86235388"/>
      <w:r w:rsidRPr="00613198">
        <w:rPr>
          <w:rFonts w:ascii="Times New Roman" w:hAnsi="Times New Roman" w:cs="Times New Roman"/>
          <w:sz w:val="24"/>
          <w:szCs w:val="24"/>
        </w:rPr>
        <w:t>wytworzonej we własnym zakresie energii elektrycznej</w:t>
      </w:r>
      <w:bookmarkEnd w:id="7"/>
      <w:r w:rsidRPr="00613198">
        <w:rPr>
          <w:rFonts w:ascii="Times New Roman" w:hAnsi="Times New Roman" w:cs="Times New Roman"/>
          <w:sz w:val="24"/>
          <w:szCs w:val="24"/>
        </w:rPr>
        <w:t xml:space="preserve">. Stwarza się im również możliwość </w:t>
      </w:r>
      <w:r w:rsidR="00E573D1" w:rsidRPr="00E573D1">
        <w:rPr>
          <w:rFonts w:ascii="Times New Roman" w:hAnsi="Times New Roman" w:cs="Times New Roman"/>
          <w:sz w:val="24"/>
          <w:szCs w:val="24"/>
        </w:rPr>
        <w:t>realizowania przedsięwzięć służących poprawie efektywności energetycznej</w:t>
      </w:r>
      <w:r w:rsidRPr="00613198">
        <w:rPr>
          <w:rFonts w:ascii="Times New Roman" w:hAnsi="Times New Roman" w:cs="Times New Roman"/>
          <w:sz w:val="24"/>
          <w:szCs w:val="24"/>
        </w:rPr>
        <w:t xml:space="preserve">, świadczenia usług systemowych lub usług elastyczności. Jedynym warunkiem jest, aby działalność w tym zakresie nie stanowiła jego podstawowej działalności gospodarczej czy zawodowej. </w:t>
      </w:r>
    </w:p>
    <w:p w14:paraId="1599D3C6" w14:textId="182FBB16" w:rsidR="0027047B" w:rsidRPr="00613198" w:rsidRDefault="008C5290" w:rsidP="007C7E91">
      <w:pPr>
        <w:spacing w:after="120" w:line="360" w:lineRule="auto"/>
        <w:ind w:firstLine="708"/>
        <w:jc w:val="both"/>
        <w:rPr>
          <w:rFonts w:ascii="Times New Roman" w:hAnsi="Times New Roman" w:cs="Times New Roman"/>
          <w:sz w:val="24"/>
          <w:szCs w:val="24"/>
        </w:rPr>
      </w:pPr>
      <w:r w:rsidRPr="00613198">
        <w:rPr>
          <w:rFonts w:ascii="Times New Roman" w:hAnsi="Times New Roman" w:cs="Times New Roman"/>
          <w:sz w:val="24"/>
          <w:szCs w:val="24"/>
        </w:rPr>
        <w:lastRenderedPageBreak/>
        <w:t>Należy zauważyć</w:t>
      </w:r>
      <w:r w:rsidR="0027047B" w:rsidRPr="00613198">
        <w:rPr>
          <w:rFonts w:ascii="Times New Roman" w:hAnsi="Times New Roman" w:cs="Times New Roman"/>
          <w:sz w:val="24"/>
          <w:szCs w:val="24"/>
        </w:rPr>
        <w:t>, że definicja odbiorcy aktywnego jest zdecydowanie szersza</w:t>
      </w:r>
      <w:r w:rsidRPr="00613198">
        <w:rPr>
          <w:rFonts w:ascii="Times New Roman" w:hAnsi="Times New Roman" w:cs="Times New Roman"/>
          <w:sz w:val="24"/>
          <w:szCs w:val="24"/>
        </w:rPr>
        <w:t xml:space="preserve"> od definicji funkcjonującego w polskim porządku prawnym prosumenta ener</w:t>
      </w:r>
      <w:r w:rsidR="00A70D0B" w:rsidRPr="00613198">
        <w:rPr>
          <w:rFonts w:ascii="Times New Roman" w:hAnsi="Times New Roman" w:cs="Times New Roman"/>
          <w:sz w:val="24"/>
          <w:szCs w:val="24"/>
        </w:rPr>
        <w:t xml:space="preserve">gii odnawialnej, o którym mowa </w:t>
      </w:r>
      <w:r w:rsidRPr="00613198">
        <w:rPr>
          <w:rFonts w:ascii="Times New Roman" w:hAnsi="Times New Roman" w:cs="Times New Roman"/>
          <w:sz w:val="24"/>
          <w:szCs w:val="24"/>
        </w:rPr>
        <w:t xml:space="preserve"> w ustawie </w:t>
      </w:r>
      <w:r w:rsidR="00A6038A">
        <w:rPr>
          <w:rFonts w:ascii="Times New Roman" w:hAnsi="Times New Roman" w:cs="Times New Roman"/>
          <w:sz w:val="24"/>
          <w:szCs w:val="24"/>
        </w:rPr>
        <w:t xml:space="preserve">o </w:t>
      </w:r>
      <w:proofErr w:type="spellStart"/>
      <w:r w:rsidR="00A6038A">
        <w:rPr>
          <w:rFonts w:ascii="Times New Roman" w:hAnsi="Times New Roman" w:cs="Times New Roman"/>
          <w:sz w:val="24"/>
          <w:szCs w:val="24"/>
        </w:rPr>
        <w:t>o</w:t>
      </w:r>
      <w:r w:rsidR="00E3420A">
        <w:rPr>
          <w:rFonts w:ascii="Times New Roman" w:hAnsi="Times New Roman" w:cs="Times New Roman"/>
          <w:sz w:val="24"/>
          <w:szCs w:val="24"/>
        </w:rPr>
        <w:t>ze</w:t>
      </w:r>
      <w:proofErr w:type="spellEnd"/>
      <w:r w:rsidRPr="00613198">
        <w:rPr>
          <w:rFonts w:ascii="Times New Roman" w:hAnsi="Times New Roman" w:cs="Times New Roman"/>
          <w:sz w:val="24"/>
          <w:szCs w:val="24"/>
        </w:rPr>
        <w:t>,  którego zgodnie z art. 2 pkt 27a</w:t>
      </w:r>
      <w:r w:rsidR="002F17F4" w:rsidRPr="00613198">
        <w:rPr>
          <w:rFonts w:ascii="Times New Roman" w:hAnsi="Times New Roman" w:cs="Times New Roman"/>
          <w:sz w:val="24"/>
          <w:szCs w:val="24"/>
        </w:rPr>
        <w:t xml:space="preserve"> tej ustawy</w:t>
      </w:r>
      <w:r w:rsidR="00F64594" w:rsidRPr="00613198">
        <w:rPr>
          <w:rFonts w:ascii="Times New Roman" w:hAnsi="Times New Roman" w:cs="Times New Roman"/>
          <w:sz w:val="24"/>
          <w:szCs w:val="24"/>
        </w:rPr>
        <w:t>,</w:t>
      </w:r>
      <w:r w:rsidRPr="00613198">
        <w:rPr>
          <w:rFonts w:ascii="Times New Roman" w:hAnsi="Times New Roman" w:cs="Times New Roman"/>
          <w:sz w:val="24"/>
          <w:szCs w:val="24"/>
        </w:rPr>
        <w:t xml:space="preserve"> należy definiować jako odbiorcę końcowego wytwarzającego energię elektryczną wyłącznie z odnawialnych źródeł energii na własne potrzeby w </w:t>
      </w:r>
      <w:proofErr w:type="spellStart"/>
      <w:r w:rsidRPr="00613198">
        <w:rPr>
          <w:rFonts w:ascii="Times New Roman" w:hAnsi="Times New Roman" w:cs="Times New Roman"/>
          <w:sz w:val="24"/>
          <w:szCs w:val="24"/>
        </w:rPr>
        <w:t>mikroinstalacji</w:t>
      </w:r>
      <w:proofErr w:type="spellEnd"/>
      <w:r w:rsidRPr="00613198">
        <w:rPr>
          <w:rFonts w:ascii="Times New Roman" w:hAnsi="Times New Roman" w:cs="Times New Roman"/>
          <w:sz w:val="24"/>
          <w:szCs w:val="24"/>
        </w:rPr>
        <w:t xml:space="preserve">, pod warunkiem że w przypadku odbiorcy końcowego niebędącego odbiorcą energii elektrycznej w gospodarstwie domowym, nie stanowi to przedmiotu przeważającej działalności gospodarczej określonej zgodnie z przepisami wydanymi na podstawie art. 40 ust. 2 ustawy z dnia 29 czerwca 1995 r. o statystyce publicznej (Dz. U. </w:t>
      </w:r>
      <w:r w:rsidR="007C7E91" w:rsidRPr="007C7E91">
        <w:rPr>
          <w:rFonts w:ascii="Times New Roman" w:hAnsi="Times New Roman" w:cs="Times New Roman"/>
          <w:sz w:val="24"/>
          <w:szCs w:val="24"/>
        </w:rPr>
        <w:t>z 2022 r.</w:t>
      </w:r>
      <w:r w:rsidR="007C7E91">
        <w:rPr>
          <w:rFonts w:ascii="Times New Roman" w:hAnsi="Times New Roman" w:cs="Times New Roman"/>
          <w:sz w:val="24"/>
          <w:szCs w:val="24"/>
        </w:rPr>
        <w:t xml:space="preserve"> </w:t>
      </w:r>
      <w:r w:rsidR="007C7E91" w:rsidRPr="007C7E91">
        <w:rPr>
          <w:rFonts w:ascii="Times New Roman" w:hAnsi="Times New Roman" w:cs="Times New Roman"/>
          <w:sz w:val="24"/>
          <w:szCs w:val="24"/>
        </w:rPr>
        <w:t>poz. 459</w:t>
      </w:r>
      <w:r w:rsidR="007C7E91">
        <w:rPr>
          <w:rFonts w:ascii="Times New Roman" w:hAnsi="Times New Roman" w:cs="Times New Roman"/>
          <w:sz w:val="24"/>
          <w:szCs w:val="24"/>
        </w:rPr>
        <w:t xml:space="preserve"> i </w:t>
      </w:r>
      <w:r w:rsidR="007C7E91" w:rsidRPr="007C7E91">
        <w:rPr>
          <w:rFonts w:ascii="Times New Roman" w:hAnsi="Times New Roman" w:cs="Times New Roman"/>
          <w:sz w:val="24"/>
          <w:szCs w:val="24"/>
        </w:rPr>
        <w:t>830</w:t>
      </w:r>
      <w:r w:rsidRPr="00613198">
        <w:rPr>
          <w:rFonts w:ascii="Times New Roman" w:hAnsi="Times New Roman" w:cs="Times New Roman"/>
          <w:sz w:val="24"/>
          <w:szCs w:val="24"/>
        </w:rPr>
        <w:t xml:space="preserve">). Odbiorcy aktywnemu umożliwia się </w:t>
      </w:r>
      <w:r w:rsidR="0027047B" w:rsidRPr="00613198">
        <w:rPr>
          <w:rFonts w:ascii="Times New Roman" w:hAnsi="Times New Roman" w:cs="Times New Roman"/>
          <w:sz w:val="24"/>
          <w:szCs w:val="24"/>
        </w:rPr>
        <w:t>działani</w:t>
      </w:r>
      <w:r w:rsidRPr="00613198">
        <w:rPr>
          <w:rFonts w:ascii="Times New Roman" w:hAnsi="Times New Roman" w:cs="Times New Roman"/>
          <w:sz w:val="24"/>
          <w:szCs w:val="24"/>
        </w:rPr>
        <w:t>e</w:t>
      </w:r>
      <w:r w:rsidR="0027047B" w:rsidRPr="00613198">
        <w:rPr>
          <w:rFonts w:ascii="Times New Roman" w:hAnsi="Times New Roman" w:cs="Times New Roman"/>
          <w:sz w:val="24"/>
          <w:szCs w:val="24"/>
        </w:rPr>
        <w:t xml:space="preserve"> w zdecydowanie</w:t>
      </w:r>
      <w:r w:rsidR="00E573D1">
        <w:rPr>
          <w:rFonts w:ascii="Times New Roman" w:hAnsi="Times New Roman" w:cs="Times New Roman"/>
          <w:sz w:val="24"/>
          <w:szCs w:val="24"/>
        </w:rPr>
        <w:t xml:space="preserve"> szerszym </w:t>
      </w:r>
      <w:r w:rsidR="0027047B" w:rsidRPr="00613198">
        <w:rPr>
          <w:rFonts w:ascii="Times New Roman" w:hAnsi="Times New Roman" w:cs="Times New Roman"/>
          <w:sz w:val="24"/>
          <w:szCs w:val="24"/>
        </w:rPr>
        <w:t>zakresie niż regulacje dotyczące p</w:t>
      </w:r>
      <w:r w:rsidRPr="00613198">
        <w:rPr>
          <w:rFonts w:ascii="Times New Roman" w:hAnsi="Times New Roman" w:cs="Times New Roman"/>
          <w:sz w:val="24"/>
          <w:szCs w:val="24"/>
        </w:rPr>
        <w:t xml:space="preserve">rosumentów energii odnawialnej, </w:t>
      </w:r>
      <w:r w:rsidR="0027047B" w:rsidRPr="00613198">
        <w:rPr>
          <w:rFonts w:ascii="Times New Roman" w:hAnsi="Times New Roman" w:cs="Times New Roman"/>
          <w:sz w:val="24"/>
          <w:szCs w:val="24"/>
        </w:rPr>
        <w:t>dlatego też zdecydowano się na stworzenie odrębnych ram prawnych dla odbiorców aktywnych</w:t>
      </w:r>
      <w:r w:rsidR="00B011EA">
        <w:rPr>
          <w:rFonts w:ascii="Times New Roman" w:hAnsi="Times New Roman" w:cs="Times New Roman"/>
          <w:sz w:val="24"/>
          <w:szCs w:val="24"/>
        </w:rPr>
        <w:t xml:space="preserve">, którymi są także </w:t>
      </w:r>
      <w:r w:rsidR="007D072D">
        <w:rPr>
          <w:rFonts w:ascii="Times New Roman" w:hAnsi="Times New Roman" w:cs="Times New Roman"/>
          <w:sz w:val="24"/>
          <w:szCs w:val="24"/>
        </w:rPr>
        <w:t>prosumenci</w:t>
      </w:r>
      <w:r w:rsidR="0027047B" w:rsidRPr="00613198">
        <w:rPr>
          <w:rFonts w:ascii="Times New Roman" w:hAnsi="Times New Roman" w:cs="Times New Roman"/>
          <w:sz w:val="24"/>
          <w:szCs w:val="24"/>
        </w:rPr>
        <w:t xml:space="preserve">. </w:t>
      </w:r>
    </w:p>
    <w:p w14:paraId="10119581" w14:textId="33BC01DB" w:rsidR="00E573D1" w:rsidRPr="00911838" w:rsidRDefault="0027047B" w:rsidP="00911838">
      <w:pPr>
        <w:spacing w:after="120" w:line="360" w:lineRule="auto"/>
        <w:ind w:firstLine="708"/>
        <w:jc w:val="both"/>
        <w:rPr>
          <w:rFonts w:ascii="Times New Roman" w:hAnsi="Times New Roman" w:cs="Times New Roman"/>
          <w:b/>
          <w:bCs/>
          <w:sz w:val="24"/>
          <w:szCs w:val="24"/>
        </w:rPr>
      </w:pPr>
      <w:r w:rsidRPr="00613198">
        <w:rPr>
          <w:rFonts w:ascii="Times New Roman" w:hAnsi="Times New Roman" w:cs="Times New Roman"/>
          <w:sz w:val="24"/>
          <w:szCs w:val="24"/>
        </w:rPr>
        <w:t xml:space="preserve">Zgodnie z projektem ustawy odbiorca aktywny może </w:t>
      </w:r>
      <w:r w:rsidR="003E50DE">
        <w:rPr>
          <w:rFonts w:ascii="Times New Roman" w:hAnsi="Times New Roman" w:cs="Times New Roman"/>
          <w:sz w:val="24"/>
          <w:szCs w:val="24"/>
        </w:rPr>
        <w:t xml:space="preserve">działać </w:t>
      </w:r>
      <w:r w:rsidRPr="00613198">
        <w:rPr>
          <w:rFonts w:ascii="Times New Roman" w:hAnsi="Times New Roman" w:cs="Times New Roman"/>
          <w:sz w:val="24"/>
          <w:szCs w:val="24"/>
        </w:rPr>
        <w:t xml:space="preserve">samodzielnie lub za pośrednictwem agregacji. </w:t>
      </w:r>
      <w:r w:rsidR="00E573D1" w:rsidRPr="00E573D1">
        <w:rPr>
          <w:rFonts w:ascii="Times New Roman" w:hAnsi="Times New Roman" w:cs="Times New Roman"/>
          <w:sz w:val="24"/>
          <w:szCs w:val="24"/>
        </w:rPr>
        <w:t xml:space="preserve">Dyrektywa obliguje państwa członkowskie do zapewnienia odbiorcom aktywnym osobnego rozliczenia energii elektrycznej, wprowadzanej do sieci i zużywanej energii elektrycznej z sieci, tak by w odpowiedni i wyważony sposób uczestniczyli w ogólnym podziale kosztów systemu (art. 15 ust. 2 lit. e). Osobne rozliczenie wprowadzonej do sieci i pobranej z niej energii elektrycznej zapewnia </w:t>
      </w:r>
      <w:r w:rsidR="00B011EA" w:rsidRPr="00D839C9">
        <w:rPr>
          <w:rFonts w:ascii="Times New Roman" w:hAnsi="Times New Roman" w:cs="Times New Roman"/>
          <w:sz w:val="24"/>
          <w:szCs w:val="24"/>
        </w:rPr>
        <w:t>ustaw</w:t>
      </w:r>
      <w:r w:rsidR="00B011EA">
        <w:rPr>
          <w:rFonts w:ascii="Times New Roman" w:hAnsi="Times New Roman" w:cs="Times New Roman"/>
          <w:sz w:val="24"/>
          <w:szCs w:val="24"/>
        </w:rPr>
        <w:t xml:space="preserve">a </w:t>
      </w:r>
      <w:r w:rsidR="00D818CE" w:rsidRPr="00D818CE">
        <w:rPr>
          <w:rFonts w:ascii="Times New Roman" w:hAnsi="Times New Roman" w:cs="Times New Roman"/>
          <w:sz w:val="24"/>
          <w:szCs w:val="24"/>
        </w:rPr>
        <w:t>z dnia 20 maja 2021 r. o zmianie ustawy - Prawo energetyczne oraz niektórych innych ustaw</w:t>
      </w:r>
      <w:r w:rsidR="00D818CE">
        <w:rPr>
          <w:rFonts w:ascii="Times New Roman" w:hAnsi="Times New Roman" w:cs="Times New Roman"/>
          <w:sz w:val="24"/>
          <w:szCs w:val="24"/>
        </w:rPr>
        <w:t xml:space="preserve">, </w:t>
      </w:r>
      <w:r w:rsidR="00E573D1" w:rsidRPr="00E573D1">
        <w:rPr>
          <w:rFonts w:ascii="Times New Roman" w:hAnsi="Times New Roman" w:cs="Times New Roman"/>
          <w:sz w:val="24"/>
          <w:szCs w:val="24"/>
        </w:rPr>
        <w:t xml:space="preserve"> w rozdziale dotyczącym zasad funkcjonowania systemu pomiarowego oraz w wydanym na jego postawie rozporządzeniu pomiarowym – poprzez liczniki i system zdalnego odczytu</w:t>
      </w:r>
      <w:r w:rsidR="00911838">
        <w:rPr>
          <w:rFonts w:ascii="Times New Roman" w:hAnsi="Times New Roman" w:cs="Times New Roman"/>
          <w:sz w:val="24"/>
          <w:szCs w:val="24"/>
        </w:rPr>
        <w:t>)</w:t>
      </w:r>
      <w:r w:rsidR="00E573D1" w:rsidRPr="00E573D1">
        <w:rPr>
          <w:rFonts w:ascii="Times New Roman" w:hAnsi="Times New Roman" w:cs="Times New Roman"/>
          <w:sz w:val="24"/>
          <w:szCs w:val="24"/>
        </w:rPr>
        <w:t xml:space="preserve">. </w:t>
      </w:r>
      <w:r w:rsidR="00911838">
        <w:rPr>
          <w:rFonts w:ascii="Times New Roman" w:hAnsi="Times New Roman" w:cs="Times New Roman"/>
          <w:sz w:val="24"/>
          <w:szCs w:val="24"/>
        </w:rPr>
        <w:t>U</w:t>
      </w:r>
      <w:r w:rsidR="00B011EA">
        <w:rPr>
          <w:rFonts w:ascii="Times New Roman" w:hAnsi="Times New Roman" w:cs="Times New Roman"/>
          <w:sz w:val="24"/>
          <w:szCs w:val="24"/>
        </w:rPr>
        <w:t>stawa</w:t>
      </w:r>
      <w:r w:rsidR="00B011EA" w:rsidRPr="00E573D1">
        <w:rPr>
          <w:rFonts w:ascii="Times New Roman" w:hAnsi="Times New Roman" w:cs="Times New Roman"/>
          <w:sz w:val="24"/>
          <w:szCs w:val="24"/>
        </w:rPr>
        <w:t xml:space="preserve"> </w:t>
      </w:r>
      <w:r w:rsidR="00E573D1" w:rsidRPr="00E573D1">
        <w:rPr>
          <w:rFonts w:ascii="Times New Roman" w:hAnsi="Times New Roman" w:cs="Times New Roman"/>
          <w:sz w:val="24"/>
          <w:szCs w:val="24"/>
        </w:rPr>
        <w:t xml:space="preserve">zakłada instalację liczników u odbiorców końcowych zgodnie z harmonogramem w latach 2023-2028. Jednak odbiorca końcowy, który będzie chciał zostać aktywnym będzie mógł </w:t>
      </w:r>
      <w:r w:rsidR="000476D6" w:rsidRPr="00E573D1">
        <w:rPr>
          <w:rFonts w:ascii="Times New Roman" w:hAnsi="Times New Roman" w:cs="Times New Roman"/>
          <w:sz w:val="24"/>
          <w:szCs w:val="24"/>
        </w:rPr>
        <w:t>uzyska</w:t>
      </w:r>
      <w:r w:rsidR="000476D6">
        <w:rPr>
          <w:rFonts w:ascii="Times New Roman" w:hAnsi="Times New Roman" w:cs="Times New Roman"/>
          <w:sz w:val="24"/>
          <w:szCs w:val="24"/>
        </w:rPr>
        <w:t>ć</w:t>
      </w:r>
      <w:r w:rsidR="000476D6" w:rsidRPr="00E573D1">
        <w:rPr>
          <w:rFonts w:ascii="Times New Roman" w:hAnsi="Times New Roman" w:cs="Times New Roman"/>
          <w:sz w:val="24"/>
          <w:szCs w:val="24"/>
        </w:rPr>
        <w:t xml:space="preserve"> </w:t>
      </w:r>
      <w:r w:rsidR="00E573D1" w:rsidRPr="00E573D1">
        <w:rPr>
          <w:rFonts w:ascii="Times New Roman" w:hAnsi="Times New Roman" w:cs="Times New Roman"/>
          <w:sz w:val="24"/>
          <w:szCs w:val="24"/>
        </w:rPr>
        <w:t xml:space="preserve">taki licznik na wniosek (art. 11t ust. 6 projektu ww. ustawy).  Odbiorca aktywny nie może zostać obciążony dyskryminacyjnymi wymogami technicznymi i administracyjnymi, procedurami oraz opłatami lub nieodzwierciedlającymi kosztów opłatami sieciowymi. </w:t>
      </w:r>
    </w:p>
    <w:p w14:paraId="356DF0C9" w14:textId="683BF318" w:rsidR="00E573D1" w:rsidRPr="00613198" w:rsidRDefault="00E573D1" w:rsidP="00E573D1">
      <w:pPr>
        <w:spacing w:after="120" w:line="360" w:lineRule="auto"/>
        <w:ind w:firstLine="708"/>
        <w:jc w:val="both"/>
        <w:rPr>
          <w:rFonts w:ascii="Times New Roman" w:hAnsi="Times New Roman" w:cs="Times New Roman"/>
          <w:sz w:val="24"/>
          <w:szCs w:val="24"/>
        </w:rPr>
      </w:pPr>
      <w:r w:rsidRPr="00E573D1">
        <w:rPr>
          <w:rFonts w:ascii="Times New Roman" w:hAnsi="Times New Roman" w:cs="Times New Roman"/>
          <w:sz w:val="24"/>
          <w:szCs w:val="24"/>
        </w:rPr>
        <w:t xml:space="preserve">Odbiorcy aktywni będący właścicielami instalacji magazynowania energii powinni mieć również prawo do przyłączenia do sieci w rozsądnym terminie, po spełnieniu  niezbędnych warunków m.in. w zakresie odpowiedzialności za bilansowanie, niepodlegania podwójnym opłatom np. opłatom sieciowym, czy za magazynowanie energii elektrycznej pozostającej w ich obiekcie, by nie byli objęci nieproporcjonalnymi wymogami koncesyjnymi. Kwestię magazynowania energii elektrycznej także w magazynach będących częścią instalacji odnawialnego źródła energii również reguluje ww. </w:t>
      </w:r>
      <w:r w:rsidR="00B011EA" w:rsidRPr="00D839C9">
        <w:rPr>
          <w:rFonts w:ascii="Times New Roman" w:hAnsi="Times New Roman" w:cs="Times New Roman"/>
          <w:sz w:val="24"/>
          <w:szCs w:val="24"/>
        </w:rPr>
        <w:t>ustaw</w:t>
      </w:r>
      <w:r w:rsidR="00B011EA">
        <w:rPr>
          <w:rFonts w:ascii="Times New Roman" w:hAnsi="Times New Roman" w:cs="Times New Roman"/>
          <w:sz w:val="24"/>
          <w:szCs w:val="24"/>
        </w:rPr>
        <w:t xml:space="preserve">ie. </w:t>
      </w:r>
      <w:r w:rsidRPr="00E573D1">
        <w:rPr>
          <w:rFonts w:ascii="Times New Roman" w:hAnsi="Times New Roman" w:cs="Times New Roman"/>
          <w:sz w:val="24"/>
          <w:szCs w:val="24"/>
        </w:rPr>
        <w:t xml:space="preserve">Zakres proponowanych w </w:t>
      </w:r>
      <w:r w:rsidR="00B011EA" w:rsidRPr="00E573D1">
        <w:rPr>
          <w:rFonts w:ascii="Times New Roman" w:hAnsi="Times New Roman" w:cs="Times New Roman"/>
          <w:sz w:val="24"/>
          <w:szCs w:val="24"/>
        </w:rPr>
        <w:t>ni</w:t>
      </w:r>
      <w:r w:rsidR="00B011EA">
        <w:rPr>
          <w:rFonts w:ascii="Times New Roman" w:hAnsi="Times New Roman" w:cs="Times New Roman"/>
          <w:sz w:val="24"/>
          <w:szCs w:val="24"/>
        </w:rPr>
        <w:t>ej</w:t>
      </w:r>
      <w:r w:rsidR="00B011EA" w:rsidRPr="00E573D1">
        <w:rPr>
          <w:rFonts w:ascii="Times New Roman" w:hAnsi="Times New Roman" w:cs="Times New Roman"/>
          <w:sz w:val="24"/>
          <w:szCs w:val="24"/>
        </w:rPr>
        <w:t xml:space="preserve"> </w:t>
      </w:r>
      <w:r w:rsidRPr="00E573D1">
        <w:rPr>
          <w:rFonts w:ascii="Times New Roman" w:hAnsi="Times New Roman" w:cs="Times New Roman"/>
          <w:sz w:val="24"/>
          <w:szCs w:val="24"/>
        </w:rPr>
        <w:lastRenderedPageBreak/>
        <w:t>zmian obejmuje m.in. wyłączenie magazynowania energii elektrycznej z obowiązku sporządzania taryf, określenie wymagań dotyczących koncesjonowania magazynowania energii elektrycznej i ich rejestracji, określenie ogólnych wymagań dotyczących warunków przyłączenia do sieci, a także  zasad rozliczania energii elektrycznej pobranej z sieci na potrzeby magazynowania energii elektrycznej.</w:t>
      </w:r>
    </w:p>
    <w:p w14:paraId="36709DBB" w14:textId="5741B1CF" w:rsidR="0027047B" w:rsidRDefault="0027047B" w:rsidP="0027047B">
      <w:pPr>
        <w:spacing w:after="120" w:line="360" w:lineRule="auto"/>
        <w:ind w:firstLine="708"/>
        <w:jc w:val="both"/>
        <w:rPr>
          <w:rFonts w:ascii="Times New Roman" w:hAnsi="Times New Roman" w:cs="Times New Roman"/>
          <w:sz w:val="24"/>
          <w:szCs w:val="24"/>
        </w:rPr>
      </w:pPr>
      <w:r w:rsidRPr="00613198">
        <w:rPr>
          <w:rFonts w:ascii="Times New Roman" w:hAnsi="Times New Roman" w:cs="Times New Roman"/>
          <w:sz w:val="24"/>
          <w:szCs w:val="24"/>
        </w:rPr>
        <w:t>Projekt ustawy zakłada również prawo odbiorców aktywnych do delegowania innemu podmiotowi zarządzania posiadaną przez nich instalacją niezbędną do ich działalności, której są właścicielem, z zastrzeżeniem, że podmiotu któremu zlecono zarządzanie, nie traktuje się jako odbiorc</w:t>
      </w:r>
      <w:r w:rsidR="008C5290" w:rsidRPr="00613198">
        <w:rPr>
          <w:rFonts w:ascii="Times New Roman" w:hAnsi="Times New Roman" w:cs="Times New Roman"/>
          <w:sz w:val="24"/>
          <w:szCs w:val="24"/>
        </w:rPr>
        <w:t xml:space="preserve">y </w:t>
      </w:r>
      <w:r w:rsidRPr="00613198">
        <w:rPr>
          <w:rFonts w:ascii="Times New Roman" w:hAnsi="Times New Roman" w:cs="Times New Roman"/>
          <w:sz w:val="24"/>
          <w:szCs w:val="24"/>
        </w:rPr>
        <w:t xml:space="preserve">aktywnego. Pod pojęciem zarządzania </w:t>
      </w:r>
      <w:r w:rsidR="00E92441" w:rsidRPr="00613198">
        <w:rPr>
          <w:rFonts w:ascii="Times New Roman" w:hAnsi="Times New Roman" w:cs="Times New Roman"/>
          <w:sz w:val="24"/>
          <w:szCs w:val="24"/>
        </w:rPr>
        <w:t>instalacją</w:t>
      </w:r>
      <w:r w:rsidRPr="00613198">
        <w:rPr>
          <w:rFonts w:ascii="Times New Roman" w:hAnsi="Times New Roman" w:cs="Times New Roman"/>
          <w:sz w:val="24"/>
          <w:szCs w:val="24"/>
        </w:rPr>
        <w:t xml:space="preserve"> należy rozumieć instalowanie, eksploatację, utrzymanie oraz obsługę danych.</w:t>
      </w:r>
    </w:p>
    <w:p w14:paraId="0E4F39C1" w14:textId="77777777" w:rsidR="009E0E0A" w:rsidRDefault="009E0E0A" w:rsidP="0027047B">
      <w:pPr>
        <w:spacing w:after="120" w:line="360" w:lineRule="auto"/>
        <w:ind w:firstLine="708"/>
        <w:jc w:val="both"/>
        <w:rPr>
          <w:rFonts w:ascii="Times New Roman" w:hAnsi="Times New Roman" w:cs="Times New Roman"/>
          <w:sz w:val="24"/>
          <w:szCs w:val="24"/>
        </w:rPr>
      </w:pPr>
    </w:p>
    <w:p w14:paraId="195FE388" w14:textId="28C07C7D" w:rsidR="00F64594" w:rsidRPr="00613198" w:rsidRDefault="007431B4" w:rsidP="00C872DB">
      <w:pPr>
        <w:spacing w:after="120" w:line="360" w:lineRule="auto"/>
        <w:ind w:left="709"/>
        <w:jc w:val="both"/>
        <w:rPr>
          <w:rFonts w:ascii="Times New Roman" w:hAnsi="Times New Roman" w:cs="Times New Roman"/>
          <w:sz w:val="24"/>
          <w:szCs w:val="24"/>
        </w:rPr>
      </w:pPr>
      <w:r w:rsidRPr="00613198">
        <w:rPr>
          <w:rFonts w:ascii="Times New Roman" w:hAnsi="Times New Roman" w:cs="Times New Roman"/>
          <w:b/>
          <w:sz w:val="24"/>
          <w:szCs w:val="24"/>
        </w:rPr>
        <w:t>Ad 7</w:t>
      </w:r>
      <w:r w:rsidR="002F17F4" w:rsidRPr="00613198">
        <w:rPr>
          <w:rFonts w:ascii="Times New Roman" w:hAnsi="Times New Roman" w:cs="Times New Roman"/>
          <w:b/>
          <w:sz w:val="24"/>
          <w:szCs w:val="24"/>
        </w:rPr>
        <w:t>.</w:t>
      </w:r>
      <w:r w:rsidR="002F17F4" w:rsidRPr="00613198">
        <w:rPr>
          <w:rFonts w:ascii="Times New Roman" w:hAnsi="Times New Roman" w:cs="Times New Roman"/>
          <w:sz w:val="24"/>
          <w:szCs w:val="24"/>
        </w:rPr>
        <w:t xml:space="preserve"> </w:t>
      </w:r>
      <w:r w:rsidR="00F64594" w:rsidRPr="00613198">
        <w:rPr>
          <w:rFonts w:ascii="Times New Roman" w:hAnsi="Times New Roman" w:cs="Times New Roman"/>
          <w:b/>
          <w:sz w:val="24"/>
          <w:szCs w:val="24"/>
        </w:rPr>
        <w:t>Zmiany dotyczące umów sprzedaży energii elektrycznej</w:t>
      </w:r>
      <w:r w:rsidR="00A44091">
        <w:rPr>
          <w:rFonts w:ascii="Times New Roman" w:hAnsi="Times New Roman" w:cs="Times New Roman"/>
          <w:b/>
          <w:sz w:val="24"/>
          <w:szCs w:val="24"/>
        </w:rPr>
        <w:t xml:space="preserve"> - </w:t>
      </w:r>
      <w:r w:rsidR="00A44091" w:rsidRPr="00613198">
        <w:rPr>
          <w:rFonts w:ascii="Times New Roman" w:hAnsi="Times New Roman" w:cs="Times New Roman"/>
          <w:b/>
          <w:sz w:val="24"/>
          <w:szCs w:val="24"/>
        </w:rPr>
        <w:t>art. 5 ustawy – Prawo energetyczne</w:t>
      </w:r>
    </w:p>
    <w:p w14:paraId="0EA88EA8" w14:textId="6F433BA8" w:rsidR="009B0A8F" w:rsidRPr="00613198" w:rsidRDefault="00C539C0" w:rsidP="00C872DB">
      <w:pPr>
        <w:pStyle w:val="Akapitzlist"/>
        <w:spacing w:line="360" w:lineRule="auto"/>
        <w:ind w:left="-142" w:firstLine="851"/>
        <w:jc w:val="both"/>
        <w:rPr>
          <w:rFonts w:ascii="Times New Roman" w:hAnsi="Times New Roman" w:cs="Times New Roman"/>
          <w:sz w:val="24"/>
          <w:szCs w:val="24"/>
        </w:rPr>
      </w:pPr>
      <w:r w:rsidRPr="00613198">
        <w:rPr>
          <w:rFonts w:ascii="Times New Roman" w:hAnsi="Times New Roman" w:cs="Times New Roman"/>
          <w:sz w:val="24"/>
          <w:szCs w:val="24"/>
        </w:rPr>
        <w:t>W projekcie ustawy proponuje się zmiany w przepisach regulujących stosunki umowne pomiędzy odbiorcą końcowym energii elektrycznej i sprzedawcą energii elektrycznej</w:t>
      </w:r>
      <w:r w:rsidR="003023F6" w:rsidRPr="00613198">
        <w:rPr>
          <w:rFonts w:ascii="Times New Roman" w:hAnsi="Times New Roman" w:cs="Times New Roman"/>
          <w:sz w:val="24"/>
          <w:szCs w:val="24"/>
        </w:rPr>
        <w:t xml:space="preserve"> dostosowując</w:t>
      </w:r>
      <w:r w:rsidR="008404C8" w:rsidRPr="00613198">
        <w:rPr>
          <w:rFonts w:ascii="Times New Roman" w:hAnsi="Times New Roman" w:cs="Times New Roman"/>
          <w:sz w:val="24"/>
          <w:szCs w:val="24"/>
        </w:rPr>
        <w:t xml:space="preserve"> </w:t>
      </w:r>
      <w:r w:rsidR="003023F6" w:rsidRPr="00613198">
        <w:rPr>
          <w:rFonts w:ascii="Times New Roman" w:hAnsi="Times New Roman" w:cs="Times New Roman"/>
          <w:sz w:val="24"/>
          <w:szCs w:val="24"/>
        </w:rPr>
        <w:t>tym samym przepisy krajowe do art. 10</w:t>
      </w:r>
      <w:r w:rsidR="002F17F4" w:rsidRPr="00613198">
        <w:rPr>
          <w:rFonts w:ascii="Times New Roman" w:hAnsi="Times New Roman" w:cs="Times New Roman"/>
          <w:sz w:val="24"/>
          <w:szCs w:val="24"/>
        </w:rPr>
        <w:t xml:space="preserve"> i 18</w:t>
      </w:r>
      <w:r w:rsidR="003023F6" w:rsidRPr="00613198">
        <w:rPr>
          <w:rFonts w:ascii="Times New Roman" w:hAnsi="Times New Roman" w:cs="Times New Roman"/>
          <w:sz w:val="24"/>
          <w:szCs w:val="24"/>
        </w:rPr>
        <w:t xml:space="preserve"> dyrektywy 2019/944</w:t>
      </w:r>
      <w:r w:rsidR="00B011EA">
        <w:rPr>
          <w:rFonts w:ascii="Times New Roman" w:hAnsi="Times New Roman" w:cs="Times New Roman"/>
          <w:sz w:val="24"/>
          <w:szCs w:val="24"/>
        </w:rPr>
        <w:t>, a także dostosowuje się przepisy ustawy do postanowień Polityki Energetycznej Polski do 2040 r. w zakresie obowiązku zawierania z odbiorcą energii elektrycznej w gospodarstwie domowym wyłącznie umów kompleksowych.</w:t>
      </w:r>
    </w:p>
    <w:p w14:paraId="7F3B8945" w14:textId="77777777" w:rsidR="00F421E8" w:rsidRPr="00613198" w:rsidRDefault="00F421E8" w:rsidP="00C872DB">
      <w:pPr>
        <w:spacing w:after="120" w:line="360" w:lineRule="auto"/>
        <w:ind w:firstLine="709"/>
        <w:jc w:val="both"/>
        <w:rPr>
          <w:rFonts w:ascii="Times New Roman" w:hAnsi="Times New Roman" w:cs="Times New Roman"/>
          <w:b/>
          <w:sz w:val="24"/>
          <w:szCs w:val="24"/>
        </w:rPr>
      </w:pPr>
      <w:r w:rsidRPr="00613198">
        <w:rPr>
          <w:rFonts w:ascii="Times New Roman" w:hAnsi="Times New Roman" w:cs="Times New Roman"/>
          <w:b/>
          <w:sz w:val="24"/>
          <w:szCs w:val="24"/>
        </w:rPr>
        <w:t>- zmiana w ust. 2a i 2b</w:t>
      </w:r>
    </w:p>
    <w:p w14:paraId="2A0E1EAB" w14:textId="16D0D02E" w:rsidR="00F421E8" w:rsidRDefault="00F50E2C" w:rsidP="00FB4958">
      <w:pPr>
        <w:spacing w:after="120" w:line="360" w:lineRule="auto"/>
        <w:ind w:firstLine="708"/>
        <w:jc w:val="both"/>
        <w:rPr>
          <w:rFonts w:ascii="Times New Roman" w:hAnsi="Times New Roman" w:cs="Times New Roman"/>
          <w:sz w:val="24"/>
          <w:szCs w:val="24"/>
        </w:rPr>
      </w:pPr>
      <w:r>
        <w:rPr>
          <w:rFonts w:ascii="Times New Roman" w:hAnsi="Times New Roman" w:cs="Times New Roman"/>
          <w:sz w:val="24"/>
          <w:szCs w:val="24"/>
        </w:rPr>
        <w:t>Z</w:t>
      </w:r>
      <w:r w:rsidR="00F421E8" w:rsidRPr="00613198">
        <w:rPr>
          <w:rFonts w:ascii="Times New Roman" w:hAnsi="Times New Roman" w:cs="Times New Roman"/>
          <w:sz w:val="24"/>
          <w:szCs w:val="24"/>
        </w:rPr>
        <w:t>miany mają charakter porządkowy i związane są ze zmianą definicji bilansowania handlowego</w:t>
      </w:r>
      <w:r w:rsidR="0023518C">
        <w:rPr>
          <w:rFonts w:ascii="Times New Roman" w:hAnsi="Times New Roman" w:cs="Times New Roman"/>
          <w:sz w:val="24"/>
          <w:szCs w:val="24"/>
        </w:rPr>
        <w:t>.</w:t>
      </w:r>
    </w:p>
    <w:p w14:paraId="0F073BE1" w14:textId="3B5A8A81" w:rsidR="0023518C" w:rsidRPr="00613198" w:rsidRDefault="0023518C" w:rsidP="0023518C">
      <w:pPr>
        <w:spacing w:after="120" w:line="360" w:lineRule="auto"/>
        <w:ind w:firstLine="708"/>
        <w:jc w:val="both"/>
        <w:rPr>
          <w:rFonts w:ascii="Times New Roman" w:hAnsi="Times New Roman" w:cs="Times New Roman"/>
          <w:b/>
          <w:sz w:val="24"/>
          <w:szCs w:val="24"/>
        </w:rPr>
      </w:pPr>
      <w:r w:rsidRPr="00613198">
        <w:rPr>
          <w:rFonts w:ascii="Times New Roman" w:hAnsi="Times New Roman" w:cs="Times New Roman"/>
          <w:b/>
          <w:sz w:val="24"/>
          <w:szCs w:val="24"/>
        </w:rPr>
        <w:t xml:space="preserve">- </w:t>
      </w:r>
      <w:r w:rsidRPr="0023518C">
        <w:rPr>
          <w:rFonts w:ascii="Times New Roman" w:hAnsi="Times New Roman" w:cs="Times New Roman"/>
          <w:b/>
          <w:sz w:val="24"/>
          <w:szCs w:val="24"/>
        </w:rPr>
        <w:t>dodanie ust. 3a</w:t>
      </w:r>
    </w:p>
    <w:p w14:paraId="0B93C58B" w14:textId="63CF4555" w:rsidR="0023518C" w:rsidRPr="0023518C" w:rsidRDefault="0023518C" w:rsidP="0023518C">
      <w:pPr>
        <w:spacing w:after="120" w:line="360" w:lineRule="auto"/>
        <w:ind w:firstLine="708"/>
        <w:jc w:val="both"/>
        <w:rPr>
          <w:rFonts w:ascii="Times New Roman" w:hAnsi="Times New Roman" w:cs="Times New Roman"/>
          <w:sz w:val="24"/>
          <w:szCs w:val="24"/>
        </w:rPr>
      </w:pPr>
      <w:r>
        <w:rPr>
          <w:rFonts w:ascii="Times New Roman" w:hAnsi="Times New Roman" w:cs="Times New Roman"/>
          <w:sz w:val="24"/>
          <w:szCs w:val="24"/>
        </w:rPr>
        <w:t>D</w:t>
      </w:r>
      <w:r w:rsidRPr="0023518C">
        <w:rPr>
          <w:rFonts w:ascii="Times New Roman" w:hAnsi="Times New Roman" w:cs="Times New Roman"/>
          <w:sz w:val="24"/>
          <w:szCs w:val="24"/>
        </w:rPr>
        <w:t>odawany ust. 3a ustanawia obowiązek zawierania wyłącznie umów kompleksowych w stosunku do odbiorców</w:t>
      </w:r>
      <w:r w:rsidR="00B666EF">
        <w:rPr>
          <w:rFonts w:ascii="Times New Roman" w:hAnsi="Times New Roman" w:cs="Times New Roman"/>
          <w:sz w:val="24"/>
          <w:szCs w:val="24"/>
        </w:rPr>
        <w:t xml:space="preserve"> paliw gazowych lub</w:t>
      </w:r>
      <w:r w:rsidRPr="0023518C">
        <w:rPr>
          <w:rFonts w:ascii="Times New Roman" w:hAnsi="Times New Roman" w:cs="Times New Roman"/>
          <w:sz w:val="24"/>
          <w:szCs w:val="24"/>
        </w:rPr>
        <w:t xml:space="preserve"> energii elektrycznej w gospodarstwach domowych w miejsce obowiązujących aktualnie rozwiązań ustawowych, tj. możliwości zawierania odrębnie umowy sprzedaży i umowy o świadczenie usług dystrybucji</w:t>
      </w:r>
      <w:r w:rsidR="00B666EF">
        <w:rPr>
          <w:rFonts w:ascii="Times New Roman" w:hAnsi="Times New Roman" w:cs="Times New Roman"/>
          <w:sz w:val="24"/>
          <w:szCs w:val="24"/>
        </w:rPr>
        <w:t xml:space="preserve"> paliw gazowych lub</w:t>
      </w:r>
      <w:r w:rsidRPr="0023518C">
        <w:rPr>
          <w:rFonts w:ascii="Times New Roman" w:hAnsi="Times New Roman" w:cs="Times New Roman"/>
          <w:sz w:val="24"/>
          <w:szCs w:val="24"/>
        </w:rPr>
        <w:t xml:space="preserve"> energii elektrycznej oraz umów kompleksowych.</w:t>
      </w:r>
    </w:p>
    <w:p w14:paraId="3F0E1CF2" w14:textId="77777777" w:rsidR="0023518C" w:rsidRPr="0023518C" w:rsidRDefault="0023518C" w:rsidP="0023518C">
      <w:pPr>
        <w:spacing w:after="120" w:line="360" w:lineRule="auto"/>
        <w:ind w:firstLine="708"/>
        <w:jc w:val="both"/>
        <w:rPr>
          <w:rFonts w:ascii="Times New Roman" w:hAnsi="Times New Roman" w:cs="Times New Roman"/>
          <w:sz w:val="24"/>
          <w:szCs w:val="24"/>
        </w:rPr>
      </w:pPr>
      <w:r w:rsidRPr="0023518C">
        <w:rPr>
          <w:rFonts w:ascii="Times New Roman" w:hAnsi="Times New Roman" w:cs="Times New Roman"/>
          <w:sz w:val="24"/>
          <w:szCs w:val="24"/>
        </w:rPr>
        <w:t xml:space="preserve"> Wdrożenie obowiązku zawierania tego rodzaju umów wynika z postanowień Polityki Energetycznej Polski do 2040 r., wskazanych do zrealizowania w 2021 r., w ramach jednego z trzech filarów transformacji energetycznej, jakim jest sprawiedliwa transformacja (str. 45).</w:t>
      </w:r>
    </w:p>
    <w:p w14:paraId="2390E1B5" w14:textId="04FDDB37" w:rsidR="0023518C" w:rsidRDefault="0023518C" w:rsidP="0023518C">
      <w:pPr>
        <w:spacing w:after="120" w:line="360" w:lineRule="auto"/>
        <w:ind w:firstLine="708"/>
        <w:jc w:val="both"/>
        <w:rPr>
          <w:rFonts w:ascii="Times New Roman" w:hAnsi="Times New Roman" w:cs="Times New Roman"/>
          <w:sz w:val="24"/>
          <w:szCs w:val="24"/>
        </w:rPr>
      </w:pPr>
      <w:r w:rsidRPr="0023518C">
        <w:rPr>
          <w:rFonts w:ascii="Times New Roman" w:hAnsi="Times New Roman" w:cs="Times New Roman"/>
          <w:sz w:val="24"/>
          <w:szCs w:val="24"/>
        </w:rPr>
        <w:lastRenderedPageBreak/>
        <w:t>Obowiązek zawierania umów kompleksowych ma na celu poprawę konkurencyjności rynku, ale także ochronę interesów konsumentów i wzmocnienie ich pozycji na rynku energetycznym</w:t>
      </w:r>
      <w:r>
        <w:rPr>
          <w:rFonts w:ascii="Times New Roman" w:hAnsi="Times New Roman" w:cs="Times New Roman"/>
          <w:sz w:val="24"/>
          <w:szCs w:val="24"/>
        </w:rPr>
        <w:t>.</w:t>
      </w:r>
    </w:p>
    <w:p w14:paraId="5BC7244E" w14:textId="77777777" w:rsidR="0023518C" w:rsidRPr="00871F02" w:rsidRDefault="0023518C" w:rsidP="0023518C">
      <w:pPr>
        <w:spacing w:after="120" w:line="360" w:lineRule="auto"/>
        <w:ind w:firstLine="708"/>
        <w:jc w:val="both"/>
        <w:rPr>
          <w:rFonts w:ascii="Times New Roman" w:hAnsi="Times New Roman" w:cs="Times New Roman"/>
          <w:b/>
          <w:bCs/>
          <w:sz w:val="24"/>
          <w:szCs w:val="24"/>
        </w:rPr>
      </w:pPr>
      <w:r w:rsidRPr="00871F02">
        <w:rPr>
          <w:rFonts w:ascii="Times New Roman" w:hAnsi="Times New Roman" w:cs="Times New Roman"/>
          <w:b/>
          <w:bCs/>
          <w:sz w:val="24"/>
          <w:szCs w:val="24"/>
        </w:rPr>
        <w:t xml:space="preserve">- dodawany ust. 3b </w:t>
      </w:r>
    </w:p>
    <w:p w14:paraId="1610E532" w14:textId="20F57208" w:rsidR="00FC6407" w:rsidRPr="00871F02" w:rsidRDefault="0023518C" w:rsidP="0023518C">
      <w:pPr>
        <w:spacing w:after="120" w:line="360" w:lineRule="auto"/>
        <w:ind w:firstLine="708"/>
        <w:jc w:val="both"/>
        <w:rPr>
          <w:rFonts w:ascii="Times New Roman" w:hAnsi="Times New Roman" w:cs="Times New Roman"/>
          <w:sz w:val="24"/>
          <w:szCs w:val="24"/>
        </w:rPr>
      </w:pPr>
      <w:r w:rsidRPr="00871F02">
        <w:rPr>
          <w:rFonts w:ascii="Times New Roman" w:hAnsi="Times New Roman" w:cs="Times New Roman"/>
          <w:sz w:val="24"/>
          <w:szCs w:val="24"/>
        </w:rPr>
        <w:t xml:space="preserve">Projektowany przepis zobowiązuje przedsiębiorstwa energetyczne zajmujące się dystrybucją </w:t>
      </w:r>
      <w:r w:rsidR="00946882">
        <w:rPr>
          <w:rFonts w:ascii="Times New Roman" w:hAnsi="Times New Roman" w:cs="Times New Roman"/>
          <w:sz w:val="24"/>
          <w:szCs w:val="24"/>
        </w:rPr>
        <w:t xml:space="preserve">paliw gazowych lub </w:t>
      </w:r>
      <w:r w:rsidRPr="00871F02">
        <w:rPr>
          <w:rFonts w:ascii="Times New Roman" w:hAnsi="Times New Roman" w:cs="Times New Roman"/>
          <w:sz w:val="24"/>
          <w:szCs w:val="24"/>
        </w:rPr>
        <w:t>energii elektrycznej do zawarcia ze sprzedawcą umowy o świadczenie usługi dystrybucji</w:t>
      </w:r>
      <w:r w:rsidR="00946882">
        <w:rPr>
          <w:rFonts w:ascii="Times New Roman" w:hAnsi="Times New Roman" w:cs="Times New Roman"/>
          <w:sz w:val="24"/>
          <w:szCs w:val="24"/>
        </w:rPr>
        <w:t xml:space="preserve"> paliw gazowych lub</w:t>
      </w:r>
      <w:r w:rsidRPr="00871F02">
        <w:rPr>
          <w:rFonts w:ascii="Times New Roman" w:hAnsi="Times New Roman" w:cs="Times New Roman"/>
          <w:sz w:val="24"/>
          <w:szCs w:val="24"/>
        </w:rPr>
        <w:t xml:space="preserve"> energii elektrycznej w celu dostarczania</w:t>
      </w:r>
      <w:r w:rsidR="00946882">
        <w:rPr>
          <w:rFonts w:ascii="Times New Roman" w:hAnsi="Times New Roman" w:cs="Times New Roman"/>
          <w:sz w:val="24"/>
          <w:szCs w:val="24"/>
        </w:rPr>
        <w:t xml:space="preserve"> paliw gazowych lub</w:t>
      </w:r>
      <w:r w:rsidRPr="00871F02">
        <w:rPr>
          <w:rFonts w:ascii="Times New Roman" w:hAnsi="Times New Roman" w:cs="Times New Roman"/>
          <w:sz w:val="24"/>
          <w:szCs w:val="24"/>
        </w:rPr>
        <w:t xml:space="preserve"> energii odbiorcy</w:t>
      </w:r>
      <w:r w:rsidR="00946882">
        <w:rPr>
          <w:rFonts w:ascii="Times New Roman" w:hAnsi="Times New Roman" w:cs="Times New Roman"/>
          <w:sz w:val="24"/>
          <w:szCs w:val="24"/>
        </w:rPr>
        <w:t xml:space="preserve"> paliw gazowych lub</w:t>
      </w:r>
      <w:r w:rsidRPr="00871F02">
        <w:rPr>
          <w:rFonts w:ascii="Times New Roman" w:hAnsi="Times New Roman" w:cs="Times New Roman"/>
          <w:sz w:val="24"/>
          <w:szCs w:val="24"/>
        </w:rPr>
        <w:t xml:space="preserve"> energii elektrycznej w gospodarstwie domowym, któremu sprzedawca zapewnia świadczenie usługi kompleksowej. Zawracie umów przez spółki obrotu ze spółkami dystrybucyjnymi warunkuje możliwość świadczenia przez te podmioty umów kompleksowych</w:t>
      </w:r>
      <w:r>
        <w:rPr>
          <w:rFonts w:ascii="Times New Roman" w:hAnsi="Times New Roman" w:cs="Times New Roman"/>
          <w:sz w:val="24"/>
          <w:szCs w:val="24"/>
        </w:rPr>
        <w:t>, dlatego też, d</w:t>
      </w:r>
      <w:r w:rsidRPr="00A9606C">
        <w:rPr>
          <w:rFonts w:ascii="Times New Roman" w:hAnsi="Times New Roman" w:cs="Times New Roman"/>
          <w:sz w:val="24"/>
          <w:szCs w:val="24"/>
        </w:rPr>
        <w:t>o art. 56 ust. 1</w:t>
      </w:r>
      <w:r>
        <w:rPr>
          <w:rFonts w:ascii="Times New Roman" w:hAnsi="Times New Roman" w:cs="Times New Roman"/>
          <w:sz w:val="24"/>
          <w:szCs w:val="24"/>
        </w:rPr>
        <w:t xml:space="preserve"> pkt 17</w:t>
      </w:r>
      <w:r w:rsidRPr="00A9606C">
        <w:rPr>
          <w:rFonts w:ascii="Times New Roman" w:hAnsi="Times New Roman" w:cs="Times New Roman"/>
          <w:sz w:val="24"/>
          <w:szCs w:val="24"/>
        </w:rPr>
        <w:t xml:space="preserve"> ustawy – Prawo energetyczne</w:t>
      </w:r>
      <w:r>
        <w:rPr>
          <w:rFonts w:ascii="Times New Roman" w:hAnsi="Times New Roman" w:cs="Times New Roman"/>
          <w:sz w:val="24"/>
          <w:szCs w:val="24"/>
        </w:rPr>
        <w:t>,</w:t>
      </w:r>
      <w:r w:rsidRPr="00A9606C">
        <w:rPr>
          <w:rFonts w:ascii="Times New Roman" w:hAnsi="Times New Roman" w:cs="Times New Roman"/>
          <w:sz w:val="24"/>
          <w:szCs w:val="24"/>
        </w:rPr>
        <w:t xml:space="preserve"> dodano przepis sankcyjny za nieprzestrzeganie przez </w:t>
      </w:r>
      <w:r>
        <w:rPr>
          <w:rFonts w:ascii="Times New Roman" w:hAnsi="Times New Roman" w:cs="Times New Roman"/>
          <w:sz w:val="24"/>
          <w:szCs w:val="24"/>
        </w:rPr>
        <w:t>ww. podmioty obowiązku wynikającego z dodawanego ust. 3b.</w:t>
      </w:r>
      <w:r w:rsidR="00CE3029">
        <w:rPr>
          <w:rFonts w:ascii="Times New Roman" w:hAnsi="Times New Roman" w:cs="Times New Roman"/>
          <w:sz w:val="24"/>
          <w:szCs w:val="24"/>
        </w:rPr>
        <w:t xml:space="preserve"> Przepis ten</w:t>
      </w:r>
      <w:r w:rsidR="00FC6407" w:rsidRPr="00FC6407">
        <w:rPr>
          <w:rFonts w:ascii="Times New Roman" w:hAnsi="Times New Roman" w:cs="Times New Roman"/>
          <w:sz w:val="24"/>
          <w:szCs w:val="24"/>
        </w:rPr>
        <w:t xml:space="preserve"> wchodzi w życie w terminie 2 miesięcy od dnia wejścia w życie ustawy. </w:t>
      </w:r>
      <w:r w:rsidR="00CE3029">
        <w:rPr>
          <w:rFonts w:ascii="Times New Roman" w:hAnsi="Times New Roman" w:cs="Times New Roman"/>
          <w:sz w:val="24"/>
          <w:szCs w:val="24"/>
        </w:rPr>
        <w:t xml:space="preserve">Rozróżnienie </w:t>
      </w:r>
      <w:r w:rsidR="00FC6407" w:rsidRPr="00FC6407">
        <w:rPr>
          <w:rFonts w:ascii="Times New Roman" w:hAnsi="Times New Roman" w:cs="Times New Roman"/>
          <w:sz w:val="24"/>
          <w:szCs w:val="24"/>
        </w:rPr>
        <w:t xml:space="preserve">terminów wejścia w życie ust. 3a i 3b wynika z faktu, iż w pierwszej kolejności należy pozostawić czas na zawarcie stosownych umów pomiędzy przedsiębiorstwami energetycznymi, aby w efekcie możliwe było zawarcie umów kompleksowych z odbiorcami </w:t>
      </w:r>
      <w:r w:rsidR="00CE3029">
        <w:rPr>
          <w:rFonts w:ascii="Times New Roman" w:hAnsi="Times New Roman" w:cs="Times New Roman"/>
          <w:sz w:val="24"/>
          <w:szCs w:val="24"/>
        </w:rPr>
        <w:t xml:space="preserve">paliw gazowych lub </w:t>
      </w:r>
      <w:r w:rsidR="00FC6407" w:rsidRPr="00FC6407">
        <w:rPr>
          <w:rFonts w:ascii="Times New Roman" w:hAnsi="Times New Roman" w:cs="Times New Roman"/>
          <w:sz w:val="24"/>
          <w:szCs w:val="24"/>
        </w:rPr>
        <w:t>energii elektrycznej w gospodarstwie domowym</w:t>
      </w:r>
      <w:r w:rsidR="00FC6407">
        <w:rPr>
          <w:rFonts w:ascii="Times New Roman" w:hAnsi="Times New Roman" w:cs="Times New Roman"/>
          <w:sz w:val="24"/>
          <w:szCs w:val="24"/>
        </w:rPr>
        <w:t>.</w:t>
      </w:r>
    </w:p>
    <w:p w14:paraId="5472CEC1" w14:textId="64BF43D5" w:rsidR="0023518C" w:rsidRPr="00613198" w:rsidRDefault="0023518C" w:rsidP="00FB4958">
      <w:pPr>
        <w:spacing w:after="120" w:line="360" w:lineRule="auto"/>
        <w:ind w:firstLine="708"/>
        <w:jc w:val="both"/>
        <w:rPr>
          <w:rFonts w:ascii="Times New Roman" w:hAnsi="Times New Roman" w:cs="Times New Roman"/>
          <w:sz w:val="24"/>
          <w:szCs w:val="24"/>
        </w:rPr>
      </w:pPr>
      <w:r w:rsidRPr="00871F02">
        <w:rPr>
          <w:rFonts w:ascii="Times New Roman" w:hAnsi="Times New Roman" w:cs="Times New Roman"/>
          <w:sz w:val="24"/>
          <w:szCs w:val="24"/>
        </w:rPr>
        <w:t xml:space="preserve">Projektowany przepis przejściowy  - </w:t>
      </w:r>
      <w:r w:rsidRPr="00B84325">
        <w:rPr>
          <w:rFonts w:ascii="Times New Roman" w:hAnsi="Times New Roman" w:cs="Times New Roman"/>
          <w:sz w:val="24"/>
          <w:szCs w:val="24"/>
        </w:rPr>
        <w:t xml:space="preserve">art. </w:t>
      </w:r>
      <w:r w:rsidR="00B84325">
        <w:rPr>
          <w:rFonts w:ascii="Times New Roman" w:hAnsi="Times New Roman" w:cs="Times New Roman"/>
          <w:sz w:val="24"/>
          <w:szCs w:val="24"/>
        </w:rPr>
        <w:t>1</w:t>
      </w:r>
      <w:r w:rsidR="007C7E91">
        <w:rPr>
          <w:rFonts w:ascii="Times New Roman" w:hAnsi="Times New Roman" w:cs="Times New Roman"/>
          <w:sz w:val="24"/>
          <w:szCs w:val="24"/>
        </w:rPr>
        <w:t xml:space="preserve">6 </w:t>
      </w:r>
      <w:r w:rsidRPr="00871F02">
        <w:rPr>
          <w:rFonts w:ascii="Times New Roman" w:hAnsi="Times New Roman" w:cs="Times New Roman"/>
          <w:sz w:val="24"/>
          <w:szCs w:val="24"/>
        </w:rPr>
        <w:t>- wprowadza generalną zasadę, zgodnie z którą nowe przepisy dotyczące zawierania umów kompleksowych mają zastosowanie do umów zawieranych po terminie wejścia w życie tych przepisów, tj. po  6 miesiącach od dnia wejścia w życie ustawy. Jednocześnie sprzedawca będzie miał obowiązek dostosowania umowy zawartej wcześniej w każdym przypadku, w którym odbiorca końcowy wyrazi taką wolę.</w:t>
      </w:r>
    </w:p>
    <w:p w14:paraId="7ABB50AC" w14:textId="2606B06D" w:rsidR="009B0A8F" w:rsidRPr="00613198" w:rsidRDefault="009B0A8F" w:rsidP="00FB4958">
      <w:pPr>
        <w:spacing w:after="120" w:line="360" w:lineRule="auto"/>
        <w:ind w:firstLine="708"/>
        <w:jc w:val="both"/>
        <w:rPr>
          <w:rFonts w:ascii="Times New Roman" w:hAnsi="Times New Roman" w:cs="Times New Roman"/>
          <w:b/>
          <w:sz w:val="24"/>
          <w:szCs w:val="24"/>
        </w:rPr>
      </w:pPr>
      <w:r w:rsidRPr="00613198">
        <w:rPr>
          <w:rFonts w:ascii="Times New Roman" w:hAnsi="Times New Roman" w:cs="Times New Roman"/>
          <w:b/>
          <w:sz w:val="24"/>
          <w:szCs w:val="24"/>
        </w:rPr>
        <w:t>- zmiana w art. 5 ust. 4b, dodanie ust. 4</w:t>
      </w:r>
      <w:r w:rsidR="00946882">
        <w:rPr>
          <w:rFonts w:ascii="Times New Roman" w:hAnsi="Times New Roman" w:cs="Times New Roman"/>
          <w:b/>
          <w:sz w:val="24"/>
          <w:szCs w:val="24"/>
        </w:rPr>
        <w:t>d</w:t>
      </w:r>
      <w:r w:rsidRPr="00613198">
        <w:rPr>
          <w:rFonts w:ascii="Times New Roman" w:hAnsi="Times New Roman" w:cs="Times New Roman"/>
          <w:b/>
          <w:sz w:val="24"/>
          <w:szCs w:val="24"/>
        </w:rPr>
        <w:t xml:space="preserve"> </w:t>
      </w:r>
    </w:p>
    <w:p w14:paraId="7F12CC6B" w14:textId="69AB140C" w:rsidR="007431B4" w:rsidRPr="00613198" w:rsidRDefault="00C539C0" w:rsidP="00FB4958">
      <w:pPr>
        <w:spacing w:after="120" w:line="360" w:lineRule="auto"/>
        <w:ind w:firstLine="708"/>
        <w:jc w:val="both"/>
        <w:rPr>
          <w:rFonts w:ascii="Times New Roman" w:hAnsi="Times New Roman" w:cs="Times New Roman"/>
          <w:sz w:val="24"/>
          <w:szCs w:val="24"/>
        </w:rPr>
      </w:pPr>
      <w:r w:rsidRPr="00613198">
        <w:rPr>
          <w:rFonts w:ascii="Times New Roman" w:hAnsi="Times New Roman" w:cs="Times New Roman"/>
          <w:sz w:val="24"/>
          <w:szCs w:val="24"/>
        </w:rPr>
        <w:t xml:space="preserve">Ze względu na dotychczas obowiązujące przepisy, </w:t>
      </w:r>
      <w:r w:rsidR="003023F6" w:rsidRPr="00613198">
        <w:rPr>
          <w:rFonts w:ascii="Times New Roman" w:hAnsi="Times New Roman" w:cs="Times New Roman"/>
          <w:sz w:val="24"/>
          <w:szCs w:val="24"/>
        </w:rPr>
        <w:t>regulujące w jednej jednostce redakcyjnej zarówno</w:t>
      </w:r>
      <w:r w:rsidRPr="00613198">
        <w:rPr>
          <w:rFonts w:ascii="Times New Roman" w:hAnsi="Times New Roman" w:cs="Times New Roman"/>
          <w:sz w:val="24"/>
          <w:szCs w:val="24"/>
        </w:rPr>
        <w:t xml:space="preserve"> um</w:t>
      </w:r>
      <w:r w:rsidR="003023F6" w:rsidRPr="00613198">
        <w:rPr>
          <w:rFonts w:ascii="Times New Roman" w:hAnsi="Times New Roman" w:cs="Times New Roman"/>
          <w:sz w:val="24"/>
          <w:szCs w:val="24"/>
        </w:rPr>
        <w:t>owy</w:t>
      </w:r>
      <w:r w:rsidRPr="00613198">
        <w:rPr>
          <w:rFonts w:ascii="Times New Roman" w:hAnsi="Times New Roman" w:cs="Times New Roman"/>
          <w:sz w:val="24"/>
          <w:szCs w:val="24"/>
        </w:rPr>
        <w:t xml:space="preserve"> z odbiorcami gazu i energii, konieczne było rozdzielenie tych dwóch typów umów i dostosowanie przepisów krajowych</w:t>
      </w:r>
      <w:r w:rsidR="00A85906" w:rsidRPr="00613198">
        <w:rPr>
          <w:rFonts w:ascii="Times New Roman" w:hAnsi="Times New Roman" w:cs="Times New Roman"/>
          <w:sz w:val="24"/>
          <w:szCs w:val="24"/>
        </w:rPr>
        <w:t xml:space="preserve"> w zakresie umów sprzedaży energii elektrycznej</w:t>
      </w:r>
      <w:r w:rsidRPr="00613198">
        <w:rPr>
          <w:rFonts w:ascii="Times New Roman" w:hAnsi="Times New Roman" w:cs="Times New Roman"/>
          <w:sz w:val="24"/>
          <w:szCs w:val="24"/>
        </w:rPr>
        <w:t xml:space="preserve"> </w:t>
      </w:r>
      <w:r w:rsidR="004D5A2D" w:rsidRPr="00613198">
        <w:rPr>
          <w:rFonts w:ascii="Times New Roman" w:hAnsi="Times New Roman" w:cs="Times New Roman"/>
          <w:sz w:val="24"/>
          <w:szCs w:val="24"/>
        </w:rPr>
        <w:t>do</w:t>
      </w:r>
      <w:r w:rsidRPr="00613198">
        <w:rPr>
          <w:rFonts w:ascii="Times New Roman" w:hAnsi="Times New Roman" w:cs="Times New Roman"/>
          <w:sz w:val="24"/>
          <w:szCs w:val="24"/>
        </w:rPr>
        <w:t xml:space="preserve"> przepisó</w:t>
      </w:r>
      <w:r w:rsidR="003023F6" w:rsidRPr="00613198">
        <w:rPr>
          <w:rFonts w:ascii="Times New Roman" w:hAnsi="Times New Roman" w:cs="Times New Roman"/>
          <w:sz w:val="24"/>
          <w:szCs w:val="24"/>
        </w:rPr>
        <w:t>w dyrektywy 2019/944.</w:t>
      </w:r>
      <w:r w:rsidR="004D5A2D" w:rsidRPr="00613198">
        <w:rPr>
          <w:rFonts w:ascii="Times New Roman" w:hAnsi="Times New Roman" w:cs="Times New Roman"/>
          <w:sz w:val="24"/>
          <w:szCs w:val="24"/>
        </w:rPr>
        <w:t xml:space="preserve"> </w:t>
      </w:r>
      <w:r w:rsidR="00A85906" w:rsidRPr="00613198">
        <w:rPr>
          <w:rFonts w:ascii="Times New Roman" w:hAnsi="Times New Roman" w:cs="Times New Roman"/>
          <w:sz w:val="24"/>
          <w:szCs w:val="24"/>
        </w:rPr>
        <w:t>D</w:t>
      </w:r>
      <w:r w:rsidR="004D5A2D" w:rsidRPr="00613198">
        <w:rPr>
          <w:rFonts w:ascii="Times New Roman" w:hAnsi="Times New Roman" w:cs="Times New Roman"/>
          <w:sz w:val="24"/>
          <w:szCs w:val="24"/>
        </w:rPr>
        <w:t>otychczas obowiązując</w:t>
      </w:r>
      <w:r w:rsidR="00A85906" w:rsidRPr="00613198">
        <w:rPr>
          <w:rFonts w:ascii="Times New Roman" w:hAnsi="Times New Roman" w:cs="Times New Roman"/>
          <w:sz w:val="24"/>
          <w:szCs w:val="24"/>
        </w:rPr>
        <w:t>y</w:t>
      </w:r>
      <w:r w:rsidR="004D5A2D" w:rsidRPr="00613198">
        <w:rPr>
          <w:rFonts w:ascii="Times New Roman" w:hAnsi="Times New Roman" w:cs="Times New Roman"/>
          <w:sz w:val="24"/>
          <w:szCs w:val="24"/>
        </w:rPr>
        <w:t xml:space="preserve"> art. 5 ust</w:t>
      </w:r>
      <w:r w:rsidR="000675BD">
        <w:rPr>
          <w:rFonts w:ascii="Times New Roman" w:hAnsi="Times New Roman" w:cs="Times New Roman"/>
          <w:sz w:val="24"/>
          <w:szCs w:val="24"/>
        </w:rPr>
        <w:t>.</w:t>
      </w:r>
      <w:r w:rsidR="004D5A2D" w:rsidRPr="00613198">
        <w:rPr>
          <w:rFonts w:ascii="Times New Roman" w:hAnsi="Times New Roman" w:cs="Times New Roman"/>
          <w:sz w:val="24"/>
          <w:szCs w:val="24"/>
        </w:rPr>
        <w:t xml:space="preserve"> 4b ustawy – </w:t>
      </w:r>
      <w:r w:rsidR="00010D01" w:rsidRPr="00613198">
        <w:rPr>
          <w:rFonts w:ascii="Times New Roman" w:hAnsi="Times New Roman" w:cs="Times New Roman"/>
          <w:sz w:val="24"/>
          <w:szCs w:val="24"/>
        </w:rPr>
        <w:t>P</w:t>
      </w:r>
      <w:r w:rsidR="004D5A2D" w:rsidRPr="00613198">
        <w:rPr>
          <w:rFonts w:ascii="Times New Roman" w:hAnsi="Times New Roman" w:cs="Times New Roman"/>
          <w:sz w:val="24"/>
          <w:szCs w:val="24"/>
        </w:rPr>
        <w:t xml:space="preserve">rawo energetyczne, pozostawiono </w:t>
      </w:r>
      <w:r w:rsidR="00A85906" w:rsidRPr="00613198">
        <w:rPr>
          <w:rFonts w:ascii="Times New Roman" w:hAnsi="Times New Roman" w:cs="Times New Roman"/>
          <w:sz w:val="24"/>
          <w:szCs w:val="24"/>
        </w:rPr>
        <w:t xml:space="preserve">bez ingerencji w treść przepisu w zakresie </w:t>
      </w:r>
      <w:r w:rsidR="004D5A2D" w:rsidRPr="00613198">
        <w:rPr>
          <w:rFonts w:ascii="Times New Roman" w:hAnsi="Times New Roman" w:cs="Times New Roman"/>
          <w:sz w:val="24"/>
          <w:szCs w:val="24"/>
        </w:rPr>
        <w:t>informacji jakie powinny znaleźć się w umowach zawieranych z odbiorcami paliw gazowych w gospodarstwie domowym, jednocześnie wydzielając ust. 4</w:t>
      </w:r>
      <w:r w:rsidR="00291417">
        <w:rPr>
          <w:rFonts w:ascii="Times New Roman" w:hAnsi="Times New Roman" w:cs="Times New Roman"/>
          <w:sz w:val="24"/>
          <w:szCs w:val="24"/>
        </w:rPr>
        <w:t>d</w:t>
      </w:r>
      <w:r w:rsidR="004D5A2D" w:rsidRPr="00613198">
        <w:rPr>
          <w:rFonts w:ascii="Times New Roman" w:hAnsi="Times New Roman" w:cs="Times New Roman"/>
          <w:sz w:val="24"/>
          <w:szCs w:val="24"/>
        </w:rPr>
        <w:t xml:space="preserve">, w którym wskazano, jakie elementy powinny znaleźć się w umowie sprzedaży oraz umowie kompleksowej, których </w:t>
      </w:r>
      <w:r w:rsidR="004D5A2D" w:rsidRPr="00613198">
        <w:rPr>
          <w:rFonts w:ascii="Times New Roman" w:hAnsi="Times New Roman" w:cs="Times New Roman"/>
          <w:sz w:val="24"/>
          <w:szCs w:val="24"/>
        </w:rPr>
        <w:lastRenderedPageBreak/>
        <w:t>stroną jest odbiorca końcowy energii elektrycznej.</w:t>
      </w:r>
      <w:r w:rsidR="00E637C0" w:rsidRPr="00613198">
        <w:rPr>
          <w:rFonts w:ascii="Times New Roman" w:hAnsi="Times New Roman" w:cs="Times New Roman"/>
          <w:sz w:val="24"/>
          <w:szCs w:val="24"/>
        </w:rPr>
        <w:t xml:space="preserve"> Przepis</w:t>
      </w:r>
      <w:r w:rsidR="008404C8" w:rsidRPr="00613198">
        <w:rPr>
          <w:rFonts w:ascii="Times New Roman" w:hAnsi="Times New Roman" w:cs="Times New Roman"/>
          <w:sz w:val="24"/>
          <w:szCs w:val="24"/>
        </w:rPr>
        <w:t xml:space="preserve"> regulujący tę materię,</w:t>
      </w:r>
      <w:r w:rsidR="00E637C0" w:rsidRPr="00613198">
        <w:rPr>
          <w:rFonts w:ascii="Times New Roman" w:hAnsi="Times New Roman" w:cs="Times New Roman"/>
          <w:sz w:val="24"/>
          <w:szCs w:val="24"/>
        </w:rPr>
        <w:t xml:space="preserve"> w obowiązującej aktualnie treści, dotyczy wyłącznie odbiorców energii </w:t>
      </w:r>
      <w:r w:rsidR="002F17F4" w:rsidRPr="00613198">
        <w:rPr>
          <w:rFonts w:ascii="Times New Roman" w:hAnsi="Times New Roman" w:cs="Times New Roman"/>
          <w:sz w:val="24"/>
          <w:szCs w:val="24"/>
        </w:rPr>
        <w:t xml:space="preserve">elektrycznej </w:t>
      </w:r>
      <w:r w:rsidR="00E637C0" w:rsidRPr="00613198">
        <w:rPr>
          <w:rFonts w:ascii="Times New Roman" w:hAnsi="Times New Roman" w:cs="Times New Roman"/>
          <w:sz w:val="24"/>
          <w:szCs w:val="24"/>
        </w:rPr>
        <w:t>w gospodarstwach domowych. Proponowa</w:t>
      </w:r>
      <w:r w:rsidR="002F17F4" w:rsidRPr="00613198">
        <w:rPr>
          <w:rFonts w:ascii="Times New Roman" w:hAnsi="Times New Roman" w:cs="Times New Roman"/>
          <w:sz w:val="24"/>
          <w:szCs w:val="24"/>
        </w:rPr>
        <w:t>na treść przepisu</w:t>
      </w:r>
      <w:r w:rsidR="008404C8" w:rsidRPr="00613198">
        <w:rPr>
          <w:rFonts w:ascii="Times New Roman" w:hAnsi="Times New Roman" w:cs="Times New Roman"/>
          <w:sz w:val="24"/>
          <w:szCs w:val="24"/>
        </w:rPr>
        <w:t xml:space="preserve"> rozszerza go</w:t>
      </w:r>
      <w:r w:rsidR="00E637C0" w:rsidRPr="00613198">
        <w:rPr>
          <w:rFonts w:ascii="Times New Roman" w:hAnsi="Times New Roman" w:cs="Times New Roman"/>
          <w:sz w:val="24"/>
          <w:szCs w:val="24"/>
        </w:rPr>
        <w:t xml:space="preserve"> o każdego odbiorcę końcowego energii elek</w:t>
      </w:r>
      <w:r w:rsidR="009B0A8F" w:rsidRPr="00613198">
        <w:rPr>
          <w:rFonts w:ascii="Times New Roman" w:hAnsi="Times New Roman" w:cs="Times New Roman"/>
          <w:sz w:val="24"/>
          <w:szCs w:val="24"/>
        </w:rPr>
        <w:t>trycznej, wype</w:t>
      </w:r>
      <w:r w:rsidR="00EA751E" w:rsidRPr="00613198">
        <w:rPr>
          <w:rFonts w:ascii="Times New Roman" w:hAnsi="Times New Roman" w:cs="Times New Roman"/>
          <w:sz w:val="24"/>
          <w:szCs w:val="24"/>
        </w:rPr>
        <w:t>ł</w:t>
      </w:r>
      <w:r w:rsidR="009B0A8F" w:rsidRPr="00613198">
        <w:rPr>
          <w:rFonts w:ascii="Times New Roman" w:hAnsi="Times New Roman" w:cs="Times New Roman"/>
          <w:sz w:val="24"/>
          <w:szCs w:val="24"/>
        </w:rPr>
        <w:t>niając tym samym</w:t>
      </w:r>
      <w:r w:rsidR="00E637C0" w:rsidRPr="00613198">
        <w:rPr>
          <w:rFonts w:ascii="Times New Roman" w:hAnsi="Times New Roman" w:cs="Times New Roman"/>
          <w:sz w:val="24"/>
          <w:szCs w:val="24"/>
        </w:rPr>
        <w:t xml:space="preserve"> postanowienia </w:t>
      </w:r>
      <w:r w:rsidR="00BF39DF" w:rsidRPr="00613198">
        <w:rPr>
          <w:rFonts w:ascii="Times New Roman" w:hAnsi="Times New Roman" w:cs="Times New Roman"/>
          <w:sz w:val="24"/>
          <w:szCs w:val="24"/>
        </w:rPr>
        <w:t>art. 10 ust. 2 dyrektywy 2019/944.</w:t>
      </w:r>
    </w:p>
    <w:p w14:paraId="0F39217B" w14:textId="632D0805" w:rsidR="009B0A8F" w:rsidRPr="00613198" w:rsidRDefault="009B0A8F" w:rsidP="00FB4958">
      <w:pPr>
        <w:spacing w:after="120" w:line="360" w:lineRule="auto"/>
        <w:ind w:firstLine="708"/>
        <w:jc w:val="both"/>
        <w:rPr>
          <w:rFonts w:ascii="Times New Roman" w:hAnsi="Times New Roman" w:cs="Times New Roman"/>
          <w:b/>
          <w:sz w:val="24"/>
          <w:szCs w:val="24"/>
        </w:rPr>
      </w:pPr>
      <w:r w:rsidRPr="00613198">
        <w:rPr>
          <w:rFonts w:ascii="Times New Roman" w:hAnsi="Times New Roman" w:cs="Times New Roman"/>
          <w:b/>
          <w:sz w:val="24"/>
          <w:szCs w:val="24"/>
        </w:rPr>
        <w:t>- dodanie ust. 4</w:t>
      </w:r>
      <w:r w:rsidR="00946882">
        <w:rPr>
          <w:rFonts w:ascii="Times New Roman" w:hAnsi="Times New Roman" w:cs="Times New Roman"/>
          <w:b/>
          <w:sz w:val="24"/>
          <w:szCs w:val="24"/>
        </w:rPr>
        <w:t>e</w:t>
      </w:r>
    </w:p>
    <w:p w14:paraId="1DC621DC" w14:textId="0985B668" w:rsidR="00670060" w:rsidRPr="00613198" w:rsidRDefault="00A85906" w:rsidP="000441FB">
      <w:pPr>
        <w:pStyle w:val="USTustnpkodeksu"/>
        <w:rPr>
          <w:rFonts w:ascii="Times New Roman" w:hAnsi="Times New Roman" w:cs="Times New Roman"/>
        </w:rPr>
      </w:pPr>
      <w:r w:rsidRPr="00613198">
        <w:rPr>
          <w:rFonts w:ascii="Times New Roman" w:hAnsi="Times New Roman" w:cs="Times New Roman"/>
          <w:szCs w:val="24"/>
        </w:rPr>
        <w:t xml:space="preserve">W dodawanym do art. 5 </w:t>
      </w:r>
      <w:r w:rsidR="000441FB" w:rsidRPr="00613198">
        <w:rPr>
          <w:rFonts w:ascii="Times New Roman" w:hAnsi="Times New Roman" w:cs="Times New Roman"/>
          <w:szCs w:val="24"/>
        </w:rPr>
        <w:t xml:space="preserve">ustawy – </w:t>
      </w:r>
      <w:r w:rsidR="00BF79A7" w:rsidRPr="00613198">
        <w:rPr>
          <w:rFonts w:ascii="Times New Roman" w:hAnsi="Times New Roman" w:cs="Times New Roman"/>
          <w:szCs w:val="24"/>
        </w:rPr>
        <w:t>Prawo energetyczne</w:t>
      </w:r>
      <w:r w:rsidR="00670060" w:rsidRPr="00613198">
        <w:rPr>
          <w:rFonts w:ascii="Times New Roman" w:hAnsi="Times New Roman" w:cs="Times New Roman"/>
          <w:szCs w:val="24"/>
        </w:rPr>
        <w:t xml:space="preserve"> -</w:t>
      </w:r>
      <w:r w:rsidR="000441FB" w:rsidRPr="00613198">
        <w:rPr>
          <w:rFonts w:ascii="Times New Roman" w:hAnsi="Times New Roman" w:cs="Times New Roman"/>
          <w:szCs w:val="24"/>
        </w:rPr>
        <w:t xml:space="preserve"> </w:t>
      </w:r>
      <w:r w:rsidRPr="00613198">
        <w:rPr>
          <w:rFonts w:ascii="Times New Roman" w:hAnsi="Times New Roman" w:cs="Times New Roman"/>
          <w:szCs w:val="24"/>
        </w:rPr>
        <w:t>ust. 4</w:t>
      </w:r>
      <w:r w:rsidR="00F91FAC">
        <w:rPr>
          <w:rFonts w:ascii="Times New Roman" w:hAnsi="Times New Roman" w:cs="Times New Roman"/>
          <w:szCs w:val="24"/>
        </w:rPr>
        <w:t>e</w:t>
      </w:r>
      <w:r w:rsidR="000441FB" w:rsidRPr="00613198">
        <w:rPr>
          <w:rFonts w:ascii="Times New Roman" w:hAnsi="Times New Roman" w:cs="Times New Roman"/>
          <w:szCs w:val="24"/>
        </w:rPr>
        <w:t xml:space="preserve">, </w:t>
      </w:r>
      <w:r w:rsidR="000441FB" w:rsidRPr="00613198">
        <w:rPr>
          <w:rFonts w:ascii="Times New Roman" w:hAnsi="Times New Roman" w:cs="Times New Roman"/>
        </w:rPr>
        <w:t>zobowiązano sprzedawców energii elektrycznej</w:t>
      </w:r>
      <w:r w:rsidR="00F91FAC">
        <w:rPr>
          <w:rFonts w:ascii="Times New Roman" w:hAnsi="Times New Roman" w:cs="Times New Roman"/>
        </w:rPr>
        <w:t xml:space="preserve">, </w:t>
      </w:r>
      <w:r w:rsidR="00F91FAC" w:rsidRPr="00972957">
        <w:t>z wyłączeniem sprzedawcy rezerwowego i sprzedawcy z urzędu</w:t>
      </w:r>
      <w:r w:rsidR="00F91FAC">
        <w:t>,</w:t>
      </w:r>
      <w:r w:rsidR="000441FB" w:rsidRPr="00613198">
        <w:rPr>
          <w:rFonts w:ascii="Times New Roman" w:hAnsi="Times New Roman" w:cs="Times New Roman"/>
        </w:rPr>
        <w:t xml:space="preserve"> do </w:t>
      </w:r>
      <w:r w:rsidR="00473BD3">
        <w:rPr>
          <w:rFonts w:ascii="Times New Roman" w:hAnsi="Times New Roman" w:cs="Times New Roman"/>
        </w:rPr>
        <w:t xml:space="preserve"> przekazania</w:t>
      </w:r>
      <w:r w:rsidR="000441FB" w:rsidRPr="00613198">
        <w:rPr>
          <w:rFonts w:ascii="Times New Roman" w:hAnsi="Times New Roman" w:cs="Times New Roman"/>
        </w:rPr>
        <w:t xml:space="preserve"> odbiorcy końcowemu, najpóźniej w dniu zawarcia umowy sprzedaży energii elektrycznej, streszczenia kluczowych warunków umowy, </w:t>
      </w:r>
      <w:r w:rsidR="00670060" w:rsidRPr="00613198">
        <w:rPr>
          <w:rFonts w:ascii="Times New Roman" w:hAnsi="Times New Roman" w:cs="Times New Roman"/>
        </w:rPr>
        <w:t>w przystępnej i zwięzłej formie, które powinno zawierać co najmniej dane sprzedawcy energii elektrycznej, zakres świadczonych usług, informację o cenach i stawkach opłat za sprzedaż energii, czas trwania umowy oraz warunki jej</w:t>
      </w:r>
      <w:r w:rsidR="00E92441" w:rsidRPr="00613198">
        <w:rPr>
          <w:rFonts w:ascii="Times New Roman" w:hAnsi="Times New Roman" w:cs="Times New Roman"/>
        </w:rPr>
        <w:t xml:space="preserve"> zakończenia</w:t>
      </w:r>
      <w:r w:rsidR="00670060" w:rsidRPr="00613198">
        <w:rPr>
          <w:rFonts w:ascii="Times New Roman" w:hAnsi="Times New Roman" w:cs="Times New Roman"/>
        </w:rPr>
        <w:t>. Powyższe wypełnia normę wskazaną w art. 10 ust. 3 dyrektywy 2019/944</w:t>
      </w:r>
      <w:r w:rsidR="00FC6407">
        <w:rPr>
          <w:rFonts w:ascii="Times New Roman" w:hAnsi="Times New Roman" w:cs="Times New Roman"/>
        </w:rPr>
        <w:t>,</w:t>
      </w:r>
      <w:r w:rsidR="00FC6407" w:rsidRPr="00FC6407">
        <w:rPr>
          <w:rFonts w:ascii="Times New Roman" w:hAnsi="Times New Roman" w:cs="Times New Roman"/>
        </w:rPr>
        <w:t xml:space="preserve"> jednocześnie pełniąc funkcję ochronną wobec tych odbiorców poprzez przekazanie powyższego streszczenia najpóźniej w dniu zawarcia umowy sprzedaży energii elektrycznej</w:t>
      </w:r>
      <w:r w:rsidR="00670060" w:rsidRPr="00613198">
        <w:rPr>
          <w:rFonts w:ascii="Times New Roman" w:hAnsi="Times New Roman" w:cs="Times New Roman"/>
        </w:rPr>
        <w:t>.</w:t>
      </w:r>
    </w:p>
    <w:p w14:paraId="550DB4E9" w14:textId="77777777" w:rsidR="009B0A8F" w:rsidRPr="00613198" w:rsidRDefault="009B0A8F" w:rsidP="000441FB">
      <w:pPr>
        <w:pStyle w:val="USTustnpkodeksu"/>
        <w:rPr>
          <w:rFonts w:ascii="Times New Roman" w:hAnsi="Times New Roman" w:cs="Times New Roman"/>
          <w:b/>
        </w:rPr>
      </w:pPr>
      <w:r w:rsidRPr="00613198">
        <w:rPr>
          <w:rFonts w:ascii="Times New Roman" w:hAnsi="Times New Roman" w:cs="Times New Roman"/>
          <w:b/>
        </w:rPr>
        <w:t>- zmiana ust. 6</w:t>
      </w:r>
    </w:p>
    <w:p w14:paraId="09E22D22" w14:textId="77777777" w:rsidR="00055B48" w:rsidRPr="00613198" w:rsidRDefault="004C7C05" w:rsidP="00055B48">
      <w:pPr>
        <w:pStyle w:val="USTustnpkodeksu"/>
      </w:pPr>
      <w:r w:rsidRPr="00613198">
        <w:rPr>
          <w:rFonts w:ascii="Times New Roman" w:hAnsi="Times New Roman" w:cs="Times New Roman"/>
        </w:rPr>
        <w:t>W art. 5 ust. 6 dokon</w:t>
      </w:r>
      <w:r w:rsidR="00BC7829" w:rsidRPr="00613198">
        <w:rPr>
          <w:rFonts w:ascii="Times New Roman" w:hAnsi="Times New Roman" w:cs="Times New Roman"/>
        </w:rPr>
        <w:t>ano</w:t>
      </w:r>
      <w:r w:rsidRPr="00613198">
        <w:rPr>
          <w:rFonts w:ascii="Times New Roman" w:hAnsi="Times New Roman" w:cs="Times New Roman"/>
        </w:rPr>
        <w:t xml:space="preserve"> zmiany, polegającej na modyfikacji obowiązku informacyjnego sprzedawców energii elektrycznej </w:t>
      </w:r>
      <w:r w:rsidRPr="00613198">
        <w:t>o podwyżce cen lub stawek opłat za energię elektryczną.</w:t>
      </w:r>
      <w:r w:rsidR="00055B48" w:rsidRPr="00613198">
        <w:t xml:space="preserve"> Zgodnie z proponowanym brzmieniem przepisu, sprzedawcę energii elektrycznej zobowiązano do powiadamia odbiorców, w sposób przejrzysty i zrozumiały, o zmianie cen lub stawek opłat za energię elektryczną oraz o powodach i warunkach podwyżki, w terminie:</w:t>
      </w:r>
    </w:p>
    <w:p w14:paraId="44EA26B3" w14:textId="77777777" w:rsidR="00055B48" w:rsidRPr="00613198" w:rsidRDefault="00055B48" w:rsidP="00055B48">
      <w:pPr>
        <w:pStyle w:val="USTustnpkodeksu"/>
      </w:pPr>
      <w:r w:rsidRPr="00613198">
        <w:t>a) miesiąca przed wejściem w życie tej podwyżki - w przypadku odbiorców energii elektrycznej w gospodarstwach domowych;</w:t>
      </w:r>
    </w:p>
    <w:p w14:paraId="65DB8774" w14:textId="77777777" w:rsidR="00024E0A" w:rsidRPr="00613198" w:rsidRDefault="00055B48" w:rsidP="00055B48">
      <w:pPr>
        <w:pStyle w:val="USTustnpkodeksu"/>
      </w:pPr>
      <w:r w:rsidRPr="00613198">
        <w:t xml:space="preserve">b) dwóch tygodni przed wejściem w życie tej podwyżki - w przypadku innych odbiorców końcowych niż odbiorcy energii elektrycznej w  gospodarstwach domowych. </w:t>
      </w:r>
    </w:p>
    <w:p w14:paraId="31E85298" w14:textId="58C3687E" w:rsidR="00024E0A" w:rsidRPr="00613198" w:rsidRDefault="00055B48" w:rsidP="00024E0A">
      <w:pPr>
        <w:pStyle w:val="USTustnpkodeksu"/>
      </w:pPr>
      <w:r w:rsidRPr="00613198">
        <w:t>Niniejszą zmianą dokonano transpozycji art. 10 ust. 4 dyrektywy</w:t>
      </w:r>
      <w:r w:rsidR="00A6038A">
        <w:t xml:space="preserve"> 2019/944</w:t>
      </w:r>
      <w:r w:rsidRPr="00613198">
        <w:t>.</w:t>
      </w:r>
    </w:p>
    <w:p w14:paraId="0B4045EF" w14:textId="77777777" w:rsidR="002E407B" w:rsidRPr="00613198" w:rsidRDefault="002E407B" w:rsidP="00EE35C2">
      <w:pPr>
        <w:pStyle w:val="USTustnpkodeksu"/>
        <w:rPr>
          <w:b/>
        </w:rPr>
      </w:pPr>
      <w:r w:rsidRPr="00613198">
        <w:rPr>
          <w:b/>
        </w:rPr>
        <w:t>- dodany ust. 6ca</w:t>
      </w:r>
    </w:p>
    <w:p w14:paraId="3BC7A4D0" w14:textId="1B881C76" w:rsidR="00060DF4" w:rsidRPr="00613198" w:rsidRDefault="00A61252" w:rsidP="00060DF4">
      <w:pPr>
        <w:pStyle w:val="USTustnpkodeksu"/>
      </w:pPr>
      <w:r w:rsidRPr="00613198">
        <w:t>Z</w:t>
      </w:r>
      <w:r w:rsidR="002E407B" w:rsidRPr="00613198">
        <w:t xml:space="preserve">obowiązanie sprzedawców energii elektrycznej stosujących taryfę zatwierdzaną przez Prezesa URE </w:t>
      </w:r>
      <w:r w:rsidR="00060DF4" w:rsidRPr="00613198">
        <w:t>do informowania odbiorcy końcowego</w:t>
      </w:r>
      <w:r w:rsidR="00291417">
        <w:t xml:space="preserve"> w gospodarstwie domowym</w:t>
      </w:r>
      <w:r w:rsidR="00060DF4" w:rsidRPr="00613198">
        <w:t xml:space="preserve">, co najmniej raz na kwartał, o możliwości zakupu przez tego odbiorcę energii elektrycznej od wybranego przez niego sprzedawcy, dostępności ofert sprzedaży energii elektrycznej w porównywarce ofert i możliwości oszczędności na konkurencyjnym rynku energii elektrycznej, w </w:t>
      </w:r>
      <w:r w:rsidR="00060DF4" w:rsidRPr="00613198">
        <w:lastRenderedPageBreak/>
        <w:t>szczególności o umowach z cenami dynamicznymi energii elektrycznej stanowi implementację art. 5 ust. 7 lit. e</w:t>
      </w:r>
      <w:r w:rsidRPr="00613198">
        <w:t xml:space="preserve"> dyrektywy 2019/944.</w:t>
      </w:r>
    </w:p>
    <w:p w14:paraId="750A81DF" w14:textId="69B3574C" w:rsidR="00743857" w:rsidRPr="00613198" w:rsidRDefault="00743857" w:rsidP="00060DF4">
      <w:pPr>
        <w:pStyle w:val="USTustnpkodeksu"/>
        <w:rPr>
          <w:b/>
        </w:rPr>
      </w:pPr>
      <w:r w:rsidRPr="00613198">
        <w:rPr>
          <w:b/>
        </w:rPr>
        <w:t>- dodany ust. 6</w:t>
      </w:r>
      <w:r w:rsidR="00F91FAC">
        <w:rPr>
          <w:b/>
        </w:rPr>
        <w:t>h</w:t>
      </w:r>
    </w:p>
    <w:p w14:paraId="2F253EB3" w14:textId="7EF31923" w:rsidR="00743857" w:rsidRPr="00613198" w:rsidRDefault="00A61252" w:rsidP="00060DF4">
      <w:pPr>
        <w:pStyle w:val="USTustnpkodeksu"/>
      </w:pPr>
      <w:r w:rsidRPr="00613198">
        <w:t>Z</w:t>
      </w:r>
      <w:r w:rsidR="00743857" w:rsidRPr="00613198">
        <w:t>obowiązanie sprzedawców energii elektrycznej, stosujących umowy z ceną dynamiczną energii elektrycznej do informowania odbiorców końcowych, w sposób przejrzysty i zrozumiały, o</w:t>
      </w:r>
      <w:r w:rsidR="00441F9B">
        <w:t xml:space="preserve"> możliwych</w:t>
      </w:r>
      <w:r w:rsidR="00743857" w:rsidRPr="00613198">
        <w:t xml:space="preserve"> kosztach i korzyściach a także o ryzykach związanych z umowami z cenami dynamicznymi energii elektrycznej oraz o konieczności zainstalowania licznika zdalnego odczytu w celu skorzystania z możliwości zawarcia takiej umowy stanowi implementację art. 11 ust. 2 dyrektywy 2019/944.</w:t>
      </w:r>
    </w:p>
    <w:p w14:paraId="0EA8CB94" w14:textId="5CD7C31D" w:rsidR="009E0E0A" w:rsidRPr="00613198" w:rsidRDefault="009E0E0A" w:rsidP="00CC2864">
      <w:pPr>
        <w:pStyle w:val="USTustnpkodeksu"/>
      </w:pPr>
    </w:p>
    <w:p w14:paraId="0BDCFDC0" w14:textId="36EF8C0D" w:rsidR="00AF4A03" w:rsidRPr="00613198" w:rsidRDefault="00AF4A03" w:rsidP="00EE35C2">
      <w:pPr>
        <w:pStyle w:val="USTustnpkodeksu"/>
      </w:pPr>
      <w:r w:rsidRPr="00613198">
        <w:rPr>
          <w:b/>
        </w:rPr>
        <w:t xml:space="preserve">Ad </w:t>
      </w:r>
      <w:r w:rsidR="00925345">
        <w:rPr>
          <w:b/>
        </w:rPr>
        <w:t>8</w:t>
      </w:r>
      <w:r w:rsidR="006E7A41" w:rsidRPr="00613198">
        <w:rPr>
          <w:b/>
        </w:rPr>
        <w:t>.</w:t>
      </w:r>
      <w:r w:rsidR="006E7A41" w:rsidRPr="00613198">
        <w:t xml:space="preserve"> </w:t>
      </w:r>
      <w:r w:rsidRPr="00613198">
        <w:rPr>
          <w:b/>
        </w:rPr>
        <w:t>Uzupełnieni</w:t>
      </w:r>
      <w:r w:rsidR="007C77B8" w:rsidRPr="00613198">
        <w:rPr>
          <w:b/>
        </w:rPr>
        <w:t>e</w:t>
      </w:r>
      <w:r w:rsidRPr="00613198">
        <w:rPr>
          <w:b/>
        </w:rPr>
        <w:t xml:space="preserve"> zadań operatora systemu przesyłowego i operatorów systemów dystrybucyjnych</w:t>
      </w:r>
      <w:r w:rsidRPr="00613198">
        <w:t xml:space="preserve"> </w:t>
      </w:r>
    </w:p>
    <w:p w14:paraId="37FF5CE8" w14:textId="3968EE8E" w:rsidR="007C77B8" w:rsidRPr="00613198" w:rsidRDefault="006E7A41" w:rsidP="00EE35C2">
      <w:pPr>
        <w:pStyle w:val="USTustnpkodeksu"/>
        <w:rPr>
          <w:b/>
        </w:rPr>
      </w:pPr>
      <w:r w:rsidRPr="00613198">
        <w:rPr>
          <w:b/>
        </w:rPr>
        <w:t>Usługi systemowe</w:t>
      </w:r>
      <w:r w:rsidR="00850D87" w:rsidRPr="00613198">
        <w:rPr>
          <w:b/>
        </w:rPr>
        <w:t xml:space="preserve"> i usługi systemowe niedotyczące częstotliwości </w:t>
      </w:r>
    </w:p>
    <w:p w14:paraId="5A9C05EC" w14:textId="77777777" w:rsidR="00A05F28" w:rsidRPr="00613198" w:rsidRDefault="00A05F28" w:rsidP="00A05F28">
      <w:pPr>
        <w:pStyle w:val="USTustnpkodeksu"/>
      </w:pPr>
      <w:r w:rsidRPr="00613198">
        <w:t>W zakresie implementacji przepisów dotyczących usług systemowych w projektowanej ustawie zaproponowano niżej wskazane rozwiązania.</w:t>
      </w:r>
    </w:p>
    <w:p w14:paraId="2E9C202D" w14:textId="753F33F5" w:rsidR="00A05F28" w:rsidRPr="00613198" w:rsidRDefault="00A05F28" w:rsidP="00A05F28">
      <w:pPr>
        <w:pStyle w:val="USTustnpkodeksu"/>
        <w:rPr>
          <w:b/>
          <w:color w:val="000000" w:themeColor="text1"/>
        </w:rPr>
      </w:pPr>
      <w:r w:rsidRPr="00613198">
        <w:rPr>
          <w:b/>
          <w:color w:val="000000" w:themeColor="text1"/>
        </w:rPr>
        <w:t xml:space="preserve">a) zmiany w art. 3 ustawy – </w:t>
      </w:r>
      <w:r w:rsidR="008B4FE0" w:rsidRPr="00613198">
        <w:rPr>
          <w:b/>
          <w:color w:val="000000" w:themeColor="text1"/>
        </w:rPr>
        <w:t>P</w:t>
      </w:r>
      <w:r w:rsidRPr="00613198">
        <w:rPr>
          <w:b/>
          <w:color w:val="000000" w:themeColor="text1"/>
        </w:rPr>
        <w:t>rawo energetyczne</w:t>
      </w:r>
    </w:p>
    <w:p w14:paraId="368B3856" w14:textId="5C6518A8" w:rsidR="00A05F28" w:rsidRPr="00613198" w:rsidRDefault="00A05F28" w:rsidP="00A05F28">
      <w:pPr>
        <w:pStyle w:val="USTustnpkodeksu"/>
        <w:rPr>
          <w:color w:val="000000" w:themeColor="text1"/>
        </w:rPr>
      </w:pPr>
      <w:r w:rsidRPr="00613198">
        <w:rPr>
          <w:color w:val="000000" w:themeColor="text1"/>
        </w:rPr>
        <w:t xml:space="preserve">Proponowane zmiany w art. 3 ustawy – </w:t>
      </w:r>
      <w:r w:rsidR="008B4FE0" w:rsidRPr="00613198">
        <w:rPr>
          <w:color w:val="000000" w:themeColor="text1"/>
        </w:rPr>
        <w:t>P</w:t>
      </w:r>
      <w:r w:rsidRPr="00613198">
        <w:rPr>
          <w:color w:val="000000" w:themeColor="text1"/>
        </w:rPr>
        <w:t xml:space="preserve">rawo energetyczne mają na celu dostosowanie ram pojęciowych </w:t>
      </w:r>
      <w:r w:rsidR="00CC2864">
        <w:rPr>
          <w:color w:val="000000" w:themeColor="text1"/>
        </w:rPr>
        <w:t xml:space="preserve">ww. </w:t>
      </w:r>
      <w:r w:rsidRPr="00613198">
        <w:rPr>
          <w:color w:val="000000" w:themeColor="text1"/>
        </w:rPr>
        <w:t>ustawy do ram wynikających z przepisów unijnych tj. dyrektywy 2019/944 i rozporządzenia 2019/943 w zakresie usług systemowych. Dodanie do art. 3 pkt 23e i 23f stanowi implementację art. 2 pkt 48 i 29 dyrektywy 2019/944. Definicje te zostały nieznacznie skorygowane w stosunku do wersji oryginalnej pochodzącej z dyrektywy</w:t>
      </w:r>
      <w:r w:rsidR="00CC2864">
        <w:rPr>
          <w:color w:val="000000" w:themeColor="text1"/>
        </w:rPr>
        <w:t xml:space="preserve"> 2019/944</w:t>
      </w:r>
      <w:r w:rsidRPr="00613198">
        <w:rPr>
          <w:color w:val="000000" w:themeColor="text1"/>
        </w:rPr>
        <w:t xml:space="preserve">, poprzez dostosowanie nazewnictwa z dyrektywy do obowiązujących w Polsce aktów prawnych dla sektora elektroenergetycznego. W projekcie została dodana także definicja ograniczeń sieciowych </w:t>
      </w:r>
      <w:r w:rsidR="00BB68DF" w:rsidRPr="00613198">
        <w:rPr>
          <w:color w:val="000000" w:themeColor="text1"/>
        </w:rPr>
        <w:t xml:space="preserve">(pkt 23d) </w:t>
      </w:r>
      <w:r w:rsidRPr="00613198">
        <w:rPr>
          <w:color w:val="000000" w:themeColor="text1"/>
        </w:rPr>
        <w:t>oraz zmianie uległa definicja zarządzania ograniczeniami systemowymi</w:t>
      </w:r>
      <w:r w:rsidR="00BB68DF" w:rsidRPr="00613198">
        <w:rPr>
          <w:color w:val="000000" w:themeColor="text1"/>
        </w:rPr>
        <w:t xml:space="preserve"> (pkt 23b)</w:t>
      </w:r>
      <w:r w:rsidRPr="00613198">
        <w:rPr>
          <w:color w:val="000000" w:themeColor="text1"/>
        </w:rPr>
        <w:t xml:space="preserve">.  </w:t>
      </w:r>
    </w:p>
    <w:p w14:paraId="1B107953" w14:textId="2F8FE5DF" w:rsidR="0090456C" w:rsidRPr="00613198" w:rsidRDefault="0090456C" w:rsidP="00A05F28">
      <w:pPr>
        <w:pStyle w:val="USTustnpkodeksu"/>
        <w:rPr>
          <w:b/>
          <w:color w:val="000000" w:themeColor="text1"/>
        </w:rPr>
      </w:pPr>
      <w:r w:rsidRPr="00613198">
        <w:rPr>
          <w:b/>
          <w:color w:val="000000" w:themeColor="text1"/>
        </w:rPr>
        <w:t xml:space="preserve">b) dodanie do art. 9c ust. 3 pkt 5a </w:t>
      </w:r>
    </w:p>
    <w:p w14:paraId="497A7524" w14:textId="20411843" w:rsidR="0090456C" w:rsidRPr="00613198" w:rsidRDefault="008B4FE0" w:rsidP="00A05F28">
      <w:pPr>
        <w:pStyle w:val="USTustnpkodeksu"/>
        <w:rPr>
          <w:color w:val="000000" w:themeColor="text1"/>
        </w:rPr>
      </w:pPr>
      <w:r w:rsidRPr="00613198">
        <w:rPr>
          <w:color w:val="000000" w:themeColor="text1"/>
        </w:rPr>
        <w:t>D</w:t>
      </w:r>
      <w:r w:rsidR="0090456C" w:rsidRPr="00613198">
        <w:rPr>
          <w:color w:val="000000" w:themeColor="text1"/>
        </w:rPr>
        <w:t xml:space="preserve">o zadań operatora systemu dystrybucyjnego elektroenergetycznego dodaje się </w:t>
      </w:r>
      <w:r w:rsidR="0090456C" w:rsidRPr="00613198">
        <w:t>zakup usług systemowych niedotyczących częstotliwości niezbędnych do prawidłowego funkcjonowania systemu dystrybucyjnego, niezawodności pracy tego systemu i utrzymania parametrów jakościowych energii elektrycznej czym wypełnia się art. 31 ust. 7 i 8 dyrektywy 2019/944</w:t>
      </w:r>
      <w:r w:rsidRPr="00613198">
        <w:t>.</w:t>
      </w:r>
    </w:p>
    <w:p w14:paraId="15FD1ADB" w14:textId="37D12AF2" w:rsidR="00A05F28" w:rsidRPr="00613198" w:rsidRDefault="0090456C" w:rsidP="00A05F28">
      <w:pPr>
        <w:pStyle w:val="USTustnpkodeksu"/>
        <w:rPr>
          <w:b/>
        </w:rPr>
      </w:pPr>
      <w:r w:rsidRPr="00613198">
        <w:rPr>
          <w:b/>
        </w:rPr>
        <w:t>c</w:t>
      </w:r>
      <w:r w:rsidR="00BB68DF" w:rsidRPr="00613198">
        <w:rPr>
          <w:b/>
        </w:rPr>
        <w:t xml:space="preserve">) dodanie do art. 9g ust. 4a i 4b oraz ust. </w:t>
      </w:r>
      <w:r w:rsidR="00850D87" w:rsidRPr="00613198">
        <w:rPr>
          <w:b/>
        </w:rPr>
        <w:t>5</w:t>
      </w:r>
      <w:r w:rsidR="00F91FAC">
        <w:rPr>
          <w:b/>
        </w:rPr>
        <w:t>e</w:t>
      </w:r>
      <w:r w:rsidR="00850D87" w:rsidRPr="00613198">
        <w:rPr>
          <w:b/>
        </w:rPr>
        <w:t>-5</w:t>
      </w:r>
      <w:r w:rsidR="00F91FAC">
        <w:rPr>
          <w:b/>
        </w:rPr>
        <w:t>f</w:t>
      </w:r>
      <w:r w:rsidR="00BB68DF" w:rsidRPr="00613198">
        <w:rPr>
          <w:b/>
        </w:rPr>
        <w:t xml:space="preserve">. </w:t>
      </w:r>
    </w:p>
    <w:p w14:paraId="7803FCB5" w14:textId="25FFA170" w:rsidR="00C8374B" w:rsidRPr="00613198" w:rsidRDefault="00BB68DF" w:rsidP="00A05F28">
      <w:pPr>
        <w:pStyle w:val="USTustnpkodeksu"/>
      </w:pPr>
      <w:r w:rsidRPr="00613198">
        <w:t xml:space="preserve">Zgodnie z zaproponowanymi przepisami </w:t>
      </w:r>
      <w:r w:rsidR="00850D87" w:rsidRPr="00613198">
        <w:t xml:space="preserve">katalog usług systemowych niedotyczących częstotliwości zostanie ustalony przez ministra właściwego do spraw energii w drodze </w:t>
      </w:r>
      <w:r w:rsidR="00850D87" w:rsidRPr="00613198">
        <w:lastRenderedPageBreak/>
        <w:t>rozporządzenia, bowiem będzie odnosił się on do operatorów systemów elektroenergetycznych – zarówno dystrybucyjnego jak i przesyłowego</w:t>
      </w:r>
      <w:r w:rsidR="0093239B" w:rsidRPr="00613198">
        <w:t xml:space="preserve"> (dodawany do art. 9 ust. 4 pkt 8a)</w:t>
      </w:r>
      <w:r w:rsidR="00850D87" w:rsidRPr="00613198">
        <w:t xml:space="preserve">. </w:t>
      </w:r>
      <w:r w:rsidR="00C8374B" w:rsidRPr="00613198">
        <w:t>Ze względu na różne usługi, które mogą być zamawiane przez operatorów, proponuje się aby ich precyzyjny katalog b</w:t>
      </w:r>
      <w:r w:rsidR="0093239B" w:rsidRPr="00613198">
        <w:t>ył przez operatorów określany w</w:t>
      </w:r>
      <w:r w:rsidR="00850D87" w:rsidRPr="00613198">
        <w:t xml:space="preserve"> </w:t>
      </w:r>
      <w:r w:rsidR="00C8374B" w:rsidRPr="00613198">
        <w:t>I</w:t>
      </w:r>
      <w:r w:rsidR="00C8374B" w:rsidRPr="00613198">
        <w:rPr>
          <w:rStyle w:val="st"/>
        </w:rPr>
        <w:t>nstrukcjach Ruchu i Eksploatacji Sieci, odpowiednio Przesyłowej (</w:t>
      </w:r>
      <w:proofErr w:type="spellStart"/>
      <w:r w:rsidR="00C8374B" w:rsidRPr="00613198">
        <w:t>IRiESP</w:t>
      </w:r>
      <w:proofErr w:type="spellEnd"/>
      <w:r w:rsidR="00C8374B" w:rsidRPr="00613198">
        <w:t>) i Dystrybucyjnej (</w:t>
      </w:r>
      <w:proofErr w:type="spellStart"/>
      <w:r w:rsidR="00C8374B" w:rsidRPr="00613198">
        <w:t>IRiESD</w:t>
      </w:r>
      <w:proofErr w:type="spellEnd"/>
      <w:r w:rsidR="00C8374B" w:rsidRPr="00613198">
        <w:t>).</w:t>
      </w:r>
    </w:p>
    <w:p w14:paraId="29FBEE58" w14:textId="620D0F37" w:rsidR="00A05F28" w:rsidRPr="00613198" w:rsidRDefault="000604DE" w:rsidP="00A05F28">
      <w:pPr>
        <w:pStyle w:val="USTustnpkodeksu"/>
      </w:pPr>
      <w:r w:rsidRPr="00613198">
        <w:t xml:space="preserve">W </w:t>
      </w:r>
      <w:proofErr w:type="spellStart"/>
      <w:r w:rsidRPr="00613198">
        <w:t>IRiESPie</w:t>
      </w:r>
      <w:proofErr w:type="spellEnd"/>
      <w:r w:rsidRPr="00613198">
        <w:t xml:space="preserve"> </w:t>
      </w:r>
      <w:r w:rsidR="00C8374B" w:rsidRPr="00613198">
        <w:t xml:space="preserve">i </w:t>
      </w:r>
      <w:proofErr w:type="spellStart"/>
      <w:r w:rsidR="00C8374B" w:rsidRPr="00613198">
        <w:t>IRIESDie</w:t>
      </w:r>
      <w:proofErr w:type="spellEnd"/>
      <w:r w:rsidR="00C8374B" w:rsidRPr="00613198">
        <w:t xml:space="preserve"> </w:t>
      </w:r>
      <w:r w:rsidRPr="00613198">
        <w:t xml:space="preserve">określone zostaną </w:t>
      </w:r>
      <w:r w:rsidR="00A05F28" w:rsidRPr="00613198">
        <w:t xml:space="preserve">także wymogi techniczne świadczenia </w:t>
      </w:r>
      <w:r w:rsidRPr="00613198">
        <w:t xml:space="preserve">tych usług oraz </w:t>
      </w:r>
      <w:r w:rsidR="00A05F28" w:rsidRPr="00613198">
        <w:t>zasady i procedur</w:t>
      </w:r>
      <w:r w:rsidRPr="00613198">
        <w:t>a</w:t>
      </w:r>
      <w:r w:rsidR="00A05F28" w:rsidRPr="00613198">
        <w:t xml:space="preserve"> ich zakupu.</w:t>
      </w:r>
      <w:r w:rsidRPr="00613198">
        <w:t xml:space="preserve"> </w:t>
      </w:r>
      <w:r w:rsidR="00A05F28" w:rsidRPr="00613198">
        <w:t xml:space="preserve">Prezes URE </w:t>
      </w:r>
      <w:r w:rsidRPr="00613198">
        <w:t xml:space="preserve">dokona ich oceny i </w:t>
      </w:r>
      <w:r w:rsidR="00A05F28" w:rsidRPr="00613198">
        <w:t>zatwierdz</w:t>
      </w:r>
      <w:r w:rsidRPr="00613198">
        <w:t>enia</w:t>
      </w:r>
      <w:r w:rsidR="00A05F28" w:rsidRPr="00613198">
        <w:t xml:space="preserve"> w decyzji zatwierdzającej </w:t>
      </w:r>
      <w:proofErr w:type="spellStart"/>
      <w:r w:rsidR="00A05F28" w:rsidRPr="00613198">
        <w:t>IRiESP</w:t>
      </w:r>
      <w:proofErr w:type="spellEnd"/>
      <w:r w:rsidR="00C8374B" w:rsidRPr="00613198">
        <w:t xml:space="preserve"> i </w:t>
      </w:r>
      <w:proofErr w:type="spellStart"/>
      <w:r w:rsidR="00C8374B" w:rsidRPr="00613198">
        <w:t>IRiESD</w:t>
      </w:r>
      <w:proofErr w:type="spellEnd"/>
      <w:r w:rsidR="00A05F28" w:rsidRPr="00613198">
        <w:t xml:space="preserve">. Zasady i procedury </w:t>
      </w:r>
      <w:r w:rsidRPr="00613198">
        <w:t xml:space="preserve">określone przez </w:t>
      </w:r>
      <w:r w:rsidR="00C8374B" w:rsidRPr="00613198">
        <w:t xml:space="preserve">operatorów </w:t>
      </w:r>
      <w:r w:rsidR="00A05F28" w:rsidRPr="00613198">
        <w:t xml:space="preserve">mają być przejrzyste, niedyskryminacyjne i domyślnie również oparte na procesach rynkowych. Prezes URE może udzielić odstępstwa od tego wymogu, jeśli świadczenie </w:t>
      </w:r>
      <w:r w:rsidR="002F17F4" w:rsidRPr="00613198">
        <w:t>tych</w:t>
      </w:r>
      <w:r w:rsidRPr="00613198">
        <w:t xml:space="preserve"> usług </w:t>
      </w:r>
      <w:r w:rsidR="00A05F28" w:rsidRPr="00613198">
        <w:t>na zasadach rynkowych nie byłoby efektywne ekonomicznie.</w:t>
      </w:r>
    </w:p>
    <w:p w14:paraId="40F374F2" w14:textId="27089167" w:rsidR="00312399" w:rsidRPr="00613198" w:rsidRDefault="00A05F28" w:rsidP="00324491">
      <w:pPr>
        <w:pStyle w:val="USTustnpkodeksu"/>
      </w:pPr>
      <w:r w:rsidRPr="00613198">
        <w:t xml:space="preserve">W zakresie usług świadczonych przez dostawców przyłączonych do sieci 110 </w:t>
      </w:r>
      <w:proofErr w:type="spellStart"/>
      <w:r w:rsidRPr="00613198">
        <w:t>kV</w:t>
      </w:r>
      <w:proofErr w:type="spellEnd"/>
      <w:r w:rsidRPr="00613198">
        <w:t xml:space="preserve"> </w:t>
      </w:r>
      <w:r w:rsidR="000604DE" w:rsidRPr="00613198">
        <w:t xml:space="preserve">proponuje się zastosowanie </w:t>
      </w:r>
      <w:r w:rsidRPr="00613198">
        <w:t>analogiczn</w:t>
      </w:r>
      <w:r w:rsidR="000604DE" w:rsidRPr="00613198">
        <w:t>ych zasad</w:t>
      </w:r>
      <w:r w:rsidRPr="00613198">
        <w:t xml:space="preserve"> jak do zarządzania ograniczeniami oraz dysponowania jednostkami wytwórczymi w tej sieci, tzn. działania OSD podlegają koordynowaniu przez OSP. Natomiast dostęp do zasobów i dostawców usług przyłączonych do sieci koordynowanej 110 </w:t>
      </w:r>
      <w:proofErr w:type="spellStart"/>
      <w:r w:rsidRPr="00613198">
        <w:t>kV</w:t>
      </w:r>
      <w:proofErr w:type="spellEnd"/>
      <w:r w:rsidRPr="00613198">
        <w:t xml:space="preserve"> i kontrakty z dostawcami tych usług mógłby zawierać jeden lub drugi operator zależnie od potrzeb.</w:t>
      </w:r>
    </w:p>
    <w:p w14:paraId="56DA2C9F" w14:textId="77777777" w:rsidR="00324491" w:rsidRPr="00613198" w:rsidRDefault="00F77421" w:rsidP="00324491">
      <w:pPr>
        <w:pStyle w:val="USTustnpkodeksu"/>
        <w:rPr>
          <w:b/>
          <w:color w:val="000000" w:themeColor="text1"/>
        </w:rPr>
      </w:pPr>
      <w:r w:rsidRPr="00613198">
        <w:rPr>
          <w:b/>
          <w:color w:val="000000" w:themeColor="text1"/>
        </w:rPr>
        <w:t>Elastyczność systemu</w:t>
      </w:r>
    </w:p>
    <w:p w14:paraId="0AEEBF42" w14:textId="77777777" w:rsidR="00324491" w:rsidRPr="00613198" w:rsidRDefault="00324491" w:rsidP="00324491">
      <w:pPr>
        <w:pStyle w:val="USTustnpkodeksu"/>
        <w:rPr>
          <w:color w:val="000000" w:themeColor="text1"/>
        </w:rPr>
      </w:pPr>
      <w:r w:rsidRPr="00613198">
        <w:rPr>
          <w:color w:val="000000" w:themeColor="text1"/>
        </w:rPr>
        <w:t xml:space="preserve">Ewolucja systemu elektroenergetycznego w kierunku decentralizacji wytwarzania oraz aktywizacji rynkowej użytkowników systemu powoduje, że OSD działając jako moderator rozwoju detalicznego rynku energii elektrycznej powinien wykorzystywać ten nowy potencjał energetyczny. Interakcja ta przyjmie formę usługi świadczonej przez użytkowników na rzecz OSD </w:t>
      </w:r>
      <w:r w:rsidR="009B2F6B" w:rsidRPr="00613198">
        <w:rPr>
          <w:color w:val="000000" w:themeColor="text1"/>
        </w:rPr>
        <w:t xml:space="preserve">- </w:t>
      </w:r>
      <w:r w:rsidRPr="00613198">
        <w:rPr>
          <w:color w:val="000000" w:themeColor="text1"/>
        </w:rPr>
        <w:t>usługi elastyczności.</w:t>
      </w:r>
    </w:p>
    <w:p w14:paraId="042C053F" w14:textId="77777777" w:rsidR="00324491" w:rsidRPr="00613198" w:rsidRDefault="00324491" w:rsidP="00324491">
      <w:pPr>
        <w:pStyle w:val="USTustnpkodeksu"/>
        <w:rPr>
          <w:color w:val="000000" w:themeColor="text1"/>
        </w:rPr>
      </w:pPr>
      <w:r w:rsidRPr="00613198">
        <w:rPr>
          <w:color w:val="000000" w:themeColor="text1"/>
        </w:rPr>
        <w:t xml:space="preserve">Elastyczność systemu dystrybucyjnego to zdolność systemu elektroenergetycznego do reagowania na zmiany zachodzące w systemie, zarówno na płaszczyźnie technicznej jak i zachowań użytkowników tego systemu, przy </w:t>
      </w:r>
      <w:r w:rsidR="001A2772" w:rsidRPr="00613198">
        <w:rPr>
          <w:color w:val="000000" w:themeColor="text1"/>
        </w:rPr>
        <w:t>utrzymaniu</w:t>
      </w:r>
      <w:r w:rsidRPr="00613198">
        <w:rPr>
          <w:color w:val="000000" w:themeColor="text1"/>
        </w:rPr>
        <w:t xml:space="preserve"> stabilnej pracy sieci i dotrzymaniu parametrów jakości oraz niezawodności dostaw. Usługa ta wykorzystywana będzie przez OSD do zarządzania ograniczeniami w sieci i zarzadzania jej rozwojem (stworzenie alternatywy do jej rozbudowy lub odsunięcia jej w czasie). </w:t>
      </w:r>
    </w:p>
    <w:p w14:paraId="27D1F331" w14:textId="43479DC6" w:rsidR="00324491" w:rsidRPr="00613198" w:rsidRDefault="00324491" w:rsidP="00324491">
      <w:pPr>
        <w:pStyle w:val="USTustnpkodeksu"/>
      </w:pPr>
      <w:r w:rsidRPr="00613198">
        <w:rPr>
          <w:color w:val="000000" w:themeColor="text1"/>
        </w:rPr>
        <w:t xml:space="preserve">Zgodnie z motywem 39 dyrektywy 2019/944  </w:t>
      </w:r>
      <w:r w:rsidRPr="00613198">
        <w:t xml:space="preserve">wszystkie grupy odbiorców (przemysłowi, komercyjni i gospodarstwa domowe) powinny mieć dostęp do rynków energii elektrycznej, by oferować na nich swoją elastyczność i energię wytwarzaną we własnym zakresie. Odbiorcom należy umożliwić korzystanie w pełni z korzyści płynących z agregacji produkcji i dostaw na większych obszarach oraz z konkurencji transgranicznej. Motyw 42 </w:t>
      </w:r>
      <w:r w:rsidR="009B2F6B" w:rsidRPr="00613198">
        <w:t xml:space="preserve">dyrektywy 2019/944 </w:t>
      </w:r>
      <w:r w:rsidRPr="00613198">
        <w:lastRenderedPageBreak/>
        <w:t xml:space="preserve">stanowi, że konsumenci powinni móc zużywać, magazynować oraz sprzedawać na rynku energię elektryczną wytwarzaną we własnym zakresie oraz uczestniczyć we wszystkich rynkach energii elektrycznej przez zapewnianie elastyczności systemu, na przykład przez magazynowanie energii, takie jak magazynowanie przy użyciu pojazdów elektrycznych, poprzez odpowiedź odbioru lub poprzez systemy efektywności energetycznej. Zgodnie z motywem 61, </w:t>
      </w:r>
      <w:bookmarkStart w:id="8" w:name="_Hlk86238973"/>
      <w:r w:rsidRPr="00613198">
        <w:t xml:space="preserve">OSD muszą w sposób opłacalny zintegrować w systemie nowe zdolności wytwarzania energii elektrycznej, zwłaszcza instalacje wytwarzające energię elektryczną ze źródeł odnawialnych, oraz nowe obciążenia, takie jak obciążenia, które wynikają z pomp ciepła i pojazdów elektrycznych i w tym celu należy im umożliwić korzystanie z usług rozproszonych zasobów energetycznych, </w:t>
      </w:r>
      <w:bookmarkEnd w:id="8"/>
      <w:r w:rsidRPr="00613198">
        <w:t xml:space="preserve">takich jak odpowiedź odbioru i magazynowanie energii oraz zachęcać ich do korzystania z takich usług, w oparciu o procedury rynkowe, w celu wydajnego eksploatowania sieci i unikania jej kosztownej rozbudowy. Dyrektywa </w:t>
      </w:r>
      <w:r w:rsidR="00CC2864">
        <w:t xml:space="preserve">2019/944 </w:t>
      </w:r>
      <w:r w:rsidRPr="00613198">
        <w:t>zobowiązuje państwa członkowskie do wprowadzenia odpowiednich środków, takich jak krajowe kodeksy sieci i zasady funkcjonowania rynku, oraz do stworzenia zachęt dla OSD dzięki taryfom sieciowym, które nie utrudniałyby elastyczności ani zwiększania efektywności energetycznej w sieci. Również plany rozwoju sieci systemów dystrybucyjnych powinny uwzględniać elastyczność systemu elek</w:t>
      </w:r>
      <w:r w:rsidR="009B2F6B" w:rsidRPr="00613198">
        <w:t>t</w:t>
      </w:r>
      <w:r w:rsidRPr="00613198">
        <w:t>roenergetycznego.</w:t>
      </w:r>
    </w:p>
    <w:p w14:paraId="3C6B6635" w14:textId="77777777" w:rsidR="009B2F6B" w:rsidRPr="00613198" w:rsidRDefault="009B2F6B" w:rsidP="009B2F6B">
      <w:pPr>
        <w:pStyle w:val="USTustnpkodeksu"/>
      </w:pPr>
      <w:r w:rsidRPr="00613198">
        <w:t xml:space="preserve">Prace dotyczące elastyczności systemów energetycznych prowadzone są także na szczeblu unijnym. W Europie aktualnie prowadzonych jest wiele projektów pilotażowych, które pokazują, że w omawianej tematyce branża energetyczna wciąż jest na etapie początkowym, co pokazują </w:t>
      </w:r>
      <w:r w:rsidR="00674AFE" w:rsidRPr="00613198">
        <w:t xml:space="preserve">np. </w:t>
      </w:r>
      <w:r w:rsidRPr="00613198">
        <w:t>symulacje Komisji Europejskiej (projekty H2020) i poszczególnych państw członkowskich.</w:t>
      </w:r>
    </w:p>
    <w:p w14:paraId="7F3CDD10" w14:textId="7C4C9642" w:rsidR="00324491" w:rsidRPr="00613198" w:rsidRDefault="009B2F6B" w:rsidP="00EE35C2">
      <w:pPr>
        <w:pStyle w:val="USTustnpkodeksu"/>
      </w:pPr>
      <w:r w:rsidRPr="00613198">
        <w:t>Świadczenie usług elastyczności przez użytkowników sieci podłączonych do sieci dystrybucyjnej jest podstawowym aspektem wielu projektów badawczo-rozwojowych i przedmiotem ostatnich zmian uregulowań prawnych w niektórych państwach członkowskich UE.</w:t>
      </w:r>
    </w:p>
    <w:p w14:paraId="5CF99889" w14:textId="212D4C9A" w:rsidR="00F77421" w:rsidRPr="00613198" w:rsidRDefault="00F77421" w:rsidP="00EE35C2">
      <w:pPr>
        <w:pStyle w:val="USTustnpkodeksu"/>
        <w:rPr>
          <w:b/>
          <w:color w:val="000000" w:themeColor="text1"/>
        </w:rPr>
      </w:pPr>
      <w:r w:rsidRPr="00613198">
        <w:rPr>
          <w:b/>
          <w:color w:val="000000" w:themeColor="text1"/>
        </w:rPr>
        <w:t xml:space="preserve">a) zmiany w art. 3 ustawy – </w:t>
      </w:r>
      <w:r w:rsidR="00BF79A7" w:rsidRPr="00613198">
        <w:rPr>
          <w:b/>
          <w:color w:val="000000" w:themeColor="text1"/>
        </w:rPr>
        <w:t>Prawo energetyczne</w:t>
      </w:r>
    </w:p>
    <w:p w14:paraId="6E5DA4FF" w14:textId="61E075B4" w:rsidR="00CC0A1E" w:rsidRPr="00613198" w:rsidRDefault="00F77421" w:rsidP="00EE35C2">
      <w:pPr>
        <w:pStyle w:val="USTustnpkodeksu"/>
        <w:rPr>
          <w:color w:val="000000" w:themeColor="text1"/>
        </w:rPr>
      </w:pPr>
      <w:r w:rsidRPr="00613198">
        <w:rPr>
          <w:color w:val="000000" w:themeColor="text1"/>
        </w:rPr>
        <w:t>W art. 3 w pkt 11k proponuje się dodanie definicji usługi elastyczności. Pomimo faktu, że termin ten występuje w dyrektywie 2019/944 wielokrotnie, ustawodawca unijny nie zdecydował się na zdefiniowanie wprost tego pojęcia. W celu zachowania transparentności proponowanych przepisów, dotyczących usług elastyczności oraz w celu ukształtowania jednolitego podejścia do zagadnienia, proponuje się wprowadzenie definicji dla usługi elastyczności. Kształt zaproponowanej definicji wynika z art. 32 pkt 1 dyrektywy 2019/944.</w:t>
      </w:r>
    </w:p>
    <w:p w14:paraId="198FB3B0" w14:textId="7B105859" w:rsidR="000E24B3" w:rsidRPr="00613198" w:rsidRDefault="000E24B3" w:rsidP="00EE35C2">
      <w:pPr>
        <w:pStyle w:val="USTustnpkodeksu"/>
        <w:rPr>
          <w:color w:val="000000" w:themeColor="text1"/>
        </w:rPr>
      </w:pPr>
      <w:r w:rsidRPr="00613198">
        <w:rPr>
          <w:b/>
          <w:color w:val="000000" w:themeColor="text1"/>
        </w:rPr>
        <w:lastRenderedPageBreak/>
        <w:t>b) zmiany w art. 9 ust. 4</w:t>
      </w:r>
      <w:r w:rsidRPr="00613198">
        <w:rPr>
          <w:color w:val="000000" w:themeColor="text1"/>
        </w:rPr>
        <w:t xml:space="preserve"> </w:t>
      </w:r>
      <w:r w:rsidRPr="00613198">
        <w:rPr>
          <w:b/>
          <w:color w:val="000000" w:themeColor="text1"/>
        </w:rPr>
        <w:t xml:space="preserve">ustawy – </w:t>
      </w:r>
      <w:r w:rsidR="00BF79A7" w:rsidRPr="00613198">
        <w:rPr>
          <w:b/>
          <w:color w:val="000000" w:themeColor="text1"/>
        </w:rPr>
        <w:t>Prawo energetyczne</w:t>
      </w:r>
      <w:r w:rsidR="00A73EEE" w:rsidRPr="00613198">
        <w:rPr>
          <w:b/>
          <w:color w:val="000000" w:themeColor="text1"/>
        </w:rPr>
        <w:t xml:space="preserve"> – zmiany do rozporządzenia w sprawie szczegółowych warunków funkcjonowania systemu elektroenergetycznego</w:t>
      </w:r>
    </w:p>
    <w:p w14:paraId="38ED33E4" w14:textId="77777777" w:rsidR="00A73EEE" w:rsidRPr="00613198" w:rsidRDefault="00A73EEE" w:rsidP="00EE35C2">
      <w:pPr>
        <w:pStyle w:val="USTustnpkodeksu"/>
      </w:pPr>
      <w:r w:rsidRPr="00613198">
        <w:t>- dodanie pkt 6a</w:t>
      </w:r>
    </w:p>
    <w:p w14:paraId="7EEC7A35" w14:textId="33FBFE43" w:rsidR="00A73EEE" w:rsidRPr="00613198" w:rsidRDefault="008B4FE0" w:rsidP="00EE35C2">
      <w:pPr>
        <w:pStyle w:val="USTustnpkodeksu"/>
      </w:pPr>
      <w:r w:rsidRPr="00613198">
        <w:t>Z</w:t>
      </w:r>
      <w:r w:rsidR="00A73EEE" w:rsidRPr="00613198">
        <w:t>e względu na przewidywany wpływ wykorzystania usług elastyczności na funkcjonowanie systemu elektroenergetycznego niezbędne wydaje się określenie w drodze rozporządzenia szczegółowych warunków wykorzystania usług elastyczności przez operatora systemu dystrybucyjnego elektroenergetycznego.</w:t>
      </w:r>
    </w:p>
    <w:p w14:paraId="51192EED" w14:textId="77777777" w:rsidR="00A73EEE" w:rsidRPr="00613198" w:rsidRDefault="00A73EEE" w:rsidP="00EE35C2">
      <w:pPr>
        <w:pStyle w:val="USTustnpkodeksu"/>
      </w:pPr>
      <w:r w:rsidRPr="00613198">
        <w:t xml:space="preserve">- nowe brzmienie pkt 8 </w:t>
      </w:r>
    </w:p>
    <w:p w14:paraId="4E2A14AF" w14:textId="655613C6" w:rsidR="00A73EEE" w:rsidRPr="00613198" w:rsidRDefault="008B4FE0" w:rsidP="00EE35C2">
      <w:pPr>
        <w:pStyle w:val="USTustnpkodeksu"/>
      </w:pPr>
      <w:r w:rsidRPr="00613198">
        <w:t>I</w:t>
      </w:r>
      <w:r w:rsidR="00A73EEE" w:rsidRPr="00613198">
        <w:t>mplementacja do polskiego prawa możliwości wykorzystania przez OSD usług elastyczności wiąże się z koniecznością opracowania warunków technicznej współpracy pomiędzy wszystkimi operatorami systemów elektroenergetycznych tak, aby wykorzystanie usług przez jednego z operatorów nie zakłóciło stabilności pracy systemu na terenie innego operatora bądź całego systemu elektroenergetycznego.</w:t>
      </w:r>
    </w:p>
    <w:p w14:paraId="3F686E91" w14:textId="32417F0D" w:rsidR="00750451" w:rsidRPr="00613198" w:rsidRDefault="005A6DB7" w:rsidP="00750451">
      <w:pPr>
        <w:pStyle w:val="USTustnpkodeksu"/>
        <w:rPr>
          <w:b/>
          <w:color w:val="000000" w:themeColor="text1"/>
        </w:rPr>
      </w:pPr>
      <w:r w:rsidRPr="00613198">
        <w:rPr>
          <w:b/>
        </w:rPr>
        <w:t>c) zmiany w art. 9c ust. 3</w:t>
      </w:r>
      <w:r w:rsidRPr="00613198">
        <w:t xml:space="preserve"> </w:t>
      </w:r>
      <w:r w:rsidRPr="00613198">
        <w:rPr>
          <w:b/>
          <w:color w:val="000000" w:themeColor="text1"/>
        </w:rPr>
        <w:t xml:space="preserve">ustawy – </w:t>
      </w:r>
      <w:r w:rsidR="00BF79A7" w:rsidRPr="00613198">
        <w:rPr>
          <w:b/>
          <w:color w:val="000000" w:themeColor="text1"/>
        </w:rPr>
        <w:t>Prawo energetyczne</w:t>
      </w:r>
    </w:p>
    <w:p w14:paraId="24668738" w14:textId="339851DF" w:rsidR="00750451" w:rsidRPr="00613198" w:rsidRDefault="008B4FE0" w:rsidP="00EE35C2">
      <w:pPr>
        <w:pStyle w:val="USTustnpkodeksu"/>
        <w:rPr>
          <w:rFonts w:ascii="Times New Roman" w:hAnsi="Times New Roman" w:cs="Times New Roman"/>
          <w:szCs w:val="24"/>
        </w:rPr>
      </w:pPr>
      <w:r w:rsidRPr="00613198">
        <w:rPr>
          <w:rFonts w:ascii="Times New Roman" w:hAnsi="Times New Roman" w:cs="Times New Roman"/>
          <w:szCs w:val="24"/>
        </w:rPr>
        <w:t>D</w:t>
      </w:r>
      <w:r w:rsidR="00750451" w:rsidRPr="00613198">
        <w:rPr>
          <w:rFonts w:ascii="Times New Roman" w:hAnsi="Times New Roman" w:cs="Times New Roman"/>
          <w:szCs w:val="24"/>
        </w:rPr>
        <w:t xml:space="preserve">odawany do art. 9c ust. 3 ustawy - </w:t>
      </w:r>
      <w:r w:rsidRPr="00613198">
        <w:rPr>
          <w:rFonts w:ascii="Times New Roman" w:hAnsi="Times New Roman" w:cs="Times New Roman"/>
          <w:szCs w:val="24"/>
        </w:rPr>
        <w:t>P</w:t>
      </w:r>
      <w:r w:rsidR="00750451" w:rsidRPr="00613198">
        <w:rPr>
          <w:rFonts w:ascii="Times New Roman" w:hAnsi="Times New Roman" w:cs="Times New Roman"/>
          <w:szCs w:val="24"/>
        </w:rPr>
        <w:t>rawo energetyczne pkt 8a i 8b uzupełnia zadania operatora systemu dystrybucyjnego elektroenergetycznego w zakresie elastyczności i stanowi implementację art. 32 ust. 2 dyrektywy 2019/944.</w:t>
      </w:r>
    </w:p>
    <w:p w14:paraId="0C5E4152" w14:textId="59C23559" w:rsidR="008A03E1" w:rsidRPr="00613198" w:rsidRDefault="008A03E1" w:rsidP="00EE35C2">
      <w:pPr>
        <w:pStyle w:val="USTustnpkodeksu"/>
        <w:rPr>
          <w:b/>
          <w:color w:val="000000" w:themeColor="text1"/>
        </w:rPr>
      </w:pPr>
      <w:r w:rsidRPr="00613198">
        <w:rPr>
          <w:rFonts w:ascii="Times New Roman" w:hAnsi="Times New Roman" w:cs="Times New Roman"/>
          <w:b/>
          <w:szCs w:val="24"/>
        </w:rPr>
        <w:t>d)</w:t>
      </w:r>
      <w:r w:rsidRPr="00613198">
        <w:rPr>
          <w:rFonts w:ascii="Times New Roman" w:hAnsi="Times New Roman" w:cs="Times New Roman"/>
          <w:szCs w:val="24"/>
        </w:rPr>
        <w:t xml:space="preserve"> </w:t>
      </w:r>
      <w:r w:rsidRPr="00613198">
        <w:rPr>
          <w:b/>
        </w:rPr>
        <w:t xml:space="preserve">zmiany w art. 9g ust. 4  - </w:t>
      </w:r>
      <w:r w:rsidRPr="00613198">
        <w:rPr>
          <w:b/>
          <w:color w:val="000000" w:themeColor="text1"/>
        </w:rPr>
        <w:t xml:space="preserve">ustawy – </w:t>
      </w:r>
      <w:r w:rsidR="00BF79A7" w:rsidRPr="00613198">
        <w:rPr>
          <w:b/>
          <w:color w:val="000000" w:themeColor="text1"/>
        </w:rPr>
        <w:t>Prawo energetyczne</w:t>
      </w:r>
      <w:r w:rsidRPr="00613198">
        <w:rPr>
          <w:b/>
          <w:color w:val="000000" w:themeColor="text1"/>
        </w:rPr>
        <w:t xml:space="preserve"> - </w:t>
      </w:r>
      <w:r w:rsidRPr="00613198">
        <w:rPr>
          <w:b/>
        </w:rPr>
        <w:t>dodanie pkt 2</w:t>
      </w:r>
      <w:r w:rsidR="00101AF8">
        <w:rPr>
          <w:b/>
        </w:rPr>
        <w:t>c</w:t>
      </w:r>
      <w:r w:rsidRPr="00613198">
        <w:rPr>
          <w:b/>
        </w:rPr>
        <w:t xml:space="preserve"> i 2</w:t>
      </w:r>
      <w:r w:rsidR="00101AF8">
        <w:rPr>
          <w:b/>
        </w:rPr>
        <w:t>d</w:t>
      </w:r>
    </w:p>
    <w:p w14:paraId="16FC8F54" w14:textId="3EEEA491" w:rsidR="008A03E1" w:rsidRPr="00613198" w:rsidRDefault="008B4FE0" w:rsidP="00EE35C2">
      <w:pPr>
        <w:pStyle w:val="USTustnpkodeksu"/>
        <w:rPr>
          <w:rFonts w:ascii="Times New Roman" w:hAnsi="Times New Roman" w:cs="Times New Roman"/>
          <w:szCs w:val="24"/>
        </w:rPr>
      </w:pPr>
      <w:r w:rsidRPr="00613198">
        <w:rPr>
          <w:rFonts w:ascii="Times New Roman" w:hAnsi="Times New Roman" w:cs="Times New Roman"/>
          <w:szCs w:val="24"/>
        </w:rPr>
        <w:t>N</w:t>
      </w:r>
      <w:r w:rsidR="008A03E1" w:rsidRPr="00613198">
        <w:rPr>
          <w:rFonts w:ascii="Times New Roman" w:hAnsi="Times New Roman" w:cs="Times New Roman"/>
          <w:szCs w:val="24"/>
        </w:rPr>
        <w:t>iezależnie od konieczności opracowania specyfikacji na usługi elastyczności, należy zadbać o standardy techniczne gwarantujące realizację takich usług w sposób bezpieczny dla stabilności systemu elektroenergetycznego, a także zmniejszenie ryzyka niewykonania usługi pomimo jej zgłoszenia, co w konsekwencji również może prowadzić do zakłóceń stabilności pracy systemu.</w:t>
      </w:r>
    </w:p>
    <w:p w14:paraId="1627A167" w14:textId="7044C354" w:rsidR="00346C33" w:rsidRPr="00613198" w:rsidRDefault="00C340CD" w:rsidP="00EE35C2">
      <w:pPr>
        <w:pStyle w:val="USTustnpkodeksu"/>
        <w:rPr>
          <w:color w:val="000000" w:themeColor="text1"/>
        </w:rPr>
      </w:pPr>
      <w:r>
        <w:rPr>
          <w:rFonts w:ascii="Times New Roman" w:hAnsi="Times New Roman" w:cs="Times New Roman"/>
          <w:b/>
          <w:szCs w:val="24"/>
        </w:rPr>
        <w:t>e</w:t>
      </w:r>
      <w:r w:rsidR="00346C33" w:rsidRPr="00613198">
        <w:rPr>
          <w:b/>
          <w:color w:val="000000" w:themeColor="text1"/>
        </w:rPr>
        <w:t>)  zmiana w art. 16 ust. 4 ustawy -</w:t>
      </w:r>
      <w:r w:rsidR="00346C33" w:rsidRPr="00613198">
        <w:rPr>
          <w:color w:val="000000" w:themeColor="text1"/>
        </w:rPr>
        <w:t xml:space="preserve"> </w:t>
      </w:r>
      <w:r w:rsidR="003A45DC" w:rsidRPr="00613198">
        <w:rPr>
          <w:b/>
          <w:color w:val="000000" w:themeColor="text1"/>
        </w:rPr>
        <w:t>P</w:t>
      </w:r>
      <w:r w:rsidR="00346C33" w:rsidRPr="00613198">
        <w:rPr>
          <w:b/>
          <w:color w:val="000000" w:themeColor="text1"/>
        </w:rPr>
        <w:t>rawo energetyczne</w:t>
      </w:r>
    </w:p>
    <w:p w14:paraId="0967A837" w14:textId="6E541A65" w:rsidR="00346C33" w:rsidRPr="00613198" w:rsidRDefault="005720B7" w:rsidP="005720B7">
      <w:pPr>
        <w:spacing w:line="360" w:lineRule="auto"/>
        <w:ind w:firstLine="709"/>
        <w:jc w:val="both"/>
        <w:rPr>
          <w:rFonts w:ascii="Times" w:eastAsiaTheme="minorEastAsia" w:hAnsi="Times"/>
          <w:bCs/>
          <w:color w:val="000000" w:themeColor="text1"/>
          <w:sz w:val="24"/>
        </w:rPr>
      </w:pPr>
      <w:r w:rsidRPr="00613198">
        <w:rPr>
          <w:rFonts w:ascii="Times" w:eastAsiaTheme="minorEastAsia" w:hAnsi="Times"/>
          <w:bCs/>
          <w:color w:val="000000" w:themeColor="text1"/>
          <w:sz w:val="24"/>
        </w:rPr>
        <w:t xml:space="preserve">Zmiana w art. 16 ust. 4 ustawy – </w:t>
      </w:r>
      <w:r w:rsidR="003A45DC" w:rsidRPr="00613198">
        <w:rPr>
          <w:rFonts w:ascii="Times" w:eastAsiaTheme="minorEastAsia" w:hAnsi="Times"/>
          <w:bCs/>
          <w:color w:val="000000" w:themeColor="text1"/>
          <w:sz w:val="24"/>
        </w:rPr>
        <w:t>P</w:t>
      </w:r>
      <w:r w:rsidRPr="00613198">
        <w:rPr>
          <w:rFonts w:ascii="Times" w:eastAsiaTheme="minorEastAsia" w:hAnsi="Times"/>
          <w:bCs/>
          <w:color w:val="000000" w:themeColor="text1"/>
          <w:sz w:val="24"/>
        </w:rPr>
        <w:t>rawo energetyczne służy implementacji art. 32 ust.</w:t>
      </w:r>
      <w:r w:rsidR="00674AFE" w:rsidRPr="00613198">
        <w:rPr>
          <w:rFonts w:ascii="Times" w:eastAsiaTheme="minorEastAsia" w:hAnsi="Times"/>
          <w:bCs/>
          <w:color w:val="000000" w:themeColor="text1"/>
          <w:sz w:val="24"/>
        </w:rPr>
        <w:t xml:space="preserve"> </w:t>
      </w:r>
      <w:r w:rsidRPr="00613198">
        <w:rPr>
          <w:rFonts w:ascii="Times" w:eastAsiaTheme="minorEastAsia" w:hAnsi="Times"/>
          <w:bCs/>
          <w:color w:val="000000" w:themeColor="text1"/>
          <w:sz w:val="24"/>
        </w:rPr>
        <w:t xml:space="preserve">3 dyrektywy </w:t>
      </w:r>
      <w:r w:rsidR="00CD7C8B" w:rsidRPr="00613198">
        <w:rPr>
          <w:rFonts w:ascii="Times" w:eastAsiaTheme="minorEastAsia" w:hAnsi="Times"/>
          <w:bCs/>
          <w:color w:val="000000" w:themeColor="text1"/>
          <w:sz w:val="24"/>
        </w:rPr>
        <w:t>2019/944</w:t>
      </w:r>
      <w:r w:rsidRPr="00613198">
        <w:rPr>
          <w:rFonts w:ascii="Times" w:eastAsiaTheme="minorEastAsia" w:hAnsi="Times"/>
          <w:bCs/>
          <w:color w:val="000000" w:themeColor="text1"/>
          <w:sz w:val="24"/>
        </w:rPr>
        <w:t>, zgodnie z którym rozwój systemu dystrybucyjnego musi bazować na planie rozwoju sieci, publikowanym przez operatora systemu dystrybucyjnego przynajmniej co dwa lata, zapewniającym przejrzystość w odniesieniu do zapotrzebowania na usługi elastyczności w perspekt</w:t>
      </w:r>
      <w:r w:rsidR="00674AFE" w:rsidRPr="00613198">
        <w:rPr>
          <w:rFonts w:ascii="Times" w:eastAsiaTheme="minorEastAsia" w:hAnsi="Times"/>
          <w:bCs/>
          <w:color w:val="000000" w:themeColor="text1"/>
          <w:sz w:val="24"/>
        </w:rPr>
        <w:t xml:space="preserve">ywie średnio </w:t>
      </w:r>
      <w:r w:rsidRPr="00613198">
        <w:rPr>
          <w:rFonts w:ascii="Times" w:eastAsiaTheme="minorEastAsia" w:hAnsi="Times"/>
          <w:bCs/>
          <w:color w:val="000000" w:themeColor="text1"/>
          <w:sz w:val="24"/>
        </w:rPr>
        <w:t>i długoterminowej oraz określającym inwestycje planowane na następne pięć do dziesięciu lat. Sporządzanie planu na okres nie krótszy niż 6 letni jest zachowaniem reguły wielokrotności 2</w:t>
      </w:r>
      <w:r w:rsidR="00CC2864">
        <w:rPr>
          <w:rFonts w:ascii="Times" w:eastAsiaTheme="minorEastAsia" w:hAnsi="Times"/>
          <w:bCs/>
          <w:color w:val="000000" w:themeColor="text1"/>
          <w:sz w:val="24"/>
        </w:rPr>
        <w:t xml:space="preserve"> -</w:t>
      </w:r>
      <w:r w:rsidRPr="00613198">
        <w:rPr>
          <w:rFonts w:ascii="Times" w:eastAsiaTheme="minorEastAsia" w:hAnsi="Times"/>
          <w:bCs/>
          <w:color w:val="000000" w:themeColor="text1"/>
          <w:sz w:val="24"/>
        </w:rPr>
        <w:t xml:space="preserve"> letniej konieczności aktualizacji tego planu</w:t>
      </w:r>
      <w:r w:rsidR="00CC2864">
        <w:rPr>
          <w:rFonts w:ascii="Times" w:eastAsiaTheme="minorEastAsia" w:hAnsi="Times"/>
          <w:bCs/>
          <w:color w:val="000000" w:themeColor="text1"/>
          <w:sz w:val="24"/>
        </w:rPr>
        <w:t>, p</w:t>
      </w:r>
      <w:r w:rsidR="00CC2864" w:rsidRPr="00613198">
        <w:rPr>
          <w:rFonts w:ascii="Times" w:eastAsiaTheme="minorEastAsia" w:hAnsi="Times"/>
          <w:bCs/>
          <w:color w:val="000000" w:themeColor="text1"/>
          <w:sz w:val="24"/>
        </w:rPr>
        <w:t xml:space="preserve">owodując </w:t>
      </w:r>
      <w:r w:rsidRPr="00613198">
        <w:rPr>
          <w:rFonts w:ascii="Times" w:eastAsiaTheme="minorEastAsia" w:hAnsi="Times"/>
          <w:bCs/>
          <w:color w:val="000000" w:themeColor="text1"/>
          <w:sz w:val="24"/>
        </w:rPr>
        <w:t>tym samym zachowanie ciągłości okresu 6</w:t>
      </w:r>
      <w:r w:rsidR="00CC2864">
        <w:rPr>
          <w:rFonts w:ascii="Times" w:eastAsiaTheme="minorEastAsia" w:hAnsi="Times"/>
          <w:bCs/>
          <w:color w:val="000000" w:themeColor="text1"/>
          <w:sz w:val="24"/>
        </w:rPr>
        <w:t xml:space="preserve"> -</w:t>
      </w:r>
      <w:r w:rsidRPr="00613198">
        <w:rPr>
          <w:rFonts w:ascii="Times" w:eastAsiaTheme="minorEastAsia" w:hAnsi="Times"/>
          <w:bCs/>
          <w:color w:val="000000" w:themeColor="text1"/>
          <w:sz w:val="24"/>
        </w:rPr>
        <w:t xml:space="preserve"> letniego terminu sporządzania planu z jego 2 letnią aktualizacją.</w:t>
      </w:r>
    </w:p>
    <w:p w14:paraId="68ACF782" w14:textId="19066315" w:rsidR="005720B7" w:rsidRPr="00613198" w:rsidRDefault="00C340CD" w:rsidP="005720B7">
      <w:pPr>
        <w:spacing w:line="360" w:lineRule="auto"/>
        <w:ind w:firstLine="709"/>
        <w:jc w:val="both"/>
        <w:rPr>
          <w:rFonts w:ascii="Times" w:eastAsiaTheme="minorEastAsia" w:hAnsi="Times"/>
          <w:b/>
          <w:bCs/>
          <w:color w:val="000000" w:themeColor="text1"/>
          <w:sz w:val="24"/>
        </w:rPr>
      </w:pPr>
      <w:r>
        <w:rPr>
          <w:rFonts w:ascii="Times" w:eastAsiaTheme="minorEastAsia" w:hAnsi="Times"/>
          <w:b/>
          <w:bCs/>
          <w:color w:val="000000" w:themeColor="text1"/>
          <w:sz w:val="24"/>
        </w:rPr>
        <w:t>f</w:t>
      </w:r>
      <w:r w:rsidR="00690270" w:rsidRPr="00613198">
        <w:rPr>
          <w:rFonts w:ascii="Times" w:eastAsiaTheme="minorEastAsia" w:hAnsi="Times"/>
          <w:b/>
          <w:bCs/>
          <w:color w:val="000000" w:themeColor="text1"/>
          <w:sz w:val="24"/>
        </w:rPr>
        <w:t xml:space="preserve">) </w:t>
      </w:r>
      <w:r w:rsidR="000066BC" w:rsidRPr="00613198">
        <w:rPr>
          <w:rFonts w:ascii="Times" w:eastAsiaTheme="minorEastAsia" w:hAnsi="Times"/>
          <w:b/>
          <w:bCs/>
          <w:color w:val="000000" w:themeColor="text1"/>
          <w:sz w:val="24"/>
        </w:rPr>
        <w:t>z</w:t>
      </w:r>
      <w:r w:rsidR="00690270" w:rsidRPr="00613198">
        <w:rPr>
          <w:rFonts w:ascii="Times" w:eastAsiaTheme="minorEastAsia" w:hAnsi="Times"/>
          <w:b/>
          <w:bCs/>
          <w:color w:val="000000" w:themeColor="text1"/>
          <w:sz w:val="24"/>
        </w:rPr>
        <w:t xml:space="preserve">miana w art. 16 ust. 5 ustawy - </w:t>
      </w:r>
      <w:r w:rsidR="003A45DC" w:rsidRPr="00613198">
        <w:rPr>
          <w:rFonts w:ascii="Times" w:eastAsiaTheme="minorEastAsia" w:hAnsi="Times"/>
          <w:b/>
          <w:bCs/>
          <w:color w:val="000000" w:themeColor="text1"/>
          <w:sz w:val="24"/>
        </w:rPr>
        <w:t>P</w:t>
      </w:r>
      <w:r w:rsidR="00690270" w:rsidRPr="00613198">
        <w:rPr>
          <w:rFonts w:ascii="Times" w:eastAsiaTheme="minorEastAsia" w:hAnsi="Times"/>
          <w:b/>
          <w:bCs/>
          <w:color w:val="000000" w:themeColor="text1"/>
          <w:sz w:val="24"/>
        </w:rPr>
        <w:t>rawo energetyczne</w:t>
      </w:r>
      <w:r w:rsidR="000066BC" w:rsidRPr="00613198">
        <w:rPr>
          <w:rFonts w:ascii="Times" w:eastAsiaTheme="minorEastAsia" w:hAnsi="Times"/>
          <w:b/>
          <w:bCs/>
          <w:color w:val="000000" w:themeColor="text1"/>
          <w:sz w:val="24"/>
        </w:rPr>
        <w:t xml:space="preserve"> </w:t>
      </w:r>
    </w:p>
    <w:p w14:paraId="4EA0128A" w14:textId="77777777" w:rsidR="00690270" w:rsidRPr="00613198" w:rsidRDefault="00690270" w:rsidP="005720B7">
      <w:pPr>
        <w:spacing w:line="360" w:lineRule="auto"/>
        <w:ind w:firstLine="709"/>
        <w:jc w:val="both"/>
        <w:rPr>
          <w:rFonts w:ascii="Times" w:eastAsiaTheme="minorEastAsia" w:hAnsi="Times"/>
          <w:bCs/>
          <w:color w:val="000000" w:themeColor="text1"/>
          <w:sz w:val="24"/>
        </w:rPr>
      </w:pPr>
      <w:r w:rsidRPr="00613198">
        <w:rPr>
          <w:rFonts w:ascii="Times" w:eastAsiaTheme="minorEastAsia" w:hAnsi="Times"/>
          <w:bCs/>
          <w:color w:val="000000" w:themeColor="text1"/>
          <w:sz w:val="24"/>
        </w:rPr>
        <w:lastRenderedPageBreak/>
        <w:t xml:space="preserve">Ponieważ OSP i OSD sporządzają prognozę zapotrzebowania na dostawy na okres nie krótszy niż 15 lat, przy opracowywaniu planu rozwoju zasadne jest, aby powiązać tę prognozę z planem rozwoju. </w:t>
      </w:r>
      <w:r w:rsidR="000066BC" w:rsidRPr="00613198">
        <w:rPr>
          <w:rFonts w:ascii="Times" w:eastAsiaTheme="minorEastAsia" w:hAnsi="Times"/>
          <w:bCs/>
          <w:color w:val="000000" w:themeColor="text1"/>
          <w:sz w:val="24"/>
        </w:rPr>
        <w:t>Dziesięcio</w:t>
      </w:r>
      <w:r w:rsidRPr="00613198">
        <w:rPr>
          <w:rFonts w:ascii="Times" w:eastAsiaTheme="minorEastAsia" w:hAnsi="Times"/>
          <w:bCs/>
          <w:color w:val="000000" w:themeColor="text1"/>
          <w:sz w:val="24"/>
        </w:rPr>
        <w:t>letni okres prognozy dla stanu bezpieczeństwa dostarczania energii elektrycznej został powiązany z maksymalnym okresem przewidzianym w dyrektywie 2019/944 dla sporządzania planów rozwoju systemu elektroenergetycznego. Jednocześnie wydaje się, że sporządzanie przez operatorów systemów dystrybucyjnych planów na okres 10 lat jest bardziej efektywne w kontekście ich realności, niż każdy okres dłuższy np. 15 – letni.</w:t>
      </w:r>
      <w:r w:rsidR="00817E82" w:rsidRPr="00613198">
        <w:rPr>
          <w:rFonts w:ascii="Times" w:eastAsiaTheme="minorEastAsia" w:hAnsi="Times"/>
          <w:bCs/>
          <w:color w:val="000000" w:themeColor="text1"/>
          <w:sz w:val="24"/>
        </w:rPr>
        <w:t xml:space="preserve"> </w:t>
      </w:r>
    </w:p>
    <w:p w14:paraId="6DF40994" w14:textId="019F0D4C" w:rsidR="00690270" w:rsidRPr="00613198" w:rsidRDefault="00C340CD" w:rsidP="005720B7">
      <w:pPr>
        <w:spacing w:line="360" w:lineRule="auto"/>
        <w:ind w:firstLine="709"/>
        <w:jc w:val="both"/>
        <w:rPr>
          <w:rFonts w:ascii="Times" w:eastAsiaTheme="minorEastAsia" w:hAnsi="Times"/>
          <w:b/>
          <w:bCs/>
          <w:color w:val="000000" w:themeColor="text1"/>
          <w:sz w:val="24"/>
        </w:rPr>
      </w:pPr>
      <w:r>
        <w:rPr>
          <w:rFonts w:ascii="Times" w:eastAsiaTheme="minorEastAsia" w:hAnsi="Times"/>
          <w:b/>
          <w:bCs/>
          <w:color w:val="000000" w:themeColor="text1"/>
          <w:sz w:val="24"/>
        </w:rPr>
        <w:t>g</w:t>
      </w:r>
      <w:r w:rsidR="000066BC" w:rsidRPr="00613198">
        <w:rPr>
          <w:rFonts w:ascii="Times" w:eastAsiaTheme="minorEastAsia" w:hAnsi="Times"/>
          <w:b/>
          <w:bCs/>
          <w:color w:val="000000" w:themeColor="text1"/>
          <w:sz w:val="24"/>
        </w:rPr>
        <w:t>) dodanie art. 16 ust. 8</w:t>
      </w:r>
      <w:r w:rsidR="00B52A90">
        <w:rPr>
          <w:rFonts w:ascii="Times" w:eastAsiaTheme="minorEastAsia" w:hAnsi="Times"/>
          <w:b/>
          <w:bCs/>
          <w:color w:val="000000" w:themeColor="text1"/>
          <w:sz w:val="24"/>
        </w:rPr>
        <w:t>b</w:t>
      </w:r>
      <w:r w:rsidR="000066BC" w:rsidRPr="00613198">
        <w:rPr>
          <w:rFonts w:ascii="Times" w:eastAsiaTheme="minorEastAsia" w:hAnsi="Times"/>
          <w:b/>
          <w:bCs/>
          <w:color w:val="000000" w:themeColor="text1"/>
          <w:sz w:val="24"/>
        </w:rPr>
        <w:t xml:space="preserve"> i 8</w:t>
      </w:r>
      <w:r w:rsidR="00B52A90">
        <w:rPr>
          <w:rFonts w:ascii="Times" w:eastAsiaTheme="minorEastAsia" w:hAnsi="Times"/>
          <w:b/>
          <w:bCs/>
          <w:color w:val="000000" w:themeColor="text1"/>
          <w:sz w:val="24"/>
        </w:rPr>
        <w:t>c</w:t>
      </w:r>
      <w:r w:rsidR="000066BC" w:rsidRPr="00613198">
        <w:rPr>
          <w:rFonts w:ascii="Times" w:eastAsiaTheme="minorEastAsia" w:hAnsi="Times"/>
          <w:b/>
          <w:bCs/>
          <w:color w:val="000000" w:themeColor="text1"/>
          <w:sz w:val="24"/>
        </w:rPr>
        <w:t xml:space="preserve"> do ustawy – </w:t>
      </w:r>
      <w:r w:rsidR="003A45DC" w:rsidRPr="00613198">
        <w:rPr>
          <w:rFonts w:ascii="Times" w:eastAsiaTheme="minorEastAsia" w:hAnsi="Times"/>
          <w:b/>
          <w:bCs/>
          <w:color w:val="000000" w:themeColor="text1"/>
          <w:sz w:val="24"/>
        </w:rPr>
        <w:t>P</w:t>
      </w:r>
      <w:r w:rsidR="000066BC" w:rsidRPr="00613198">
        <w:rPr>
          <w:rFonts w:ascii="Times" w:eastAsiaTheme="minorEastAsia" w:hAnsi="Times"/>
          <w:b/>
          <w:bCs/>
          <w:color w:val="000000" w:themeColor="text1"/>
          <w:sz w:val="24"/>
        </w:rPr>
        <w:t>rawo energetyczne</w:t>
      </w:r>
    </w:p>
    <w:p w14:paraId="46205D9D" w14:textId="77777777" w:rsidR="000066BC" w:rsidRPr="00613198" w:rsidRDefault="000066BC" w:rsidP="005720B7">
      <w:pPr>
        <w:spacing w:line="360" w:lineRule="auto"/>
        <w:ind w:firstLine="709"/>
        <w:jc w:val="both"/>
        <w:rPr>
          <w:rFonts w:ascii="Times" w:eastAsiaTheme="minorEastAsia" w:hAnsi="Times"/>
          <w:bCs/>
          <w:color w:val="000000" w:themeColor="text1"/>
          <w:sz w:val="24"/>
        </w:rPr>
      </w:pPr>
      <w:r w:rsidRPr="00613198">
        <w:rPr>
          <w:rFonts w:ascii="Times" w:eastAsiaTheme="minorEastAsia" w:hAnsi="Times"/>
          <w:bCs/>
          <w:color w:val="000000" w:themeColor="text1"/>
          <w:sz w:val="24"/>
        </w:rPr>
        <w:t>Dodane przepisy implementują dyrektyw</w:t>
      </w:r>
      <w:r w:rsidR="00960AE7" w:rsidRPr="00613198">
        <w:rPr>
          <w:rFonts w:ascii="Times" w:eastAsiaTheme="minorEastAsia" w:hAnsi="Times"/>
          <w:bCs/>
          <w:color w:val="000000" w:themeColor="text1"/>
          <w:sz w:val="24"/>
        </w:rPr>
        <w:t>ę</w:t>
      </w:r>
      <w:r w:rsidRPr="00613198">
        <w:rPr>
          <w:rFonts w:ascii="Times" w:eastAsiaTheme="minorEastAsia" w:hAnsi="Times"/>
          <w:bCs/>
          <w:color w:val="000000" w:themeColor="text1"/>
          <w:sz w:val="24"/>
        </w:rPr>
        <w:t xml:space="preserve"> 2019/944 w zakresie </w:t>
      </w:r>
      <w:r w:rsidR="00960AE7" w:rsidRPr="00613198">
        <w:rPr>
          <w:rFonts w:ascii="Times" w:eastAsiaTheme="minorEastAsia" w:hAnsi="Times"/>
          <w:bCs/>
          <w:color w:val="000000" w:themeColor="text1"/>
          <w:sz w:val="24"/>
        </w:rPr>
        <w:t xml:space="preserve">objęcia planem rozwoju sieci </w:t>
      </w:r>
      <w:proofErr w:type="spellStart"/>
      <w:r w:rsidRPr="00613198">
        <w:rPr>
          <w:rFonts w:ascii="Times" w:eastAsiaTheme="minorEastAsia" w:hAnsi="Times"/>
          <w:bCs/>
          <w:color w:val="000000" w:themeColor="text1"/>
          <w:sz w:val="24"/>
        </w:rPr>
        <w:t>elektromobilności</w:t>
      </w:r>
      <w:proofErr w:type="spellEnd"/>
      <w:r w:rsidR="00960AE7" w:rsidRPr="00613198">
        <w:rPr>
          <w:rFonts w:ascii="Times" w:eastAsiaTheme="minorEastAsia" w:hAnsi="Times"/>
          <w:bCs/>
          <w:color w:val="000000" w:themeColor="text1"/>
          <w:sz w:val="24"/>
        </w:rPr>
        <w:t xml:space="preserve"> oraz wykorzystania odpowiedzi odbioru, efektywności energetycznej, instalacji magazynowania energii lub innych zasobów, które operator systemu dystrybucyjnego ma wykorzystać jako rozwiązanie alternatywne dla rozbudowy systemu.</w:t>
      </w:r>
    </w:p>
    <w:p w14:paraId="62B42AC6" w14:textId="7A14F7A6" w:rsidR="00960AE7" w:rsidRPr="00613198" w:rsidRDefault="00C340CD" w:rsidP="005720B7">
      <w:pPr>
        <w:spacing w:line="360" w:lineRule="auto"/>
        <w:ind w:firstLine="709"/>
        <w:jc w:val="both"/>
        <w:rPr>
          <w:rFonts w:ascii="Times" w:eastAsiaTheme="minorEastAsia" w:hAnsi="Times"/>
          <w:bCs/>
          <w:color w:val="000000" w:themeColor="text1"/>
          <w:sz w:val="24"/>
        </w:rPr>
      </w:pPr>
      <w:r>
        <w:rPr>
          <w:rFonts w:ascii="Times" w:eastAsiaTheme="minorEastAsia" w:hAnsi="Times"/>
          <w:b/>
          <w:bCs/>
          <w:color w:val="000000" w:themeColor="text1"/>
          <w:sz w:val="24"/>
        </w:rPr>
        <w:t>h</w:t>
      </w:r>
      <w:r w:rsidR="00F24067" w:rsidRPr="00613198">
        <w:rPr>
          <w:rFonts w:ascii="Times" w:eastAsiaTheme="minorEastAsia" w:hAnsi="Times"/>
          <w:b/>
          <w:bCs/>
          <w:color w:val="000000" w:themeColor="text1"/>
          <w:sz w:val="24"/>
        </w:rPr>
        <w:t xml:space="preserve">) </w:t>
      </w:r>
      <w:r w:rsidR="00B52A90">
        <w:rPr>
          <w:rFonts w:ascii="Times" w:eastAsiaTheme="minorEastAsia" w:hAnsi="Times"/>
          <w:b/>
          <w:bCs/>
          <w:color w:val="000000" w:themeColor="text1"/>
          <w:sz w:val="24"/>
        </w:rPr>
        <w:t>zmiana</w:t>
      </w:r>
      <w:r w:rsidR="00B52A90" w:rsidRPr="00613198">
        <w:rPr>
          <w:rFonts w:ascii="Times" w:eastAsiaTheme="minorEastAsia" w:hAnsi="Times"/>
          <w:b/>
          <w:bCs/>
          <w:color w:val="000000" w:themeColor="text1"/>
          <w:sz w:val="24"/>
        </w:rPr>
        <w:t xml:space="preserve"> </w:t>
      </w:r>
      <w:r w:rsidR="00F24067" w:rsidRPr="00613198">
        <w:rPr>
          <w:rFonts w:ascii="Times" w:eastAsiaTheme="minorEastAsia" w:hAnsi="Times"/>
          <w:b/>
          <w:bCs/>
          <w:color w:val="000000" w:themeColor="text1"/>
          <w:sz w:val="24"/>
        </w:rPr>
        <w:t>art. 16 ust. 14</w:t>
      </w:r>
      <w:r w:rsidR="00B52A90">
        <w:rPr>
          <w:rFonts w:ascii="Times" w:eastAsiaTheme="minorEastAsia" w:hAnsi="Times"/>
          <w:b/>
          <w:bCs/>
          <w:color w:val="000000" w:themeColor="text1"/>
          <w:sz w:val="24"/>
        </w:rPr>
        <w:t xml:space="preserve"> i</w:t>
      </w:r>
      <w:r w:rsidR="00F24067" w:rsidRPr="00613198">
        <w:rPr>
          <w:rFonts w:ascii="Times" w:eastAsiaTheme="minorEastAsia" w:hAnsi="Times"/>
          <w:b/>
          <w:bCs/>
          <w:color w:val="000000" w:themeColor="text1"/>
          <w:sz w:val="24"/>
        </w:rPr>
        <w:t xml:space="preserve"> </w:t>
      </w:r>
      <w:r w:rsidR="00B52A90">
        <w:rPr>
          <w:rFonts w:ascii="Times" w:eastAsiaTheme="minorEastAsia" w:hAnsi="Times"/>
          <w:b/>
          <w:bCs/>
          <w:color w:val="000000" w:themeColor="text1"/>
          <w:sz w:val="24"/>
        </w:rPr>
        <w:t xml:space="preserve">15 </w:t>
      </w:r>
      <w:r w:rsidR="00F24067" w:rsidRPr="00613198">
        <w:rPr>
          <w:rFonts w:ascii="Times" w:eastAsiaTheme="minorEastAsia" w:hAnsi="Times"/>
          <w:b/>
          <w:bCs/>
          <w:color w:val="000000" w:themeColor="text1"/>
          <w:sz w:val="24"/>
        </w:rPr>
        <w:t xml:space="preserve">ustawy - </w:t>
      </w:r>
      <w:r w:rsidR="003A45DC" w:rsidRPr="00613198">
        <w:rPr>
          <w:rFonts w:ascii="Times" w:eastAsiaTheme="minorEastAsia" w:hAnsi="Times"/>
          <w:b/>
          <w:bCs/>
          <w:color w:val="000000" w:themeColor="text1"/>
          <w:sz w:val="24"/>
        </w:rPr>
        <w:t>P</w:t>
      </w:r>
      <w:r w:rsidR="00F24067" w:rsidRPr="00613198">
        <w:rPr>
          <w:rFonts w:ascii="Times" w:eastAsiaTheme="minorEastAsia" w:hAnsi="Times"/>
          <w:b/>
          <w:bCs/>
          <w:color w:val="000000" w:themeColor="text1"/>
          <w:sz w:val="24"/>
        </w:rPr>
        <w:t xml:space="preserve">rawo energetyczne </w:t>
      </w:r>
    </w:p>
    <w:p w14:paraId="34D9C67F" w14:textId="116D96CA" w:rsidR="000066BC" w:rsidRPr="00613198" w:rsidRDefault="00F24067" w:rsidP="005720B7">
      <w:pPr>
        <w:spacing w:line="360" w:lineRule="auto"/>
        <w:ind w:firstLine="709"/>
        <w:jc w:val="both"/>
        <w:rPr>
          <w:rFonts w:ascii="Times" w:eastAsiaTheme="minorEastAsia" w:hAnsi="Times"/>
          <w:bCs/>
          <w:color w:val="000000" w:themeColor="text1"/>
          <w:sz w:val="24"/>
        </w:rPr>
      </w:pPr>
      <w:r w:rsidRPr="00613198">
        <w:rPr>
          <w:rFonts w:ascii="Times" w:eastAsiaTheme="minorEastAsia" w:hAnsi="Times"/>
          <w:bCs/>
          <w:color w:val="000000" w:themeColor="text1"/>
          <w:sz w:val="24"/>
        </w:rPr>
        <w:t>Plan rozwoju poddawany będzie konsultacjom publicznym. Dodatkowo złożenie planu rozwoju w obecnej regulacji jest określone terminem krótszym, niż złożenie do Prezesa URE sprawozdania z wykonania powyższego planu, formalnie w roku złożenia planu rozwoju. OSD składa w dwóch terminach dokumenty sprawozdania planu, właściwym trybem wydaje się więc złożenie sprawozdania z wykonania planu w terminie wcześniejszym niż złożenie projektu planu na lata następne.</w:t>
      </w:r>
      <w:r w:rsidR="000B0136" w:rsidRPr="00613198">
        <w:rPr>
          <w:rFonts w:ascii="Times" w:eastAsiaTheme="minorEastAsia" w:hAnsi="Times"/>
          <w:bCs/>
          <w:color w:val="000000" w:themeColor="text1"/>
          <w:sz w:val="24"/>
        </w:rPr>
        <w:t xml:space="preserve"> Art. 16 ust. 15</w:t>
      </w:r>
      <w:r w:rsidR="000B3067">
        <w:rPr>
          <w:rFonts w:ascii="Times" w:eastAsiaTheme="minorEastAsia" w:hAnsi="Times"/>
          <w:bCs/>
          <w:color w:val="000000" w:themeColor="text1"/>
          <w:sz w:val="24"/>
        </w:rPr>
        <w:t xml:space="preserve"> ustawy – Prawo energetyczne</w:t>
      </w:r>
      <w:r w:rsidR="000B0136" w:rsidRPr="00613198">
        <w:rPr>
          <w:rFonts w:ascii="Times" w:eastAsiaTheme="minorEastAsia" w:hAnsi="Times"/>
          <w:bCs/>
          <w:color w:val="000000" w:themeColor="text1"/>
          <w:sz w:val="24"/>
        </w:rPr>
        <w:t xml:space="preserve"> został uzupełniony o operatora systemu dystrybucyjnego. Zmiana ma na celu zachowanie przejrzystości oraz właściwej kolejności etapów prowadzonego procesu. </w:t>
      </w:r>
    </w:p>
    <w:p w14:paraId="21A0C470" w14:textId="343E840C" w:rsidR="000B0136" w:rsidRPr="00613198" w:rsidRDefault="00C340CD" w:rsidP="000B0136">
      <w:pPr>
        <w:spacing w:line="360" w:lineRule="auto"/>
        <w:ind w:firstLine="709"/>
        <w:jc w:val="both"/>
        <w:rPr>
          <w:rFonts w:ascii="Times" w:eastAsiaTheme="minorEastAsia" w:hAnsi="Times"/>
          <w:b/>
          <w:bCs/>
          <w:color w:val="000000" w:themeColor="text1"/>
          <w:sz w:val="24"/>
        </w:rPr>
      </w:pPr>
      <w:r>
        <w:rPr>
          <w:rFonts w:ascii="Times" w:eastAsiaTheme="minorEastAsia" w:hAnsi="Times"/>
          <w:b/>
          <w:bCs/>
          <w:color w:val="000000" w:themeColor="text1"/>
          <w:sz w:val="24"/>
        </w:rPr>
        <w:t>i</w:t>
      </w:r>
      <w:r w:rsidR="000B0136" w:rsidRPr="00613198">
        <w:rPr>
          <w:rFonts w:ascii="Times" w:eastAsiaTheme="minorEastAsia" w:hAnsi="Times"/>
          <w:b/>
          <w:bCs/>
          <w:color w:val="000000" w:themeColor="text1"/>
          <w:sz w:val="24"/>
        </w:rPr>
        <w:t xml:space="preserve">) dodanie ust. 23 do art. 16 ustawy – </w:t>
      </w:r>
      <w:r w:rsidR="00BF79A7" w:rsidRPr="00613198">
        <w:rPr>
          <w:rFonts w:ascii="Times" w:eastAsiaTheme="minorEastAsia" w:hAnsi="Times"/>
          <w:b/>
          <w:bCs/>
          <w:color w:val="000000" w:themeColor="text1"/>
          <w:sz w:val="24"/>
        </w:rPr>
        <w:t>Prawo energetyczne</w:t>
      </w:r>
    </w:p>
    <w:p w14:paraId="2F9CCF69" w14:textId="2263286B" w:rsidR="000B0136" w:rsidRPr="00613198" w:rsidRDefault="003A45DC" w:rsidP="000B0136">
      <w:pPr>
        <w:spacing w:line="360" w:lineRule="auto"/>
        <w:ind w:firstLine="709"/>
        <w:jc w:val="both"/>
        <w:rPr>
          <w:rFonts w:ascii="Times New Roman" w:hAnsi="Times New Roman" w:cs="Times New Roman"/>
          <w:color w:val="000000" w:themeColor="text1"/>
          <w:sz w:val="24"/>
          <w:szCs w:val="24"/>
        </w:rPr>
      </w:pPr>
      <w:r w:rsidRPr="00613198">
        <w:rPr>
          <w:rFonts w:ascii="Times New Roman" w:hAnsi="Times New Roman" w:cs="Times New Roman"/>
          <w:color w:val="000000" w:themeColor="text1"/>
          <w:sz w:val="24"/>
          <w:szCs w:val="24"/>
        </w:rPr>
        <w:t>D</w:t>
      </w:r>
      <w:r w:rsidR="000B0136" w:rsidRPr="00613198">
        <w:rPr>
          <w:rFonts w:ascii="Times New Roman" w:hAnsi="Times New Roman" w:cs="Times New Roman"/>
          <w:color w:val="000000" w:themeColor="text1"/>
          <w:sz w:val="24"/>
          <w:szCs w:val="24"/>
        </w:rPr>
        <w:t>odanie tego przepisu ma na celu implementację dyrektywy 2019/944 w zakresie artykułu 38 ust. 2 lit. c.</w:t>
      </w:r>
    </w:p>
    <w:p w14:paraId="2DCDB701" w14:textId="5D5C90D5" w:rsidR="00A40A04" w:rsidRPr="00613198" w:rsidRDefault="00C340CD" w:rsidP="000B0136">
      <w:pPr>
        <w:spacing w:line="360" w:lineRule="auto"/>
        <w:ind w:firstLine="709"/>
        <w:jc w:val="both"/>
        <w:rPr>
          <w:rFonts w:ascii="Times" w:eastAsiaTheme="minorEastAsia" w:hAnsi="Times"/>
          <w:b/>
          <w:bCs/>
          <w:color w:val="000000" w:themeColor="text1"/>
          <w:sz w:val="24"/>
        </w:rPr>
      </w:pPr>
      <w:r>
        <w:rPr>
          <w:rFonts w:ascii="Times New Roman" w:hAnsi="Times New Roman" w:cs="Times New Roman"/>
          <w:b/>
          <w:color w:val="000000" w:themeColor="text1"/>
          <w:sz w:val="24"/>
          <w:szCs w:val="24"/>
        </w:rPr>
        <w:t>j</w:t>
      </w:r>
      <w:r w:rsidR="00A40A04" w:rsidRPr="00613198">
        <w:rPr>
          <w:rFonts w:ascii="Times New Roman" w:hAnsi="Times New Roman" w:cs="Times New Roman"/>
          <w:b/>
          <w:color w:val="000000" w:themeColor="text1"/>
          <w:sz w:val="24"/>
          <w:szCs w:val="24"/>
        </w:rPr>
        <w:t xml:space="preserve">) dodanie pkt 11g i </w:t>
      </w:r>
      <w:r w:rsidR="00B07E0D">
        <w:rPr>
          <w:rFonts w:ascii="Times New Roman" w:hAnsi="Times New Roman" w:cs="Times New Roman"/>
          <w:b/>
          <w:color w:val="000000" w:themeColor="text1"/>
          <w:sz w:val="24"/>
          <w:szCs w:val="24"/>
        </w:rPr>
        <w:t>11</w:t>
      </w:r>
      <w:r w:rsidR="00A40A04" w:rsidRPr="00613198">
        <w:rPr>
          <w:rFonts w:ascii="Times New Roman" w:hAnsi="Times New Roman" w:cs="Times New Roman"/>
          <w:b/>
          <w:color w:val="000000" w:themeColor="text1"/>
          <w:sz w:val="24"/>
          <w:szCs w:val="24"/>
        </w:rPr>
        <w:t xml:space="preserve">h do art. 23 ust. 2 </w:t>
      </w:r>
      <w:r w:rsidR="00A40A04" w:rsidRPr="00613198">
        <w:rPr>
          <w:rFonts w:ascii="Times" w:eastAsiaTheme="minorEastAsia" w:hAnsi="Times"/>
          <w:b/>
          <w:bCs/>
          <w:color w:val="000000" w:themeColor="text1"/>
          <w:sz w:val="24"/>
        </w:rPr>
        <w:t xml:space="preserve">ustawy – </w:t>
      </w:r>
      <w:r w:rsidR="003A45DC" w:rsidRPr="00613198">
        <w:rPr>
          <w:rFonts w:ascii="Times" w:eastAsiaTheme="minorEastAsia" w:hAnsi="Times"/>
          <w:b/>
          <w:bCs/>
          <w:color w:val="000000" w:themeColor="text1"/>
          <w:sz w:val="24"/>
        </w:rPr>
        <w:t>P</w:t>
      </w:r>
      <w:r w:rsidR="00A40A04" w:rsidRPr="00613198">
        <w:rPr>
          <w:rFonts w:ascii="Times" w:eastAsiaTheme="minorEastAsia" w:hAnsi="Times"/>
          <w:b/>
          <w:bCs/>
          <w:color w:val="000000" w:themeColor="text1"/>
          <w:sz w:val="24"/>
        </w:rPr>
        <w:t>rawo energetyczne</w:t>
      </w:r>
    </w:p>
    <w:p w14:paraId="47F25C42" w14:textId="77777777" w:rsidR="00BA0A24" w:rsidRPr="00613198" w:rsidRDefault="00BA0A24" w:rsidP="005720B7">
      <w:pPr>
        <w:spacing w:line="360" w:lineRule="auto"/>
        <w:ind w:firstLine="709"/>
        <w:jc w:val="both"/>
        <w:rPr>
          <w:rFonts w:ascii="Times" w:eastAsiaTheme="minorEastAsia" w:hAnsi="Times"/>
          <w:bCs/>
          <w:color w:val="000000" w:themeColor="text1"/>
          <w:sz w:val="24"/>
        </w:rPr>
      </w:pPr>
      <w:r w:rsidRPr="00613198">
        <w:rPr>
          <w:rFonts w:ascii="Times" w:eastAsiaTheme="minorEastAsia" w:hAnsi="Times"/>
          <w:bCs/>
          <w:color w:val="000000" w:themeColor="text1"/>
          <w:sz w:val="24"/>
        </w:rPr>
        <w:t xml:space="preserve">Dodanie do zadań Prezesa URE ww. przepisów ma na celu implementację art. 32 ust. 1 dyrektywy 2019/944 w części wskazującej na obowiązek państw członkowskich do zapewnienia niezbędnych ram regulacyjnych i zachęt umożliwiających operatorom systemów dystrybucyjnych udzielanie zamówień na usługi elastyczności. </w:t>
      </w:r>
    </w:p>
    <w:p w14:paraId="37CA20FA" w14:textId="340C9196" w:rsidR="00B74F61" w:rsidRPr="00613198" w:rsidRDefault="00C340CD" w:rsidP="005720B7">
      <w:pPr>
        <w:spacing w:line="360" w:lineRule="auto"/>
        <w:ind w:firstLine="709"/>
        <w:jc w:val="both"/>
        <w:rPr>
          <w:rFonts w:ascii="Times" w:eastAsiaTheme="minorEastAsia" w:hAnsi="Times"/>
          <w:bCs/>
          <w:color w:val="000000" w:themeColor="text1"/>
          <w:sz w:val="24"/>
        </w:rPr>
      </w:pPr>
      <w:r>
        <w:rPr>
          <w:rFonts w:ascii="Times" w:eastAsiaTheme="minorEastAsia" w:hAnsi="Times"/>
          <w:b/>
          <w:bCs/>
          <w:color w:val="000000" w:themeColor="text1"/>
          <w:sz w:val="24"/>
        </w:rPr>
        <w:t>k</w:t>
      </w:r>
      <w:r w:rsidR="00B74F61" w:rsidRPr="00613198">
        <w:rPr>
          <w:rFonts w:ascii="Times" w:eastAsiaTheme="minorEastAsia" w:hAnsi="Times"/>
          <w:b/>
          <w:bCs/>
          <w:color w:val="000000" w:themeColor="text1"/>
          <w:sz w:val="24"/>
        </w:rPr>
        <w:t>) dodanie ust. 1</w:t>
      </w:r>
      <w:r w:rsidR="00874A5D">
        <w:rPr>
          <w:rFonts w:ascii="Times" w:eastAsiaTheme="minorEastAsia" w:hAnsi="Times"/>
          <w:b/>
          <w:bCs/>
          <w:color w:val="000000" w:themeColor="text1"/>
          <w:sz w:val="24"/>
        </w:rPr>
        <w:t>l</w:t>
      </w:r>
      <w:r w:rsidR="00B74F61" w:rsidRPr="00613198">
        <w:rPr>
          <w:rFonts w:ascii="Times" w:eastAsiaTheme="minorEastAsia" w:hAnsi="Times"/>
          <w:b/>
          <w:bCs/>
          <w:color w:val="000000" w:themeColor="text1"/>
          <w:sz w:val="24"/>
        </w:rPr>
        <w:t xml:space="preserve"> do art. 45</w:t>
      </w:r>
      <w:r w:rsidR="00B74F61" w:rsidRPr="00613198">
        <w:rPr>
          <w:rFonts w:ascii="Times" w:eastAsiaTheme="minorEastAsia" w:hAnsi="Times"/>
          <w:bCs/>
          <w:color w:val="000000" w:themeColor="text1"/>
          <w:sz w:val="24"/>
        </w:rPr>
        <w:t xml:space="preserve"> </w:t>
      </w:r>
      <w:r w:rsidR="00B74F61" w:rsidRPr="00613198">
        <w:rPr>
          <w:rFonts w:ascii="Times" w:eastAsiaTheme="minorEastAsia" w:hAnsi="Times"/>
          <w:b/>
          <w:bCs/>
          <w:color w:val="000000" w:themeColor="text1"/>
          <w:sz w:val="24"/>
        </w:rPr>
        <w:t xml:space="preserve">ustawy – </w:t>
      </w:r>
      <w:r w:rsidR="003A45DC" w:rsidRPr="00613198">
        <w:rPr>
          <w:rFonts w:ascii="Times" w:eastAsiaTheme="minorEastAsia" w:hAnsi="Times"/>
          <w:b/>
          <w:bCs/>
          <w:color w:val="000000" w:themeColor="text1"/>
          <w:sz w:val="24"/>
        </w:rPr>
        <w:t>P</w:t>
      </w:r>
      <w:r w:rsidR="00B74F61" w:rsidRPr="00613198">
        <w:rPr>
          <w:rFonts w:ascii="Times" w:eastAsiaTheme="minorEastAsia" w:hAnsi="Times"/>
          <w:b/>
          <w:bCs/>
          <w:color w:val="000000" w:themeColor="text1"/>
          <w:sz w:val="24"/>
        </w:rPr>
        <w:t>rawo energetyczne</w:t>
      </w:r>
    </w:p>
    <w:p w14:paraId="605FD7DB" w14:textId="77777777" w:rsidR="00B74F61" w:rsidRPr="00613198" w:rsidRDefault="00B74F61" w:rsidP="005720B7">
      <w:pPr>
        <w:spacing w:line="360" w:lineRule="auto"/>
        <w:ind w:firstLine="709"/>
        <w:jc w:val="both"/>
        <w:rPr>
          <w:rFonts w:ascii="Times" w:eastAsiaTheme="minorEastAsia" w:hAnsi="Times"/>
          <w:bCs/>
          <w:color w:val="000000" w:themeColor="text1"/>
          <w:sz w:val="24"/>
        </w:rPr>
      </w:pPr>
      <w:r w:rsidRPr="00613198">
        <w:rPr>
          <w:rFonts w:ascii="Times" w:eastAsiaTheme="minorEastAsia" w:hAnsi="Times"/>
          <w:bCs/>
          <w:color w:val="000000" w:themeColor="text1"/>
          <w:sz w:val="24"/>
        </w:rPr>
        <w:t>Dodanie przepisu stanowi implementację art. 32 ust 2 dyrektywy 2019/944 zgodnie z którym operatorzy systemów dystrybucyjnych powinny otrzymać odpowiednie wynagrodzenie za udzielanie zamówień na usługi elastyczności.</w:t>
      </w:r>
    </w:p>
    <w:p w14:paraId="57E8DFDF" w14:textId="77777777" w:rsidR="000E63B7" w:rsidRPr="00613198" w:rsidRDefault="000E63B7" w:rsidP="005720B7">
      <w:pPr>
        <w:spacing w:line="360" w:lineRule="auto"/>
        <w:ind w:firstLine="709"/>
        <w:jc w:val="both"/>
        <w:rPr>
          <w:rFonts w:ascii="Times" w:eastAsiaTheme="minorEastAsia" w:hAnsi="Times"/>
          <w:bCs/>
          <w:color w:val="000000" w:themeColor="text1"/>
          <w:sz w:val="24"/>
        </w:rPr>
      </w:pPr>
      <w:r w:rsidRPr="00613198">
        <w:rPr>
          <w:rFonts w:ascii="Times" w:eastAsiaTheme="minorEastAsia" w:hAnsi="Times"/>
          <w:bCs/>
          <w:color w:val="000000" w:themeColor="text1"/>
          <w:sz w:val="24"/>
        </w:rPr>
        <w:t xml:space="preserve">Konsekwencją wprowadzenia powyższej zmiany jest dodanie w art. </w:t>
      </w:r>
      <w:r w:rsidRPr="00613198">
        <w:rPr>
          <w:rFonts w:ascii="Times New Roman" w:hAnsi="Times New Roman" w:cs="Times New Roman"/>
          <w:sz w:val="24"/>
          <w:szCs w:val="24"/>
        </w:rPr>
        <w:t xml:space="preserve">46 w ust. 4 w pkt 5 </w:t>
      </w:r>
      <w:r w:rsidRPr="00613198">
        <w:rPr>
          <w:rFonts w:ascii="Times New Roman" w:hAnsi="Times New Roman" w:cs="Times New Roman"/>
          <w:sz w:val="24"/>
          <w:szCs w:val="24"/>
        </w:rPr>
        <w:lastRenderedPageBreak/>
        <w:t>litery e.</w:t>
      </w:r>
    </w:p>
    <w:p w14:paraId="1BE15CC2" w14:textId="77777777" w:rsidR="00AF4A03" w:rsidRPr="00613198" w:rsidRDefault="0099491C" w:rsidP="00EE35C2">
      <w:pPr>
        <w:pStyle w:val="USTustnpkodeksu"/>
        <w:rPr>
          <w:b/>
        </w:rPr>
      </w:pPr>
      <w:r w:rsidRPr="00613198">
        <w:rPr>
          <w:b/>
        </w:rPr>
        <w:t xml:space="preserve">Ocena wystarczalności </w:t>
      </w:r>
      <w:r w:rsidR="00CC49FB" w:rsidRPr="00613198">
        <w:rPr>
          <w:b/>
        </w:rPr>
        <w:t>zasobów na poziomie krajowym</w:t>
      </w:r>
    </w:p>
    <w:p w14:paraId="2FB043C9" w14:textId="350F7EEA" w:rsidR="0099491C" w:rsidRPr="00613198" w:rsidRDefault="0099491C" w:rsidP="00EE35C2">
      <w:pPr>
        <w:pStyle w:val="USTustnpkodeksu"/>
      </w:pPr>
      <w:r w:rsidRPr="00613198">
        <w:t xml:space="preserve">Zmiana art. 15b jest konieczna w związku ze zniesieniem obowiązku sporządzania co </w:t>
      </w:r>
      <w:r w:rsidR="00CC49FB" w:rsidRPr="00613198">
        <w:t>dwa lata</w:t>
      </w:r>
      <w:r w:rsidRPr="00613198">
        <w:t xml:space="preserve"> sprawozdania z monitorowania bezpieczeństwa dostaw energii elektrycznej</w:t>
      </w:r>
      <w:r w:rsidR="00CC49FB" w:rsidRPr="00613198">
        <w:t xml:space="preserve">, o którym mowa w art. 15b ust. 3 ustawy – </w:t>
      </w:r>
      <w:r w:rsidR="002B4B86" w:rsidRPr="00613198">
        <w:t>P</w:t>
      </w:r>
      <w:r w:rsidR="00CC49FB" w:rsidRPr="00613198">
        <w:t>rawo energetyczne</w:t>
      </w:r>
      <w:r w:rsidRPr="00613198">
        <w:t xml:space="preserve"> i zastąpienia go oceną wystarczalności</w:t>
      </w:r>
      <w:r w:rsidR="00CC49FB" w:rsidRPr="00613198">
        <w:t xml:space="preserve"> zasobów na poziomie krajowym, o której mowa w art. 24 rozporządzenia 2019/943,</w:t>
      </w:r>
      <w:r w:rsidRPr="00613198">
        <w:t xml:space="preserve"> </w:t>
      </w:r>
      <w:r w:rsidR="00CC49FB" w:rsidRPr="00613198">
        <w:t>przy jednoczesnym p</w:t>
      </w:r>
      <w:r w:rsidRPr="00613198">
        <w:t>ozostawieni</w:t>
      </w:r>
      <w:r w:rsidR="00CC49FB" w:rsidRPr="00613198">
        <w:t>u</w:t>
      </w:r>
      <w:r w:rsidRPr="00613198">
        <w:t xml:space="preserve"> obecnej regulacji dla systemu gazowego. Dodany </w:t>
      </w:r>
      <w:r w:rsidR="00CC49FB" w:rsidRPr="00613198">
        <w:t>w art. 15b</w:t>
      </w:r>
      <w:r w:rsidR="00874A5D">
        <w:t>b</w:t>
      </w:r>
      <w:r w:rsidR="00CC49FB" w:rsidRPr="00613198">
        <w:t xml:space="preserve"> </w:t>
      </w:r>
      <w:r w:rsidRPr="00613198">
        <w:t xml:space="preserve">ust. </w:t>
      </w:r>
      <w:r w:rsidR="006814D0" w:rsidRPr="00613198">
        <w:t>1</w:t>
      </w:r>
      <w:r w:rsidRPr="00613198">
        <w:t xml:space="preserve"> wyznacza </w:t>
      </w:r>
      <w:r w:rsidR="00CC49FB" w:rsidRPr="00613198">
        <w:t>operatora systemu przesyłowego elektroenergetycznego jako podmiot</w:t>
      </w:r>
      <w:r w:rsidRPr="00613198">
        <w:t xml:space="preserve"> właściwy do przeprowadzania krajowej oceny wystarczalności, zaś ust. </w:t>
      </w:r>
      <w:r w:rsidR="006814D0" w:rsidRPr="00613198">
        <w:t>2</w:t>
      </w:r>
      <w:r w:rsidRPr="00613198">
        <w:t xml:space="preserve"> ustanawia zasady jej wykonywania, stanowiąc zarazem, że zakres i sposób jej wykonywania odpowiada metodzie europejskiej oceny wystarczalności zasobów stosowanej przez ENTSO-E (metoda bę</w:t>
      </w:r>
      <w:r w:rsidR="00CC49FB" w:rsidRPr="00613198">
        <w:t>dzie implementowana stopniowo). W projekcie ustawy dodano także przepis przejściowy (</w:t>
      </w:r>
      <w:r w:rsidR="00CC49FB" w:rsidRPr="00B7446C">
        <w:t xml:space="preserve">art. </w:t>
      </w:r>
      <w:r w:rsidR="00B7446C" w:rsidRPr="00B7446C">
        <w:t>2</w:t>
      </w:r>
      <w:r w:rsidR="000B3067">
        <w:t>5</w:t>
      </w:r>
      <w:r w:rsidR="0013188A" w:rsidRPr="00B7446C">
        <w:t xml:space="preserve"> </w:t>
      </w:r>
      <w:r w:rsidR="00CC49FB" w:rsidRPr="00B7446C">
        <w:t>projektu</w:t>
      </w:r>
      <w:r w:rsidR="00CC49FB" w:rsidRPr="00613198">
        <w:t>)</w:t>
      </w:r>
      <w:r w:rsidR="000E1C10">
        <w:t>,</w:t>
      </w:r>
      <w:r w:rsidR="00CC49FB" w:rsidRPr="00613198">
        <w:t xml:space="preserve"> zgodnie z którym operator systemu przesyłowego elektroenergetycznego opracuje po raz pierwszy ocenę wystarczalności zasobów na poziomie krajowym w terminie dwóch lat od dnia wejścia w życie metod, o których mowa w art. 23 ust. 5 i 6 rozporządzenia 2019/943.</w:t>
      </w:r>
    </w:p>
    <w:p w14:paraId="18255089" w14:textId="5F7ED2F1" w:rsidR="00FF1729" w:rsidRPr="00613198" w:rsidRDefault="00003F2D" w:rsidP="00003F2D">
      <w:pPr>
        <w:pStyle w:val="USTustnpkodeksu"/>
      </w:pPr>
      <w:r w:rsidRPr="00613198">
        <w:t xml:space="preserve">W związku ze zmianą treści art. 15b, niezbędne było dokonanie zmian w ustawie – </w:t>
      </w:r>
      <w:r w:rsidR="00BF79A7" w:rsidRPr="00613198">
        <w:t>P</w:t>
      </w:r>
      <w:r w:rsidRPr="00613198">
        <w:t>rawo energetyczne</w:t>
      </w:r>
      <w:r w:rsidR="00FF1729" w:rsidRPr="00613198">
        <w:t xml:space="preserve"> </w:t>
      </w:r>
      <w:r w:rsidRPr="00613198">
        <w:t>odnoszących się do sporządzania sprawozdania z monitorowania bezpieczeństwa dostaw energii elektrycz</w:t>
      </w:r>
      <w:r w:rsidR="00E515BA" w:rsidRPr="00613198">
        <w:t xml:space="preserve">nej, tj. </w:t>
      </w:r>
    </w:p>
    <w:p w14:paraId="6A8F5B6D" w14:textId="77777777" w:rsidR="00FF1729" w:rsidRPr="00613198" w:rsidRDefault="00FF1729" w:rsidP="00003F2D">
      <w:pPr>
        <w:pStyle w:val="USTustnpkodeksu"/>
      </w:pPr>
      <w:r w:rsidRPr="00613198">
        <w:t xml:space="preserve">a) </w:t>
      </w:r>
      <w:r w:rsidR="00003F2D" w:rsidRPr="00613198">
        <w:t>uchylenie ust. 9a w art. 9c</w:t>
      </w:r>
      <w:r w:rsidRPr="00613198">
        <w:t>,</w:t>
      </w:r>
    </w:p>
    <w:p w14:paraId="18B365A0" w14:textId="77777777" w:rsidR="00FF1729" w:rsidRPr="00613198" w:rsidRDefault="00FF1729" w:rsidP="00003F2D">
      <w:pPr>
        <w:pStyle w:val="USTustnpkodeksu"/>
      </w:pPr>
      <w:r w:rsidRPr="00613198">
        <w:t xml:space="preserve">b) </w:t>
      </w:r>
      <w:r w:rsidR="00003F2D" w:rsidRPr="00613198">
        <w:t>modyfikacja</w:t>
      </w:r>
      <w:r w:rsidRPr="00613198">
        <w:t xml:space="preserve"> art. 9c</w:t>
      </w:r>
      <w:r w:rsidR="00003F2D" w:rsidRPr="00613198">
        <w:t xml:space="preserve"> ust. 9</w:t>
      </w:r>
      <w:r w:rsidR="000D27D7" w:rsidRPr="00613198">
        <w:t>b</w:t>
      </w:r>
      <w:r w:rsidR="00003F2D" w:rsidRPr="00613198">
        <w:t>, po której użytkownicy systemu nadal powinni przekazywać operatorowi systemu prz</w:t>
      </w:r>
      <w:r w:rsidR="00674AFE" w:rsidRPr="00613198">
        <w:t>esyłowego elektroenergetycznego</w:t>
      </w:r>
      <w:r w:rsidR="00003F2D" w:rsidRPr="00613198">
        <w:t xml:space="preserve"> niezbędne dane, ale na potrzeby sporządzania ocen wystarczalności, a nie informacji dla ministra dotyczących monitorowania bezpieczeństwa dostaw energii</w:t>
      </w:r>
      <w:r w:rsidRPr="00613198">
        <w:t>,</w:t>
      </w:r>
    </w:p>
    <w:p w14:paraId="1F1397A1" w14:textId="098863D9" w:rsidR="00FF1729" w:rsidRPr="00613198" w:rsidRDefault="00B7446C" w:rsidP="00003F2D">
      <w:pPr>
        <w:pStyle w:val="USTustnpkodeksu"/>
      </w:pPr>
      <w:r>
        <w:t>c</w:t>
      </w:r>
      <w:r w:rsidR="00FF1729" w:rsidRPr="00613198">
        <w:t>) uchylenie art. 16a,</w:t>
      </w:r>
      <w:r w:rsidR="00674AFE" w:rsidRPr="00613198">
        <w:t xml:space="preserve"> odwołującego się do sprawozdania z monitorowania bezpieczeństwa dostaw energii elektrycznej,</w:t>
      </w:r>
    </w:p>
    <w:p w14:paraId="4DACCDD5" w14:textId="506B37ED" w:rsidR="0025761D" w:rsidRPr="00613198" w:rsidRDefault="00B7446C" w:rsidP="00003F2D">
      <w:pPr>
        <w:pStyle w:val="USTustnpkodeksu"/>
      </w:pPr>
      <w:r>
        <w:t>d</w:t>
      </w:r>
      <w:r w:rsidR="00FF1729" w:rsidRPr="00613198">
        <w:t>) zmiana art. 23 ust. 2a pkt 2 i ust. 2b, poprzez skreślenie odwołania odnoszącego się do uchylonego art. 15b ust. 3.</w:t>
      </w:r>
    </w:p>
    <w:p w14:paraId="268A8AF7" w14:textId="6B5A7BAA" w:rsidR="0057603E" w:rsidRDefault="009F205C" w:rsidP="00C872DB">
      <w:pPr>
        <w:pStyle w:val="USTustnpkodeksu"/>
      </w:pPr>
      <w:r w:rsidRPr="00613198">
        <w:t xml:space="preserve">Konsekwencją powyższego, jest także dodanie do art. 9c ust. 2 ustawy – </w:t>
      </w:r>
      <w:r w:rsidR="00BF79A7" w:rsidRPr="00613198">
        <w:t>P</w:t>
      </w:r>
      <w:r w:rsidRPr="00613198">
        <w:t xml:space="preserve">rawo energetyczne pkt 16, zgodnie z którym do zadań operatora systemu przesyłowego należy opracowywanie prognoz zapotrzebowania na energię elektryczną i moc w systemie elektroenergetycznym, sporządzanie oceny wystarczalności zasobów na poziomie krajowym oraz przekazywanie </w:t>
      </w:r>
      <w:r w:rsidR="006814D0" w:rsidRPr="00613198">
        <w:t>Europejskiej Sieci Operatorów Systemów Przesyłowych Energii Elektrycznej</w:t>
      </w:r>
      <w:r w:rsidRPr="00613198">
        <w:t>, o któr</w:t>
      </w:r>
      <w:r w:rsidR="006814D0" w:rsidRPr="00613198">
        <w:t>ej</w:t>
      </w:r>
      <w:r w:rsidRPr="00613198">
        <w:t xml:space="preserve"> mowa w art. 28 rozporządzenia 2019/943, danych niezbędnych do </w:t>
      </w:r>
      <w:r w:rsidRPr="00613198">
        <w:lastRenderedPageBreak/>
        <w:t>sporządzenia oceny wystarczalności zasobów na poziomie europejskim zgodnie z rozdziałem IV tego rozporządzenia.</w:t>
      </w:r>
    </w:p>
    <w:p w14:paraId="09472A76" w14:textId="77777777" w:rsidR="00C872DB" w:rsidRPr="00C872DB" w:rsidRDefault="00C872DB" w:rsidP="00C872DB">
      <w:pPr>
        <w:pStyle w:val="USTustnpkodeksu"/>
        <w:rPr>
          <w:sz w:val="10"/>
          <w:szCs w:val="6"/>
        </w:rPr>
      </w:pPr>
    </w:p>
    <w:p w14:paraId="4F62727C" w14:textId="0CF1BBCB" w:rsidR="00521E69" w:rsidRDefault="00761BC8" w:rsidP="00003F2D">
      <w:pPr>
        <w:pStyle w:val="USTustnpkodeksu"/>
        <w:rPr>
          <w:b/>
          <w:bCs w:val="0"/>
        </w:rPr>
      </w:pPr>
      <w:r>
        <w:rPr>
          <w:b/>
          <w:bCs w:val="0"/>
        </w:rPr>
        <w:t>W</w:t>
      </w:r>
      <w:r w:rsidRPr="00761BC8">
        <w:rPr>
          <w:b/>
          <w:bCs w:val="0"/>
        </w:rPr>
        <w:t>ytyczne Prezesa Urzędu Regulacji Energetyki co do kierunku rozwoju sieci i realizacji inwestycji priorytetowych</w:t>
      </w:r>
    </w:p>
    <w:p w14:paraId="18E64EAF" w14:textId="77777777" w:rsidR="00A758E8" w:rsidRDefault="00A758E8" w:rsidP="00A758E8">
      <w:pPr>
        <w:pStyle w:val="USTustnpkodeksu"/>
      </w:pPr>
      <w:r w:rsidRPr="0057603E">
        <w:t>Celem proponowanych zmian jest zwiększenie skuteczności regulacyjnej w obszarze</w:t>
      </w:r>
      <w:r w:rsidRPr="008959BF">
        <w:t xml:space="preserve"> </w:t>
      </w:r>
      <w:r w:rsidRPr="00E06314">
        <w:t>realiz</w:t>
      </w:r>
      <w:r w:rsidRPr="00C75112">
        <w:t>acj</w:t>
      </w:r>
      <w:r w:rsidRPr="00B830C8">
        <w:t>i</w:t>
      </w:r>
      <w:r w:rsidRPr="00482750">
        <w:t xml:space="preserve"> planów rozwoju, polegające na realizowaniu</w:t>
      </w:r>
      <w:r w:rsidRPr="00482750">
        <w:rPr>
          <w:spacing w:val="-23"/>
        </w:rPr>
        <w:t xml:space="preserve"> </w:t>
      </w:r>
      <w:r w:rsidRPr="00482750">
        <w:t xml:space="preserve">celów </w:t>
      </w:r>
      <w:r w:rsidRPr="0057603E">
        <w:t xml:space="preserve">ważnych z punktu widzenia polityki </w:t>
      </w:r>
      <w:r>
        <w:t>p</w:t>
      </w:r>
      <w:r w:rsidRPr="0057603E">
        <w:t xml:space="preserve">aństwa i </w:t>
      </w:r>
      <w:r>
        <w:t>r</w:t>
      </w:r>
      <w:r w:rsidRPr="0057603E">
        <w:t>egulatora</w:t>
      </w:r>
      <w:r>
        <w:t>.</w:t>
      </w:r>
    </w:p>
    <w:p w14:paraId="05715D34" w14:textId="566559FA" w:rsidR="00761BC8" w:rsidRDefault="00A758E8" w:rsidP="00A758E8">
      <w:pPr>
        <w:pStyle w:val="USTustnpkodeksu"/>
        <w:rPr>
          <w:b/>
          <w:bCs w:val="0"/>
        </w:rPr>
      </w:pPr>
      <w:r>
        <w:t>Do zadań Prezesa URE proponuje się dodanie zadania, polegającego na opracowywaniu</w:t>
      </w:r>
    </w:p>
    <w:p w14:paraId="11170C1F" w14:textId="18462CA6" w:rsidR="00CC53B5" w:rsidRDefault="000C413F" w:rsidP="00A758E8">
      <w:pPr>
        <w:pStyle w:val="USTustnpkodeksu"/>
        <w:ind w:firstLine="0"/>
      </w:pPr>
      <w:r>
        <w:t xml:space="preserve">wytycznych </w:t>
      </w:r>
      <w:r w:rsidRPr="000C413F">
        <w:t>co do kierunku rozwoju sieci i realizacji inwestycji priorytetowych</w:t>
      </w:r>
      <w:r>
        <w:t>,</w:t>
      </w:r>
      <w:r w:rsidR="005323FC">
        <w:t xml:space="preserve"> </w:t>
      </w:r>
      <w:r>
        <w:t>które mają zostać uwzględnione w planach rozwoju sieci</w:t>
      </w:r>
      <w:r w:rsidR="00B03528">
        <w:t>, aby</w:t>
      </w:r>
      <w:r w:rsidR="00B03528" w:rsidRPr="00B03528">
        <w:t xml:space="preserve"> </w:t>
      </w:r>
      <w:r w:rsidR="00B03528">
        <w:t>na poziomie krajowym zapewnion</w:t>
      </w:r>
      <w:r w:rsidR="00831D5F">
        <w:t>y</w:t>
      </w:r>
      <w:r w:rsidR="00B03528">
        <w:t xml:space="preserve"> był ich spójn</w:t>
      </w:r>
      <w:r w:rsidR="00831D5F">
        <w:t>y, systematyczny i skoordynowany</w:t>
      </w:r>
      <w:r w:rsidR="00B03528">
        <w:t xml:space="preserve"> rozwój w pożądanych kierunkach</w:t>
      </w:r>
      <w:r>
        <w:t xml:space="preserve">. </w:t>
      </w:r>
      <w:r w:rsidR="005323FC">
        <w:t>Proponowane rozwiązanie opiera się na szerszym umożliwieniu Prezesowi URE oddziaływania na plany rozwoju sieci oraz umożliwieni</w:t>
      </w:r>
      <w:r w:rsidR="0057603E">
        <w:t>u</w:t>
      </w:r>
      <w:r w:rsidR="005323FC">
        <w:t xml:space="preserve"> nagradzania za realizację poszczególnych inwestycji, z wyznaczonymi kamieniami milowymi ich realizacji</w:t>
      </w:r>
      <w:r w:rsidR="00CC53B5">
        <w:t>, połączon</w:t>
      </w:r>
      <w:r w:rsidR="00B03528">
        <w:t>e</w:t>
      </w:r>
      <w:r w:rsidR="00CC53B5">
        <w:t xml:space="preserve"> z obowiązkiem sprawozdawczym. </w:t>
      </w:r>
      <w:r w:rsidR="002754C2">
        <w:t xml:space="preserve">Dodano ust. 1a w art. 16 wskazując, że przedsiębiorstwo energetyczne </w:t>
      </w:r>
      <w:r w:rsidR="002754C2" w:rsidRPr="002754C2">
        <w:t xml:space="preserve">zajmujące się przesyłaniem lub dystrybucją paliw gazowych lub energii może uwzględnić wytyczne Prezesa </w:t>
      </w:r>
      <w:r w:rsidR="002754C2">
        <w:t>URE</w:t>
      </w:r>
      <w:r w:rsidR="002754C2" w:rsidRPr="002754C2">
        <w:t xml:space="preserve"> co do kierunku rozwoju sieci i realizacji inwestycji priorytetowych</w:t>
      </w:r>
      <w:r w:rsidR="002754C2">
        <w:t>. Należy podkreślić, że r</w:t>
      </w:r>
      <w:r w:rsidR="00712A8A" w:rsidRPr="00712A8A">
        <w:t>ealizacja wytycznych Prezesa URE co do inwestycji priorytetowych ma charakter fakultatywny i jest połączona z systemem wynagradzania, którego celem jest zachęta przedsiębiorstw do ich realizacji.</w:t>
      </w:r>
    </w:p>
    <w:p w14:paraId="785C2207" w14:textId="58F61B37" w:rsidR="00521E69" w:rsidRDefault="00521E69" w:rsidP="00003F2D">
      <w:pPr>
        <w:pStyle w:val="USTustnpkodeksu"/>
      </w:pPr>
      <w:r>
        <w:t>a) zmiany w art. 9d – Prawo energetyczne</w:t>
      </w:r>
    </w:p>
    <w:p w14:paraId="747EE3E5" w14:textId="3C4D4C80" w:rsidR="00521E69" w:rsidRDefault="00521E69" w:rsidP="00003F2D">
      <w:pPr>
        <w:pStyle w:val="USTustnpkodeksu"/>
      </w:pPr>
      <w:r>
        <w:t>Proponowan</w:t>
      </w:r>
      <w:r w:rsidR="00A20761">
        <w:t>a</w:t>
      </w:r>
      <w:r>
        <w:t xml:space="preserve"> zmiana brzmienia art. 9d ust. </w:t>
      </w:r>
      <w:r w:rsidRPr="00521E69">
        <w:t>1e pkt 4</w:t>
      </w:r>
      <w:r>
        <w:t xml:space="preserve"> ma na celu </w:t>
      </w:r>
      <w:r w:rsidR="00A20761">
        <w:t xml:space="preserve">rozszerzenie </w:t>
      </w:r>
      <w:r>
        <w:t>ograniczeni</w:t>
      </w:r>
      <w:r w:rsidR="00A20761">
        <w:t>a</w:t>
      </w:r>
      <w:r>
        <w:t xml:space="preserve"> </w:t>
      </w:r>
      <w:r w:rsidR="00A20761">
        <w:t>możliwości podejmowania decyzji przez</w:t>
      </w:r>
      <w:r>
        <w:t xml:space="preserve"> organ </w:t>
      </w:r>
      <w:r w:rsidR="00950C37">
        <w:t xml:space="preserve">przedsiębiorstwa zintegrowanego pionowo </w:t>
      </w:r>
      <w:r w:rsidR="00A20761">
        <w:t xml:space="preserve">wobec operatora systemu dystrybucyjnego także odnośnie </w:t>
      </w:r>
      <w:r w:rsidR="00A20761" w:rsidRPr="00A20761">
        <w:t xml:space="preserve">budowy sieci lub jej modernizacji, przy zagwarantowaniu środków na rea1izację wytycznych </w:t>
      </w:r>
      <w:r w:rsidR="00CD3E3E" w:rsidRPr="00A20761">
        <w:t>Prezesa URE</w:t>
      </w:r>
      <w:r w:rsidR="00CD3E3E" w:rsidRPr="000C413F">
        <w:t xml:space="preserve"> co do kierunku rozwoju sieci i realizacji inwestycji priorytetowych</w:t>
      </w:r>
      <w:r w:rsidR="000C413F">
        <w:t xml:space="preserve">, o których mowa w art. 16 ust. </w:t>
      </w:r>
      <w:r w:rsidR="00EF625D">
        <w:t>1a</w:t>
      </w:r>
      <w:r w:rsidR="000C413F">
        <w:t>.</w:t>
      </w:r>
      <w:r w:rsidR="00712A8A">
        <w:t xml:space="preserve"> </w:t>
      </w:r>
      <w:r w:rsidR="00712A8A" w:rsidRPr="00712A8A">
        <w:t>Celem przepisu jest uniknięcie wątpliwości interpretacyjnych i ograniczenia możliwości podejmowania decyzji przez organ przedsiębiorstwa zintegrowanego pionowo wobec operatora systemu dystrybucyjnego także odnośnie budowy sieci lub jej modernizacji, przy zagwarantowaniu środków na rea1izację wytycznych Prezesa URE</w:t>
      </w:r>
      <w:r w:rsidR="00712A8A">
        <w:t xml:space="preserve"> </w:t>
      </w:r>
      <w:r w:rsidR="00712A8A" w:rsidRPr="00712A8A">
        <w:t>co do oczekiwanego kierunku rozwoju sieci i realizacji inwestycji priorytetowych</w:t>
      </w:r>
      <w:r w:rsidR="00712A8A">
        <w:t xml:space="preserve">. </w:t>
      </w:r>
    </w:p>
    <w:p w14:paraId="0485687F" w14:textId="7FDCD4F2" w:rsidR="00521E69" w:rsidRDefault="00A20761" w:rsidP="00421865">
      <w:pPr>
        <w:pStyle w:val="USTustnpkodeksu"/>
      </w:pPr>
      <w:r>
        <w:t>b) zmiany w art. 16 – Prawo energetyczne</w:t>
      </w:r>
      <w:r w:rsidR="00CD3E3E">
        <w:t xml:space="preserve"> </w:t>
      </w:r>
    </w:p>
    <w:p w14:paraId="13C596D6" w14:textId="529FE776" w:rsidR="00A758E8" w:rsidRDefault="00A758E8" w:rsidP="00A758E8">
      <w:pPr>
        <w:pStyle w:val="USTustnpkodeksu"/>
      </w:pPr>
      <w:r>
        <w:lastRenderedPageBreak/>
        <w:t xml:space="preserve">Proponowane dodanie </w:t>
      </w:r>
      <w:r w:rsidR="00A4202A">
        <w:t>ust. 1a</w:t>
      </w:r>
      <w:r>
        <w:t xml:space="preserve"> ma na celu wprowadzenie </w:t>
      </w:r>
      <w:r w:rsidR="00A4202A">
        <w:t xml:space="preserve">możliwości </w:t>
      </w:r>
      <w:r>
        <w:t>uwzględniania w planach rozwoju p</w:t>
      </w:r>
      <w:r w:rsidRPr="00421865">
        <w:t>rzedsiębiorstw</w:t>
      </w:r>
      <w:r>
        <w:t>a</w:t>
      </w:r>
      <w:r w:rsidRPr="00421865">
        <w:t xml:space="preserve"> energetyczne</w:t>
      </w:r>
      <w:r>
        <w:t>go</w:t>
      </w:r>
      <w:r w:rsidRPr="00421865">
        <w:t xml:space="preserve"> zajmujące</w:t>
      </w:r>
      <w:r>
        <w:t>go</w:t>
      </w:r>
      <w:r w:rsidRPr="00421865">
        <w:t xml:space="preserve"> się przesyłaniem lub dystrybucją paliw gazowych lub energii,</w:t>
      </w:r>
      <w:r>
        <w:t xml:space="preserve"> </w:t>
      </w:r>
      <w:r w:rsidRPr="00421865">
        <w:t>wytyczn</w:t>
      </w:r>
      <w:r>
        <w:t>ych</w:t>
      </w:r>
      <w:r w:rsidRPr="00421865">
        <w:t xml:space="preserve"> Prezesa Urzędu Regulacji Energetyki co do kierunku rozwoju sieci i realizacji inwestycji priorytetowych</w:t>
      </w:r>
      <w:r>
        <w:t>.</w:t>
      </w:r>
    </w:p>
    <w:p w14:paraId="1E38537B" w14:textId="5B7F76B4" w:rsidR="00A758E8" w:rsidRDefault="00A758E8" w:rsidP="00A758E8">
      <w:pPr>
        <w:pStyle w:val="USTustnpkodeksu"/>
      </w:pPr>
      <w:r>
        <w:t xml:space="preserve">Proponowane zmiany brzmienia ust. 7 pkt 5-7 dotyczą zagadnień objętych planami rozwoju i doprecyzowują co powinien </w:t>
      </w:r>
      <w:r w:rsidR="00D77A43">
        <w:t xml:space="preserve">on </w:t>
      </w:r>
      <w:r>
        <w:t xml:space="preserve">zawierać: przewidywany sposób finansowania inwestycji, </w:t>
      </w:r>
      <w:r w:rsidRPr="00C30526">
        <w:t>przewidywane przychody niezbędne do realizacji planów</w:t>
      </w:r>
      <w:r>
        <w:t xml:space="preserve"> oraz </w:t>
      </w:r>
      <w:r w:rsidRPr="00BB7B37">
        <w:t>planowany harmonogram rzeczowo-finansowy inwestycji</w:t>
      </w:r>
      <w:r>
        <w:t xml:space="preserve">. </w:t>
      </w:r>
    </w:p>
    <w:p w14:paraId="55E239F4" w14:textId="43F9B341" w:rsidR="00A758E8" w:rsidRDefault="00A758E8" w:rsidP="00D77A43">
      <w:pPr>
        <w:pStyle w:val="USTustnpkodeksu"/>
      </w:pPr>
      <w:r>
        <w:t xml:space="preserve">Ponadto w ust. 7 dodaje się pkt </w:t>
      </w:r>
      <w:r w:rsidR="00A64CBA">
        <w:t>9</w:t>
      </w:r>
      <w:r>
        <w:t xml:space="preserve">, który przewiduje uwzględnianie w planach rozwoju </w:t>
      </w:r>
      <w:r w:rsidRPr="00BB7B37">
        <w:t>cel</w:t>
      </w:r>
      <w:r>
        <w:t>ów</w:t>
      </w:r>
      <w:r w:rsidRPr="00BB7B37">
        <w:t xml:space="preserve"> oraz przewidywan</w:t>
      </w:r>
      <w:r>
        <w:t>ych</w:t>
      </w:r>
      <w:r w:rsidRPr="00BB7B37">
        <w:t xml:space="preserve"> efekt</w:t>
      </w:r>
      <w:r>
        <w:t>ów</w:t>
      </w:r>
      <w:r w:rsidRPr="00BB7B37">
        <w:t xml:space="preserve"> przedsięwzięć</w:t>
      </w:r>
      <w:r>
        <w:t xml:space="preserve">. </w:t>
      </w:r>
    </w:p>
    <w:p w14:paraId="221B1A1E" w14:textId="77777777" w:rsidR="00712A8A" w:rsidRDefault="00A758E8" w:rsidP="00712A8A">
      <w:pPr>
        <w:pStyle w:val="USTustnpkodeksu"/>
      </w:pPr>
      <w:r>
        <w:t xml:space="preserve">Proponowana zmiana brzmienia ust. 13 pkt 2 ma na celu rozszerzenie wyjątku od konieczności konsultacji projektu planu na przedsiębiorstwa energetyczne zajmujące się przesyłaniem lub dystrybucją z mniej niż 100 odbiorców do 300 odbiorców, którym przedsiębiorstwo to dostarcza rocznie łącznie mniej niż 150 </w:t>
      </w:r>
      <w:proofErr w:type="spellStart"/>
      <w:r>
        <w:t>GWh</w:t>
      </w:r>
      <w:proofErr w:type="spellEnd"/>
      <w:r>
        <w:t xml:space="preserve"> tej energii, w miejsce dotychczasowych 50 </w:t>
      </w:r>
      <w:proofErr w:type="spellStart"/>
      <w:r w:rsidRPr="00442C14">
        <w:t>GWh</w:t>
      </w:r>
      <w:proofErr w:type="spellEnd"/>
      <w:r>
        <w:t xml:space="preserve">. </w:t>
      </w:r>
    </w:p>
    <w:p w14:paraId="1C50BBE8" w14:textId="2613BC08" w:rsidR="00712A8A" w:rsidRDefault="00712A8A" w:rsidP="00712A8A">
      <w:pPr>
        <w:pStyle w:val="USTustnpkodeksu"/>
      </w:pPr>
      <w:r>
        <w:t>Ponadto, w ust. 15 konsultacjami planu objęto także operatora systemu dystrybucyjnego gazowego. Powyższe podyktowane jest specyfiką rynku gazowego</w:t>
      </w:r>
      <w:r w:rsidRPr="007A600A">
        <w:t xml:space="preserve"> </w:t>
      </w:r>
      <w:r>
        <w:t>oraz potrzebą z</w:t>
      </w:r>
      <w:r w:rsidRPr="007A600A">
        <w:t>większeni</w:t>
      </w:r>
      <w:r>
        <w:t>a</w:t>
      </w:r>
      <w:r w:rsidRPr="007A600A">
        <w:t xml:space="preserve"> transparentności </w:t>
      </w:r>
      <w:r>
        <w:t>rozwoju</w:t>
      </w:r>
      <w:r w:rsidRPr="007A600A">
        <w:t xml:space="preserve"> </w:t>
      </w:r>
      <w:r>
        <w:t>operatora systemu dystrybucyjnego gazowego</w:t>
      </w:r>
      <w:r w:rsidRPr="007A600A">
        <w:t xml:space="preserve"> ze względu na zakres </w:t>
      </w:r>
      <w:r>
        <w:t xml:space="preserve">jego </w:t>
      </w:r>
      <w:r w:rsidRPr="007A600A">
        <w:t>inwestycji</w:t>
      </w:r>
      <w:r w:rsidR="00EF625D">
        <w:t xml:space="preserve"> </w:t>
      </w:r>
      <w:r w:rsidR="00EF625D" w:rsidRPr="007A600A">
        <w:t>oddziałowując</w:t>
      </w:r>
      <w:r w:rsidR="00EF625D">
        <w:t>y</w:t>
      </w:r>
      <w:r>
        <w:t xml:space="preserve"> </w:t>
      </w:r>
      <w:r w:rsidRPr="007A600A">
        <w:t>na odbiorców gazu na ternie kraju</w:t>
      </w:r>
      <w:r>
        <w:t>.</w:t>
      </w:r>
    </w:p>
    <w:p w14:paraId="2A89B57F" w14:textId="68230C7A" w:rsidR="006F026E" w:rsidRDefault="006F026E" w:rsidP="00BB7B37">
      <w:pPr>
        <w:pStyle w:val="USTustnpkodeksu"/>
      </w:pPr>
      <w:r>
        <w:t xml:space="preserve">Proponuje się dodanie ust. 18a, </w:t>
      </w:r>
      <w:r w:rsidR="00C872DB">
        <w:t>co</w:t>
      </w:r>
      <w:r>
        <w:t xml:space="preserve"> ma na celu nałożenie na przedsiębiorstwa energetyczne, </w:t>
      </w:r>
      <w:r w:rsidR="00D77A43">
        <w:t>stosujące</w:t>
      </w:r>
      <w:r>
        <w:t xml:space="preserve"> wytyczn</w:t>
      </w:r>
      <w:r w:rsidR="00D77A43">
        <w:t>e</w:t>
      </w:r>
      <w:r>
        <w:t xml:space="preserve"> Prezesa URE </w:t>
      </w:r>
      <w:r w:rsidRPr="006F026E">
        <w:t>co do kierunku rozwoju sieci i realizacji inwestycji priorytetowych</w:t>
      </w:r>
      <w:r>
        <w:t xml:space="preserve"> oraz korzystają</w:t>
      </w:r>
      <w:r w:rsidR="00D77A43">
        <w:t>ce</w:t>
      </w:r>
      <w:r>
        <w:t xml:space="preserve"> z przyznanych z tego tytułu środków</w:t>
      </w:r>
      <w:r w:rsidR="00831D5F">
        <w:t>,</w:t>
      </w:r>
      <w:r>
        <w:t xml:space="preserve"> obowiązku sprawozdawczego w zakresie stanu zrealizowania harmonogramu rzeczowo – finansowego</w:t>
      </w:r>
      <w:r w:rsidR="00871662">
        <w:t>, w przypadku zakończenia inwestycji – odpowiedniego oświadczenia w tym zakresie, a</w:t>
      </w:r>
      <w:r>
        <w:t xml:space="preserve"> </w:t>
      </w:r>
      <w:r w:rsidR="00871662">
        <w:t xml:space="preserve">także dokumentów </w:t>
      </w:r>
      <w:r w:rsidR="00871662" w:rsidRPr="00871662">
        <w:t>potwierdzając</w:t>
      </w:r>
      <w:r w:rsidR="00871662">
        <w:t>ych</w:t>
      </w:r>
      <w:r w:rsidR="00871662" w:rsidRPr="00871662">
        <w:t xml:space="preserve"> </w:t>
      </w:r>
      <w:r w:rsidR="0039038D">
        <w:t xml:space="preserve">jego </w:t>
      </w:r>
      <w:r w:rsidR="00871662" w:rsidRPr="00871662">
        <w:t>realizację</w:t>
      </w:r>
      <w:r w:rsidR="00871662">
        <w:t xml:space="preserve">. </w:t>
      </w:r>
      <w:r w:rsidR="00E03615">
        <w:t>Aby nie nakładać nadmiernych obciążeń administracyjnych, p</w:t>
      </w:r>
      <w:r w:rsidR="00871662">
        <w:t xml:space="preserve">roponowane </w:t>
      </w:r>
      <w:r w:rsidR="00E03615">
        <w:t xml:space="preserve">jest </w:t>
      </w:r>
      <w:r w:rsidR="00871662">
        <w:t xml:space="preserve">rozszerzenie </w:t>
      </w:r>
      <w:r w:rsidR="00E03615">
        <w:t xml:space="preserve">już składanych, na podstawie ust. 18, </w:t>
      </w:r>
      <w:r w:rsidR="00871662">
        <w:t xml:space="preserve">sprawozdań przedsiębiorstw energetycznych </w:t>
      </w:r>
      <w:r w:rsidR="00E03615">
        <w:t xml:space="preserve">o wskazane informacje dot. realizacji inwestycji </w:t>
      </w:r>
      <w:r w:rsidR="00712A8A">
        <w:t xml:space="preserve">priorytetowych </w:t>
      </w:r>
      <w:r w:rsidR="00E03615">
        <w:t>wynikających z wytycznych Prezesa URE.</w:t>
      </w:r>
    </w:p>
    <w:p w14:paraId="34E6CF3B" w14:textId="7B9FA187" w:rsidR="00E03615" w:rsidRDefault="00E03615" w:rsidP="00BB7B37">
      <w:pPr>
        <w:pStyle w:val="USTustnpkodeksu"/>
      </w:pPr>
      <w:r>
        <w:t>Dodatnie ust. 18</w:t>
      </w:r>
      <w:r w:rsidR="000A704B">
        <w:t>d</w:t>
      </w:r>
      <w:r>
        <w:t xml:space="preserve"> ma na celu wskazanie terminu rozliczenia harmonogramu rzeczowo-finansowego</w:t>
      </w:r>
      <w:r w:rsidR="008959BF">
        <w:t>,</w:t>
      </w:r>
      <w:r>
        <w:t xml:space="preserve"> a także określenie minimalnego </w:t>
      </w:r>
      <w:r w:rsidRPr="00E03615">
        <w:t>stan</w:t>
      </w:r>
      <w:r>
        <w:t>u jego</w:t>
      </w:r>
      <w:r w:rsidRPr="00E03615">
        <w:t xml:space="preserve"> </w:t>
      </w:r>
      <w:r w:rsidR="0039038D">
        <w:t>realizacji</w:t>
      </w:r>
      <w:r w:rsidRPr="00E03615">
        <w:t>, w każdym okresie sprawozdawczym</w:t>
      </w:r>
      <w:r>
        <w:t xml:space="preserve"> na </w:t>
      </w:r>
      <w:r w:rsidR="0039038D">
        <w:t xml:space="preserve">poziomie </w:t>
      </w:r>
      <w:r w:rsidRPr="00E03615">
        <w:t>85%</w:t>
      </w:r>
      <w:r>
        <w:t xml:space="preserve">. </w:t>
      </w:r>
    </w:p>
    <w:p w14:paraId="06998523" w14:textId="6EE93186" w:rsidR="00A758E8" w:rsidRDefault="00A758E8" w:rsidP="00A758E8">
      <w:pPr>
        <w:pStyle w:val="USTustnpkodeksu"/>
      </w:pPr>
      <w:r>
        <w:t>Dodanie art. 18</w:t>
      </w:r>
      <w:r w:rsidR="000A704B">
        <w:t>e</w:t>
      </w:r>
      <w:r>
        <w:t xml:space="preserve"> wprowadza możliwość przedłużenia terminu na wykonanie harmonogramu rzeczowo-finansowego inwestycji w uzasadnionych przypadkach, które wynikają z przyczyn niezależnych od przedsiębiorstwa energetycznego. Proponowane </w:t>
      </w:r>
      <w:r>
        <w:lastRenderedPageBreak/>
        <w:t xml:space="preserve">rozwiązanie pozwoli na ochronę przedsiębiorstw energetycznych od konsekwencji niewykonania w terminie zamierzonych inwestycji, spowodowanego przyczynami od nich niezależnymi, takimi jak m.in. siła wyższa, stan nadzwyczajny czy przedłużające się  postępowania administracyjne. </w:t>
      </w:r>
    </w:p>
    <w:p w14:paraId="78F5FD8F" w14:textId="1B7F5C60" w:rsidR="00E532E4" w:rsidRDefault="00E532E4" w:rsidP="00DF0E36">
      <w:pPr>
        <w:pStyle w:val="USTustnpkodeksu"/>
      </w:pPr>
      <w:r>
        <w:t xml:space="preserve">c) zmiany w art. 23 </w:t>
      </w:r>
    </w:p>
    <w:p w14:paraId="7AA3D750" w14:textId="6D313F3A" w:rsidR="00E532E4" w:rsidRDefault="00D77A43" w:rsidP="00A4202A">
      <w:pPr>
        <w:pStyle w:val="USTustnpkodeksu"/>
      </w:pPr>
      <w:r>
        <w:t>D</w:t>
      </w:r>
      <w:r w:rsidR="00E532E4">
        <w:t>odanie do ust. 2 pkt 3 lit</w:t>
      </w:r>
      <w:r w:rsidR="007C7B06">
        <w:t>.</w:t>
      </w:r>
      <w:r w:rsidR="00E532E4">
        <w:t xml:space="preserve"> g </w:t>
      </w:r>
      <w:r>
        <w:t>i</w:t>
      </w:r>
      <w:r w:rsidR="00E532E4">
        <w:t xml:space="preserve"> h </w:t>
      </w:r>
      <w:r w:rsidR="000413BC">
        <w:t>rozszerza</w:t>
      </w:r>
      <w:r w:rsidR="00E532E4">
        <w:t xml:space="preserve"> zakres działania Prezesa URE poprzez wprowadzenie uprawnienia do ustalenia </w:t>
      </w:r>
      <w:r w:rsidR="00E532E4" w:rsidRPr="00E532E4">
        <w:t>uzasadnionej stopy zwrotu z kapitału zaangażowanego w realizację zadań określonych w wytycznych Prezesa URE</w:t>
      </w:r>
      <w:r w:rsidR="00E532E4">
        <w:t xml:space="preserve"> </w:t>
      </w:r>
      <w:r w:rsidR="000413BC" w:rsidRPr="006F026E">
        <w:t>co do kierunku rozwoju sieci i realizacji inwestycji priorytetowych</w:t>
      </w:r>
      <w:r w:rsidR="000413BC">
        <w:t xml:space="preserve"> </w:t>
      </w:r>
      <w:r w:rsidR="00E532E4">
        <w:t xml:space="preserve">oraz </w:t>
      </w:r>
      <w:r w:rsidR="000413BC" w:rsidRPr="000413BC">
        <w:t xml:space="preserve">uzasadnionej stopy zwrotu z wkładu własnego niezbędnego do pozyskania finansowania zadań </w:t>
      </w:r>
      <w:r w:rsidR="00EF625D">
        <w:t xml:space="preserve">przyznaną </w:t>
      </w:r>
      <w:r w:rsidR="000413BC" w:rsidRPr="000413BC">
        <w:t xml:space="preserve">subwencją, dotacją, pożyczką bezzwrotną </w:t>
      </w:r>
      <w:r w:rsidR="00EF625D" w:rsidRPr="00EF625D">
        <w:t>lub wsparciem w innej formie z krajowych, unijnych lub międzynarodowych funduszy lub programów</w:t>
      </w:r>
      <w:r w:rsidR="000413BC">
        <w:t>. Proponowana zmiana ma na celu nadanie Prezesowi URE uprawnienia w zakresie formułowania przedmiotowych stop wzrostu, które pełnią istotną</w:t>
      </w:r>
      <w:r w:rsidR="008959BF">
        <w:t>,</w:t>
      </w:r>
      <w:r w:rsidR="000413BC">
        <w:t xml:space="preserve"> motywującą rolę we wprowadzanym systemie wpływu na kształtowanie i realizację planów rozwoju sieci.</w:t>
      </w:r>
      <w:r w:rsidR="00A4202A">
        <w:t xml:space="preserve"> </w:t>
      </w:r>
      <w:r w:rsidR="00C02F01">
        <w:t xml:space="preserve">Dzięki wprowadzeniu możliwości wynagradzania za realizację inwestycji priorytetowych przewiduje się, że będzie to zachętą dla przedsiębiorstw energetycznych do podjęcia decyzji o ich realizacji, co w konsekwencji wpłynie pozytywnie na ogólnokrajowy spójny rozwój sieci. </w:t>
      </w:r>
      <w:r w:rsidR="00A4202A">
        <w:t>Należy także wskazać, że przewiduje się, że wpływ na taryfy będzie neutralny, gdyż projektowana regulacja ma na celu wprowadzenie możliwości</w:t>
      </w:r>
      <w:r w:rsidR="00C02F01">
        <w:t xml:space="preserve"> wynagradzania za realizację</w:t>
      </w:r>
      <w:r w:rsidR="00A4202A">
        <w:t xml:space="preserve"> inwestycji priorytetowych</w:t>
      </w:r>
      <w:r w:rsidR="00C02F01">
        <w:t>, zgodnie z wytycznymi Prezesa URE. Co więcej, n</w:t>
      </w:r>
      <w:r w:rsidR="003071F7">
        <w:t>ie zdecydowano się na określenie maksymalnej wysokości stopy zwrotu, z uwagi na fakt, że w</w:t>
      </w:r>
      <w:r w:rsidR="00A4202A">
        <w:t xml:space="preserve">prowadzenie </w:t>
      </w:r>
      <w:r w:rsidR="003071F7">
        <w:t>jej sztywnego określenia spowodowałoby</w:t>
      </w:r>
      <w:r w:rsidR="00A4202A">
        <w:t xml:space="preserve"> brak możliwości oceny regulacyjnej projektowanego rozwiązania ani elastycznego reagowania w zależności jakie są kierunki pozyskiwanego finansowania i zakres realizowanych inwestycji</w:t>
      </w:r>
      <w:r w:rsidR="003071F7">
        <w:t xml:space="preserve"> priorytetowych</w:t>
      </w:r>
      <w:r w:rsidR="00A4202A">
        <w:t xml:space="preserve">. </w:t>
      </w:r>
      <w:r w:rsidR="000413BC">
        <w:t xml:space="preserve"> </w:t>
      </w:r>
      <w:r w:rsidR="00C02F01">
        <w:t>Ponadto, przewiduje się, że długofalowo</w:t>
      </w:r>
      <w:r w:rsidR="00C02F01" w:rsidRPr="00C02F01">
        <w:t xml:space="preserve"> rozwój sieci</w:t>
      </w:r>
      <w:r w:rsidR="00C02F01">
        <w:t>, w szczególności w obszarach uznanych przez regulatora za priorytetowe z punktu widzenia kraju,</w:t>
      </w:r>
      <w:r w:rsidR="00C02F01" w:rsidRPr="00C02F01">
        <w:t xml:space="preserve"> może generować oszczędności</w:t>
      </w:r>
      <w:r w:rsidR="00C02F01">
        <w:t>, dzięki</w:t>
      </w:r>
      <w:r w:rsidR="00C02F01" w:rsidRPr="00C02F01">
        <w:t xml:space="preserve"> zwiększ</w:t>
      </w:r>
      <w:r w:rsidR="00C02F01">
        <w:t>eniu</w:t>
      </w:r>
      <w:r w:rsidR="00C02F01" w:rsidRPr="00C02F01">
        <w:t xml:space="preserve"> liczb</w:t>
      </w:r>
      <w:r w:rsidR="00C02F01">
        <w:t>y</w:t>
      </w:r>
      <w:r w:rsidR="00C02F01" w:rsidRPr="00C02F01">
        <w:t xml:space="preserve"> odbiorców przyłączonych do sieci.</w:t>
      </w:r>
    </w:p>
    <w:p w14:paraId="5106B464" w14:textId="155373D5" w:rsidR="00CB47AC" w:rsidRDefault="007A1E23" w:rsidP="00E532E4">
      <w:pPr>
        <w:pStyle w:val="USTustnpkodeksu"/>
      </w:pPr>
      <w:r>
        <w:t>P</w:t>
      </w:r>
      <w:r w:rsidR="000413BC">
        <w:t>roponuje się dodanie</w:t>
      </w:r>
      <w:r w:rsidR="007C238C">
        <w:t xml:space="preserve"> pkt</w:t>
      </w:r>
      <w:r w:rsidR="000413BC">
        <w:t xml:space="preserve"> 3a, </w:t>
      </w:r>
      <w:r w:rsidR="00CB47AC">
        <w:t>który na</w:t>
      </w:r>
      <w:r w:rsidR="008959BF">
        <w:t>kłada</w:t>
      </w:r>
      <w:r w:rsidR="00CB47AC">
        <w:t xml:space="preserve"> na Prezesa URE obowiąz</w:t>
      </w:r>
      <w:r w:rsidR="008959BF">
        <w:t>ek</w:t>
      </w:r>
      <w:r w:rsidR="00CB47AC">
        <w:t xml:space="preserve"> opracowywania i publikacji w Biuletynie Urzędu Regulacji i Energetyki wytycznych </w:t>
      </w:r>
      <w:r w:rsidR="00CB47AC" w:rsidRPr="00CB47AC">
        <w:t>co do kierunku rozwoju sieci i realizacji inwestycji priorytetowych oraz wytycznych i zaleceń zapewniających jednolitą formę planów</w:t>
      </w:r>
      <w:r w:rsidR="00CB47AC">
        <w:t>. Powyższe ma na celu zapewnienie systematycznego</w:t>
      </w:r>
      <w:r w:rsidR="0039038D">
        <w:t xml:space="preserve"> i</w:t>
      </w:r>
      <w:r w:rsidR="00CB47AC">
        <w:t xml:space="preserve"> transparentnego </w:t>
      </w:r>
      <w:r w:rsidR="0039038D">
        <w:t>dostępu</w:t>
      </w:r>
      <w:r w:rsidR="00CB47AC">
        <w:t xml:space="preserve"> do wytycznych </w:t>
      </w:r>
      <w:r w:rsidR="00CB47AC" w:rsidRPr="00CB47AC">
        <w:t>co do kierunku rozwoju sieci i realizacji inwestycji priorytetowych</w:t>
      </w:r>
      <w:r w:rsidR="008959BF">
        <w:t>.</w:t>
      </w:r>
      <w:r w:rsidR="00CB47AC">
        <w:t xml:space="preserve"> </w:t>
      </w:r>
    </w:p>
    <w:p w14:paraId="5E22AE17" w14:textId="3D8F6B40" w:rsidR="000413BC" w:rsidRDefault="007A1E23" w:rsidP="00E532E4">
      <w:pPr>
        <w:pStyle w:val="USTustnpkodeksu"/>
      </w:pPr>
      <w:r>
        <w:lastRenderedPageBreak/>
        <w:t xml:space="preserve">Ponadto, proponuje się dodanie </w:t>
      </w:r>
      <w:r w:rsidR="007C238C">
        <w:t>pkt</w:t>
      </w:r>
      <w:r>
        <w:t xml:space="preserve"> 3b, który uprawni Prezesa URE do </w:t>
      </w:r>
      <w:r w:rsidRPr="007A1E23">
        <w:t>kontrolowani</w:t>
      </w:r>
      <w:r>
        <w:t>a</w:t>
      </w:r>
      <w:r w:rsidRPr="007A1E23">
        <w:t xml:space="preserve"> wykonania realizacji pla</w:t>
      </w:r>
      <w:r w:rsidR="0039038D">
        <w:t>nów</w:t>
      </w:r>
      <w:r>
        <w:t xml:space="preserve"> rozwoju </w:t>
      </w:r>
      <w:r w:rsidR="000A52CD">
        <w:t xml:space="preserve">w zakresie </w:t>
      </w:r>
      <w:r w:rsidR="0039038D">
        <w:t xml:space="preserve">realizacji </w:t>
      </w:r>
      <w:r>
        <w:t>kierunku r</w:t>
      </w:r>
      <w:r w:rsidRPr="007A1E23">
        <w:t>ozwoju sieci i inwestycji priorytetowych</w:t>
      </w:r>
      <w:r>
        <w:t xml:space="preserve">. </w:t>
      </w:r>
    </w:p>
    <w:p w14:paraId="3C671626" w14:textId="79856EA2" w:rsidR="000A52CD" w:rsidRDefault="000A52CD" w:rsidP="00E532E4">
      <w:pPr>
        <w:pStyle w:val="USTustnpkodeksu"/>
      </w:pPr>
      <w:r>
        <w:t>d) zmiany w art. 45</w:t>
      </w:r>
    </w:p>
    <w:p w14:paraId="312AB9B6" w14:textId="54A25132" w:rsidR="000A52CD" w:rsidRDefault="000A52CD" w:rsidP="000A52CD">
      <w:pPr>
        <w:pStyle w:val="USTustnpkodeksu"/>
      </w:pPr>
      <w:r>
        <w:t xml:space="preserve">Proponuje się dodanie ust. 1 pkt 2b, który ma na celu uwzględnienie przy kalkulacji taryfy </w:t>
      </w:r>
      <w:r w:rsidRPr="000A52CD">
        <w:t>pokryci</w:t>
      </w:r>
      <w:r>
        <w:t>a</w:t>
      </w:r>
      <w:r w:rsidRPr="000A52CD">
        <w:t xml:space="preserve"> </w:t>
      </w:r>
      <w:r w:rsidR="0039038D" w:rsidRPr="000A52CD">
        <w:t xml:space="preserve">uzasadnionych </w:t>
      </w:r>
      <w:r w:rsidRPr="000A52CD">
        <w:t>kosztów ponoszonych przez operatorów systemów przesyłowych i dystrybucyjnych w związku z realizacją zadań i inwestycji priorytetowych, określonych w wytycznych Prezesa URE</w:t>
      </w:r>
      <w:r>
        <w:t xml:space="preserve">. </w:t>
      </w:r>
    </w:p>
    <w:p w14:paraId="611D875A" w14:textId="1C508612" w:rsidR="000A52CD" w:rsidRDefault="000A52CD" w:rsidP="000A52CD">
      <w:pPr>
        <w:pStyle w:val="USTustnpkodeksu"/>
      </w:pPr>
      <w:r>
        <w:t>Proponuje się dodanie ust. 3a wskazując</w:t>
      </w:r>
      <w:r w:rsidR="00F869CA">
        <w:t>ego</w:t>
      </w:r>
      <w:r>
        <w:t xml:space="preserve"> przesłanki, którymi ma </w:t>
      </w:r>
      <w:r w:rsidR="0039038D">
        <w:t xml:space="preserve">się </w:t>
      </w:r>
      <w:r>
        <w:t>kierować Prezes URE przy ustalaniu stopy zwrotu z kapitału</w:t>
      </w:r>
      <w:r w:rsidR="00F869CA">
        <w:t xml:space="preserve">, </w:t>
      </w:r>
      <w:r w:rsidR="0039038D">
        <w:t>z położeniem</w:t>
      </w:r>
      <w:r w:rsidR="00F869CA">
        <w:t xml:space="preserve"> szczególnego nacisku na kluczowy</w:t>
      </w:r>
      <w:r w:rsidR="000C4C4A">
        <w:t>,</w:t>
      </w:r>
      <w:r w:rsidR="00F869CA">
        <w:t xml:space="preserve"> z punktu widzenia rozwoju sieci</w:t>
      </w:r>
      <w:r w:rsidR="000C4C4A">
        <w:t>,</w:t>
      </w:r>
      <w:r>
        <w:t xml:space="preserve"> zakres wykorzystania nowych technologii, </w:t>
      </w:r>
      <w:r w:rsidR="00F869CA">
        <w:t xml:space="preserve">a także ryzyka związane z podejmowanymi inwestycjami. </w:t>
      </w:r>
    </w:p>
    <w:p w14:paraId="047F00DC" w14:textId="37F4CC8A" w:rsidR="000A52CD" w:rsidRDefault="00F869CA">
      <w:pPr>
        <w:pStyle w:val="USTustnpkodeksu"/>
      </w:pPr>
      <w:r>
        <w:t xml:space="preserve">Proponowane dodanie ust. 3b ma na celu uwzględnienie w taryfach </w:t>
      </w:r>
      <w:r w:rsidR="000A52CD">
        <w:t xml:space="preserve">dla paliw gazowych i energii elektrycznej </w:t>
      </w:r>
      <w:r w:rsidR="00D64B92">
        <w:t>stopnia</w:t>
      </w:r>
      <w:r w:rsidR="000A52CD">
        <w:t xml:space="preserve"> niewykonania harmonogramu rzeczowo-finansowego, </w:t>
      </w:r>
      <w:r w:rsidR="00EF625D" w:rsidRPr="00EF625D">
        <w:t>odpowiadający kwotom wynikającym z niewykonanego zakresu inwestycji, o którym mowa w tym harmonogramie</w:t>
      </w:r>
      <w:r w:rsidR="00EF625D">
        <w:t xml:space="preserve">, </w:t>
      </w:r>
      <w:r>
        <w:t>dzięki czemu spodziewany jest skutek motywujący dla przedsiębiorstw energetycznych do</w:t>
      </w:r>
      <w:r w:rsidR="00D64B92">
        <w:t xml:space="preserve"> systematycznej</w:t>
      </w:r>
      <w:r>
        <w:t xml:space="preserve"> realizacji </w:t>
      </w:r>
      <w:r w:rsidR="00D64B92">
        <w:t xml:space="preserve">wytycznych co do </w:t>
      </w:r>
      <w:r w:rsidR="00D64B92" w:rsidRPr="00D64B92">
        <w:t>kierunku rozwoju sieci i realizacji inwestycji priorytetowych</w:t>
      </w:r>
      <w:r w:rsidR="00D64B92">
        <w:t xml:space="preserve">, zgodnie z planami rozwoju sieci. </w:t>
      </w:r>
    </w:p>
    <w:p w14:paraId="0EF23770" w14:textId="56B8568D" w:rsidR="000A52CD" w:rsidRDefault="000A52CD" w:rsidP="00E532E4">
      <w:pPr>
        <w:pStyle w:val="USTustnpkodeksu"/>
      </w:pPr>
      <w:r>
        <w:t xml:space="preserve">e) w art. </w:t>
      </w:r>
      <w:r w:rsidR="00D64B92">
        <w:t xml:space="preserve">46 </w:t>
      </w:r>
    </w:p>
    <w:p w14:paraId="1DBFA3F0" w14:textId="7C9798F6" w:rsidR="00D64B92" w:rsidRDefault="00D64B92" w:rsidP="00E532E4">
      <w:pPr>
        <w:pStyle w:val="USTustnpkodeksu"/>
      </w:pPr>
      <w:r>
        <w:t>Proponowana zmiana ust. 2 poprzez dodanie pkt 4a ma na celu określenie w rozporządzeniu, wydanym na podstawie ust. 1</w:t>
      </w:r>
      <w:r w:rsidRPr="00D64B92">
        <w:t>,</w:t>
      </w:r>
      <w:r>
        <w:t xml:space="preserve"> na mocy którego </w:t>
      </w:r>
      <w:r w:rsidR="008959BF">
        <w:t>m</w:t>
      </w:r>
      <w:r>
        <w:t>inister</w:t>
      </w:r>
      <w:r w:rsidRPr="00D64B92">
        <w:t xml:space="preserve"> właściw</w:t>
      </w:r>
      <w:r>
        <w:t>y</w:t>
      </w:r>
      <w:r w:rsidRPr="00D64B92">
        <w:t xml:space="preserve"> do spraw energii</w:t>
      </w:r>
      <w:r>
        <w:t xml:space="preserve">, </w:t>
      </w:r>
      <w:r w:rsidRPr="00D64B92">
        <w:t>po zasięgnięciu opinii Prezesa URE, okreś</w:t>
      </w:r>
      <w:r>
        <w:t xml:space="preserve">la </w:t>
      </w:r>
      <w:r w:rsidRPr="00D64B92">
        <w:t>szczegółowe zasady kształtowania i kalkulacji taryf dla paliw gazowych oraz szczegółowe zasady rozliczeń w obrocie paliwami gazowymi</w:t>
      </w:r>
      <w:r>
        <w:t xml:space="preserve"> - </w:t>
      </w:r>
      <w:r w:rsidRPr="00D64B92">
        <w:t>spos</w:t>
      </w:r>
      <w:r>
        <w:t>obu</w:t>
      </w:r>
      <w:r w:rsidRPr="00D64B92">
        <w:t xml:space="preserve"> uwzględniania w taryfach stopnia niewykonania harmonogramu rzeczowo-finansowego</w:t>
      </w:r>
      <w:r>
        <w:t xml:space="preserve">, związanego z realizacją planów rozwoju sieci w zakresie wytycznych Prezesa URE co do </w:t>
      </w:r>
      <w:r w:rsidRPr="00D64B92">
        <w:t>kierunku rozwoju sieci i realizacji inwestycji</w:t>
      </w:r>
      <w:r>
        <w:t xml:space="preserve">. </w:t>
      </w:r>
    </w:p>
    <w:p w14:paraId="3E3CFD92" w14:textId="5ED41053" w:rsidR="00DD21CB" w:rsidRDefault="00D64B92">
      <w:pPr>
        <w:pStyle w:val="USTustnpkodeksu"/>
      </w:pPr>
      <w:r>
        <w:t xml:space="preserve">Proponowane dodanie w ust. 4 pkt </w:t>
      </w:r>
      <w:r w:rsidR="00DD21CB">
        <w:t>6a ma na celu określenie w rozporządzeniu, wydanym na podstawie ust. 3</w:t>
      </w:r>
      <w:r w:rsidR="00DD21CB" w:rsidRPr="00D64B92">
        <w:t>,</w:t>
      </w:r>
      <w:r w:rsidR="00DD21CB" w:rsidRPr="00DD21CB">
        <w:t xml:space="preserve"> </w:t>
      </w:r>
      <w:r w:rsidR="00DD21CB">
        <w:t xml:space="preserve">na mocy którego </w:t>
      </w:r>
      <w:r w:rsidR="008959BF">
        <w:t>m</w:t>
      </w:r>
      <w:r w:rsidR="00DD21CB">
        <w:t>inister</w:t>
      </w:r>
      <w:r w:rsidR="00DD21CB" w:rsidRPr="00D64B92">
        <w:t xml:space="preserve"> właściw</w:t>
      </w:r>
      <w:r w:rsidR="00DD21CB">
        <w:t>y</w:t>
      </w:r>
      <w:r w:rsidR="00DD21CB" w:rsidRPr="00D64B92">
        <w:t xml:space="preserve"> do spraw energii</w:t>
      </w:r>
      <w:r w:rsidR="00DD21CB">
        <w:t xml:space="preserve">, </w:t>
      </w:r>
      <w:r w:rsidR="00DD21CB" w:rsidRPr="00D64B92">
        <w:t>po zasięgnięciu opinii Prezesa URE,</w:t>
      </w:r>
      <w:r w:rsidR="00DD21CB">
        <w:t xml:space="preserve"> </w:t>
      </w:r>
      <w:r w:rsidR="00DD21CB" w:rsidRPr="00D64B92">
        <w:t>okreś</w:t>
      </w:r>
      <w:r w:rsidR="00DD21CB">
        <w:t xml:space="preserve">la </w:t>
      </w:r>
      <w:r w:rsidR="00DD21CB" w:rsidRPr="00D64B92">
        <w:t>szczegółowe zasady kształtowania i kalkulacji taryf dla</w:t>
      </w:r>
      <w:r w:rsidR="00DD21CB" w:rsidRPr="00DD21CB">
        <w:t xml:space="preserve"> energii elektrycznej oraz szczegółowe zasady rozliczeń w obrocie energią elektryczną</w:t>
      </w:r>
      <w:r w:rsidR="00DD21CB">
        <w:t xml:space="preserve"> - </w:t>
      </w:r>
      <w:r w:rsidR="00DD21CB" w:rsidRPr="00D64B92">
        <w:t>spos</w:t>
      </w:r>
      <w:r w:rsidR="00DD21CB">
        <w:t>obu</w:t>
      </w:r>
      <w:r w:rsidR="00DD21CB" w:rsidRPr="00D64B92">
        <w:t xml:space="preserve"> uwzględniania w taryfach stopnia niewykonania harmonogramu rzeczowo-finansowego</w:t>
      </w:r>
      <w:r w:rsidR="00DD21CB">
        <w:t xml:space="preserve">, związanego z realizacją planów rozwoju sieci w zakresie wytycznych Prezesa URE co do </w:t>
      </w:r>
      <w:r w:rsidR="00DD21CB" w:rsidRPr="00D64B92">
        <w:t>kierunku rozwoju sieci i realizacji inwestycji</w:t>
      </w:r>
      <w:r w:rsidR="00DD21CB">
        <w:t>.</w:t>
      </w:r>
    </w:p>
    <w:p w14:paraId="483BA794" w14:textId="7BED19AF" w:rsidR="00DD21CB" w:rsidRDefault="00AD7194" w:rsidP="00E532E4">
      <w:pPr>
        <w:pStyle w:val="USTustnpkodeksu"/>
      </w:pPr>
      <w:r>
        <w:t xml:space="preserve">f) zmiana w art. 47 </w:t>
      </w:r>
    </w:p>
    <w:p w14:paraId="061F5DEE" w14:textId="56834C9A" w:rsidR="00DD21CB" w:rsidRDefault="00AD7194" w:rsidP="00E532E4">
      <w:pPr>
        <w:pStyle w:val="USTustnpkodeksu"/>
      </w:pPr>
      <w:r>
        <w:lastRenderedPageBreak/>
        <w:t>Proponowana zmiana</w:t>
      </w:r>
      <w:r w:rsidR="008959BF">
        <w:t>,</w:t>
      </w:r>
      <w:r>
        <w:t xml:space="preserve"> poprzez dodanie ust. 2h</w:t>
      </w:r>
      <w:r w:rsidR="008959BF">
        <w:t>,</w:t>
      </w:r>
      <w:r>
        <w:t xml:space="preserve"> ma na celu uwzględnienie </w:t>
      </w:r>
      <w:r w:rsidR="002E750D">
        <w:t xml:space="preserve">w zatwierdzanych bądź zmienianych taryfach </w:t>
      </w:r>
      <w:r w:rsidR="002E750D" w:rsidRPr="002E750D">
        <w:t>zakres</w:t>
      </w:r>
      <w:r w:rsidR="000C4C4A">
        <w:t>u</w:t>
      </w:r>
      <w:r w:rsidR="002E750D" w:rsidRPr="002E750D">
        <w:t xml:space="preserve"> niewykonania harmonogramu rzeczowo-finansowe</w:t>
      </w:r>
      <w:r w:rsidR="002E750D">
        <w:t xml:space="preserve">go dot. realizacji planów rozwoju sieci w związku z wytycznymi Prezesa URE. Prezes URE został także uprawniony do wezwania przedsiębiorstwa energetycznego do korekty taryfy w tym zakresie. Powyższe przepisy mają zapewnić nagradzanie przedsiębiorstw w zakresie w jakim wywiązują się z uzgodnionych planów rozwoju sieci, zgodnie z wytycznymi Prezesa URE, dzięki czemu wzmocniony będzie efekt motywujący do realizacji niezbędnych inwestycji. </w:t>
      </w:r>
    </w:p>
    <w:p w14:paraId="47AC8D23" w14:textId="77777777" w:rsidR="00DF0E36" w:rsidRPr="00613198" w:rsidRDefault="00DF0E36" w:rsidP="008959BF">
      <w:pPr>
        <w:pStyle w:val="USTustnpkodeksu"/>
        <w:ind w:firstLine="0"/>
      </w:pPr>
    </w:p>
    <w:p w14:paraId="2631B2C3" w14:textId="77777777" w:rsidR="00AF4A03" w:rsidRPr="00613198" w:rsidRDefault="00AF4A03" w:rsidP="00EE35C2">
      <w:pPr>
        <w:pStyle w:val="USTustnpkodeksu"/>
        <w:rPr>
          <w:b/>
          <w:color w:val="000000" w:themeColor="text1"/>
        </w:rPr>
      </w:pPr>
      <w:r w:rsidRPr="00613198">
        <w:rPr>
          <w:b/>
          <w:color w:val="000000" w:themeColor="text1"/>
        </w:rPr>
        <w:t xml:space="preserve">Bilansowanie </w:t>
      </w:r>
    </w:p>
    <w:p w14:paraId="5BA3B20A" w14:textId="004172CC" w:rsidR="003D08EE" w:rsidRPr="00613198" w:rsidRDefault="003D08EE" w:rsidP="00EE35C2">
      <w:pPr>
        <w:pStyle w:val="USTustnpkodeksu"/>
        <w:rPr>
          <w:color w:val="000000" w:themeColor="text1"/>
        </w:rPr>
      </w:pPr>
      <w:r w:rsidRPr="00613198">
        <w:rPr>
          <w:color w:val="000000" w:themeColor="text1"/>
        </w:rPr>
        <w:t xml:space="preserve">a) zmiany w art. 3 ustawy – </w:t>
      </w:r>
      <w:r w:rsidR="00BF79A7" w:rsidRPr="00613198">
        <w:rPr>
          <w:color w:val="000000" w:themeColor="text1"/>
        </w:rPr>
        <w:t>Prawo energetyczne</w:t>
      </w:r>
    </w:p>
    <w:p w14:paraId="31F20340" w14:textId="7130F1DF" w:rsidR="00AF4A03" w:rsidRPr="00613198" w:rsidRDefault="00AF4A03" w:rsidP="00EE35C2">
      <w:pPr>
        <w:pStyle w:val="USTustnpkodeksu"/>
        <w:rPr>
          <w:color w:val="000000" w:themeColor="text1"/>
        </w:rPr>
      </w:pPr>
      <w:r w:rsidRPr="00613198">
        <w:rPr>
          <w:color w:val="000000" w:themeColor="text1"/>
        </w:rPr>
        <w:t xml:space="preserve">Proponowane zmiany w art. 3 ustawy – </w:t>
      </w:r>
      <w:r w:rsidR="00BF79A7" w:rsidRPr="00613198">
        <w:rPr>
          <w:color w:val="000000" w:themeColor="text1"/>
        </w:rPr>
        <w:t>P</w:t>
      </w:r>
      <w:r w:rsidRPr="00613198">
        <w:rPr>
          <w:color w:val="000000" w:themeColor="text1"/>
        </w:rPr>
        <w:t>rawo energetyczne mają na celu dostosowanie ram pojęciowych ustawy do ram wynikających z przepisów unijnych  tj. dyrektywy 2019/944, rozporządzenia Komisji (UE) 2017/2195 z dnia 23 listopada 2017 r. ustanawiającego wytyczne dotyczące bilansowania</w:t>
      </w:r>
      <w:r w:rsidR="00D42AD6">
        <w:rPr>
          <w:color w:val="000000" w:themeColor="text1"/>
        </w:rPr>
        <w:t xml:space="preserve"> </w:t>
      </w:r>
      <w:r w:rsidR="008347DB" w:rsidRPr="00613198">
        <w:rPr>
          <w:color w:val="000000" w:themeColor="text1"/>
        </w:rPr>
        <w:t>oraz rozporządzenia 2019/943</w:t>
      </w:r>
      <w:r w:rsidR="00B07E0D">
        <w:rPr>
          <w:color w:val="000000" w:themeColor="text1"/>
        </w:rPr>
        <w:t>,</w:t>
      </w:r>
      <w:r w:rsidR="008347DB" w:rsidRPr="00613198">
        <w:rPr>
          <w:color w:val="000000" w:themeColor="text1"/>
        </w:rPr>
        <w:t xml:space="preserve"> </w:t>
      </w:r>
      <w:r w:rsidRPr="00613198">
        <w:rPr>
          <w:color w:val="000000" w:themeColor="text1"/>
        </w:rPr>
        <w:t xml:space="preserve">a także </w:t>
      </w:r>
      <w:r w:rsidR="008347DB" w:rsidRPr="00613198">
        <w:rPr>
          <w:color w:val="000000" w:themeColor="text1"/>
        </w:rPr>
        <w:t xml:space="preserve">mają na celu </w:t>
      </w:r>
      <w:r w:rsidRPr="00613198">
        <w:rPr>
          <w:color w:val="000000" w:themeColor="text1"/>
        </w:rPr>
        <w:t xml:space="preserve">umożliwienie </w:t>
      </w:r>
      <w:r w:rsidR="00B07E0D" w:rsidRPr="00613198">
        <w:rPr>
          <w:color w:val="000000" w:themeColor="text1"/>
        </w:rPr>
        <w:t>wdrożeni</w:t>
      </w:r>
      <w:r w:rsidR="00B07E0D">
        <w:rPr>
          <w:color w:val="000000" w:themeColor="text1"/>
        </w:rPr>
        <w:t>a</w:t>
      </w:r>
      <w:r w:rsidR="00B07E0D" w:rsidRPr="00613198">
        <w:rPr>
          <w:color w:val="000000" w:themeColor="text1"/>
        </w:rPr>
        <w:t xml:space="preserve"> </w:t>
      </w:r>
      <w:r w:rsidRPr="00613198">
        <w:rPr>
          <w:color w:val="000000" w:themeColor="text1"/>
        </w:rPr>
        <w:t>nowego modelu rynku bilansującego.</w:t>
      </w:r>
    </w:p>
    <w:p w14:paraId="2C736B05" w14:textId="7F179AD6" w:rsidR="00164AF9" w:rsidRPr="00613198" w:rsidRDefault="00164AF9" w:rsidP="00946577">
      <w:pPr>
        <w:pStyle w:val="USTustnpkodeksu"/>
        <w:rPr>
          <w:color w:val="000000" w:themeColor="text1"/>
        </w:rPr>
      </w:pPr>
      <w:r w:rsidRPr="00613198">
        <w:rPr>
          <w:color w:val="000000" w:themeColor="text1"/>
        </w:rPr>
        <w:t xml:space="preserve">Proponowana zmiana art. 3 pkt 23a dostosowuje definicję „bilansowania systemu” do definicji bilansowania z </w:t>
      </w:r>
      <w:r w:rsidR="00E375A0" w:rsidRPr="00613198">
        <w:rPr>
          <w:color w:val="000000" w:themeColor="text1"/>
        </w:rPr>
        <w:t xml:space="preserve">art. 2 pkt 10 rozporządzenia </w:t>
      </w:r>
      <w:r w:rsidR="0041573A" w:rsidRPr="00613198">
        <w:rPr>
          <w:color w:val="000000" w:themeColor="text1"/>
        </w:rPr>
        <w:t>2019/943</w:t>
      </w:r>
      <w:r w:rsidR="00E375A0" w:rsidRPr="00613198">
        <w:rPr>
          <w:color w:val="000000" w:themeColor="text1"/>
        </w:rPr>
        <w:t xml:space="preserve"> </w:t>
      </w:r>
      <w:r w:rsidR="00AA18C2">
        <w:rPr>
          <w:color w:val="000000" w:themeColor="text1"/>
        </w:rPr>
        <w:t xml:space="preserve">oraz </w:t>
      </w:r>
      <w:r w:rsidR="00AA18C2" w:rsidRPr="001725EE">
        <w:rPr>
          <w:rFonts w:ascii="Times New Roman" w:eastAsia="Times New Roman" w:hAnsi="Times New Roman" w:cs="Times New Roman"/>
        </w:rPr>
        <w:t xml:space="preserve">art. 3 pkt 2 rozporządzenia </w:t>
      </w:r>
      <w:r w:rsidR="00AC4747" w:rsidRPr="00AC4747">
        <w:rPr>
          <w:rFonts w:ascii="Times New Roman" w:eastAsia="Times New Roman" w:hAnsi="Times New Roman" w:cs="Times New Roman"/>
        </w:rPr>
        <w:t xml:space="preserve">Komisji (UE) nr 312/2014 z dnia 26 marca 2014 r. ustanawiające kodeks sieci dotyczący bilansowania gazu w sieciach przesyłowych </w:t>
      </w:r>
      <w:r w:rsidR="00E375A0" w:rsidRPr="00613198">
        <w:rPr>
          <w:color w:val="000000" w:themeColor="text1"/>
        </w:rPr>
        <w:t xml:space="preserve">przy </w:t>
      </w:r>
      <w:r w:rsidRPr="00613198">
        <w:rPr>
          <w:color w:val="000000" w:themeColor="text1"/>
        </w:rPr>
        <w:t>pozostawieni</w:t>
      </w:r>
      <w:r w:rsidR="00E375A0" w:rsidRPr="00613198">
        <w:rPr>
          <w:color w:val="000000" w:themeColor="text1"/>
        </w:rPr>
        <w:t>u</w:t>
      </w:r>
      <w:r w:rsidRPr="00613198">
        <w:rPr>
          <w:color w:val="000000" w:themeColor="text1"/>
        </w:rPr>
        <w:t xml:space="preserve"> obecnej definicji </w:t>
      </w:r>
      <w:r w:rsidR="00E375A0" w:rsidRPr="00613198">
        <w:rPr>
          <w:color w:val="000000" w:themeColor="text1"/>
        </w:rPr>
        <w:t>bilansowania dla systemu gazowego.</w:t>
      </w:r>
      <w:r w:rsidR="00946577" w:rsidRPr="00613198">
        <w:rPr>
          <w:color w:val="000000" w:themeColor="text1"/>
        </w:rPr>
        <w:t xml:space="preserve"> Dodaje się także pkt 23</w:t>
      </w:r>
      <w:r w:rsidR="006814D0" w:rsidRPr="00613198">
        <w:rPr>
          <w:color w:val="000000" w:themeColor="text1"/>
        </w:rPr>
        <w:t>c</w:t>
      </w:r>
      <w:r w:rsidR="00946577" w:rsidRPr="00613198">
        <w:rPr>
          <w:color w:val="000000" w:themeColor="text1"/>
        </w:rPr>
        <w:t xml:space="preserve"> i 2</w:t>
      </w:r>
      <w:r w:rsidR="006814D0" w:rsidRPr="00613198">
        <w:rPr>
          <w:color w:val="000000" w:themeColor="text1"/>
        </w:rPr>
        <w:t>3d</w:t>
      </w:r>
      <w:r w:rsidR="00946577" w:rsidRPr="00613198">
        <w:rPr>
          <w:color w:val="000000" w:themeColor="text1"/>
        </w:rPr>
        <w:t>, odnoszące się do definicji z rozporządzenia 2019/943. W art. 3 pkt 40 zaktualizowa</w:t>
      </w:r>
      <w:r w:rsidR="00674AFE" w:rsidRPr="00613198">
        <w:rPr>
          <w:color w:val="000000" w:themeColor="text1"/>
        </w:rPr>
        <w:t>no</w:t>
      </w:r>
      <w:r w:rsidR="00946577" w:rsidRPr="00613198">
        <w:rPr>
          <w:color w:val="000000" w:themeColor="text1"/>
        </w:rPr>
        <w:t xml:space="preserve"> definicję bilansowania handlowego poprzez odesłanie do pojęcia rozliczania niezbilansowania. </w:t>
      </w:r>
      <w:r w:rsidR="003E5A07" w:rsidRPr="00613198">
        <w:rPr>
          <w:color w:val="000000" w:themeColor="text1"/>
        </w:rPr>
        <w:t xml:space="preserve">W art. 3 pkt </w:t>
      </w:r>
      <w:r w:rsidR="00946577" w:rsidRPr="00613198">
        <w:rPr>
          <w:color w:val="000000" w:themeColor="text1"/>
        </w:rPr>
        <w:t xml:space="preserve">42 </w:t>
      </w:r>
      <w:r w:rsidR="003E5A07" w:rsidRPr="00613198">
        <w:rPr>
          <w:color w:val="000000" w:themeColor="text1"/>
        </w:rPr>
        <w:t xml:space="preserve">dokonano </w:t>
      </w:r>
      <w:r w:rsidR="00946577" w:rsidRPr="00613198">
        <w:rPr>
          <w:color w:val="000000" w:themeColor="text1"/>
        </w:rPr>
        <w:t>aktualizacj</w:t>
      </w:r>
      <w:r w:rsidR="003E5A07" w:rsidRPr="00613198">
        <w:rPr>
          <w:color w:val="000000" w:themeColor="text1"/>
        </w:rPr>
        <w:t xml:space="preserve">i </w:t>
      </w:r>
      <w:r w:rsidR="00946577" w:rsidRPr="00613198">
        <w:rPr>
          <w:color w:val="000000" w:themeColor="text1"/>
        </w:rPr>
        <w:t xml:space="preserve">definicji </w:t>
      </w:r>
      <w:r w:rsidR="003E5A07" w:rsidRPr="00613198">
        <w:rPr>
          <w:color w:val="000000" w:themeColor="text1"/>
        </w:rPr>
        <w:t>podmiotu odpowiedzialnego za bilansowanie</w:t>
      </w:r>
      <w:r w:rsidR="00946577" w:rsidRPr="00613198">
        <w:rPr>
          <w:color w:val="000000" w:themeColor="text1"/>
        </w:rPr>
        <w:t xml:space="preserve">, </w:t>
      </w:r>
      <w:r w:rsidR="003E5A07" w:rsidRPr="00613198">
        <w:rPr>
          <w:color w:val="000000" w:themeColor="text1"/>
        </w:rPr>
        <w:t xml:space="preserve">dokonując </w:t>
      </w:r>
      <w:r w:rsidR="00946577" w:rsidRPr="00613198">
        <w:rPr>
          <w:color w:val="000000" w:themeColor="text1"/>
        </w:rPr>
        <w:t>skreśleni</w:t>
      </w:r>
      <w:r w:rsidR="003E5A07" w:rsidRPr="00613198">
        <w:rPr>
          <w:color w:val="000000" w:themeColor="text1"/>
        </w:rPr>
        <w:t>a</w:t>
      </w:r>
      <w:r w:rsidR="00946577" w:rsidRPr="00613198">
        <w:rPr>
          <w:color w:val="000000" w:themeColor="text1"/>
        </w:rPr>
        <w:t xml:space="preserve"> słowa „handlowe” z definicji.</w:t>
      </w:r>
    </w:p>
    <w:p w14:paraId="62DD5E34" w14:textId="78DC7CB5" w:rsidR="003D08EE" w:rsidRPr="00613198" w:rsidRDefault="003D08EE" w:rsidP="00946577">
      <w:pPr>
        <w:pStyle w:val="USTustnpkodeksu"/>
        <w:rPr>
          <w:color w:val="000000" w:themeColor="text1"/>
        </w:rPr>
      </w:pPr>
      <w:r w:rsidRPr="00613198">
        <w:rPr>
          <w:color w:val="000000" w:themeColor="text1"/>
        </w:rPr>
        <w:t xml:space="preserve">b) zmiany w art. 5 ustawy – </w:t>
      </w:r>
      <w:r w:rsidR="00BF79A7" w:rsidRPr="00613198">
        <w:rPr>
          <w:color w:val="000000" w:themeColor="text1"/>
        </w:rPr>
        <w:t>P</w:t>
      </w:r>
      <w:r w:rsidRPr="00613198">
        <w:rPr>
          <w:color w:val="000000" w:themeColor="text1"/>
        </w:rPr>
        <w:t>rawo energetyczne</w:t>
      </w:r>
    </w:p>
    <w:p w14:paraId="6173E45A" w14:textId="479BFB41" w:rsidR="003D08EE" w:rsidRPr="00613198" w:rsidRDefault="00AC4747" w:rsidP="00946577">
      <w:pPr>
        <w:pStyle w:val="USTustnpkodeksu"/>
        <w:rPr>
          <w:color w:val="000000" w:themeColor="text1"/>
        </w:rPr>
      </w:pPr>
      <w:r>
        <w:rPr>
          <w:color w:val="000000" w:themeColor="text1"/>
        </w:rPr>
        <w:t>S</w:t>
      </w:r>
      <w:r w:rsidR="003D08EE" w:rsidRPr="00613198">
        <w:rPr>
          <w:color w:val="000000" w:themeColor="text1"/>
        </w:rPr>
        <w:t>ą to zmiany porządkowe związane ze zmianami w definicji podmiotu odpowiedzialnego za bilansowanie i bilansowania handlowego.</w:t>
      </w:r>
    </w:p>
    <w:p w14:paraId="360C4D60" w14:textId="1A22B48E" w:rsidR="003D08EE" w:rsidRPr="00613198" w:rsidRDefault="003D08EE" w:rsidP="00946577">
      <w:pPr>
        <w:pStyle w:val="USTustnpkodeksu"/>
        <w:rPr>
          <w:color w:val="000000" w:themeColor="text1"/>
        </w:rPr>
      </w:pPr>
      <w:r w:rsidRPr="00613198">
        <w:rPr>
          <w:color w:val="000000" w:themeColor="text1"/>
        </w:rPr>
        <w:t xml:space="preserve">c) zmiany w art. 9 ustawy – </w:t>
      </w:r>
      <w:r w:rsidR="00BF79A7" w:rsidRPr="00613198">
        <w:rPr>
          <w:color w:val="000000" w:themeColor="text1"/>
        </w:rPr>
        <w:t>Prawo energetyczne</w:t>
      </w:r>
    </w:p>
    <w:p w14:paraId="11013F4F" w14:textId="2DD349C1" w:rsidR="003D08EE" w:rsidRPr="00613198" w:rsidRDefault="003D08EE" w:rsidP="003D08EE">
      <w:pPr>
        <w:pStyle w:val="USTustnpkodeksu"/>
        <w:rPr>
          <w:color w:val="000000" w:themeColor="text1"/>
        </w:rPr>
      </w:pPr>
      <w:r w:rsidRPr="00613198">
        <w:rPr>
          <w:color w:val="000000" w:themeColor="text1"/>
        </w:rPr>
        <w:t xml:space="preserve">Zmiany w art. 9 ust. 3 i 4 </w:t>
      </w:r>
      <w:r w:rsidR="00915F56" w:rsidRPr="00613198">
        <w:rPr>
          <w:color w:val="000000" w:themeColor="text1"/>
        </w:rPr>
        <w:t xml:space="preserve">ustawy – </w:t>
      </w:r>
      <w:r w:rsidR="00BF79A7" w:rsidRPr="00613198">
        <w:rPr>
          <w:color w:val="000000" w:themeColor="text1"/>
        </w:rPr>
        <w:t>Prawo energetyczne</w:t>
      </w:r>
      <w:r w:rsidR="00915F56" w:rsidRPr="00613198">
        <w:rPr>
          <w:color w:val="000000" w:themeColor="text1"/>
        </w:rPr>
        <w:t xml:space="preserve"> mają na celu a</w:t>
      </w:r>
      <w:r w:rsidRPr="00613198">
        <w:rPr>
          <w:color w:val="000000" w:themeColor="text1"/>
        </w:rPr>
        <w:t>ktualizacj</w:t>
      </w:r>
      <w:r w:rsidR="00915F56" w:rsidRPr="00613198">
        <w:rPr>
          <w:color w:val="000000" w:themeColor="text1"/>
        </w:rPr>
        <w:t>ę</w:t>
      </w:r>
      <w:r w:rsidRPr="00613198">
        <w:rPr>
          <w:color w:val="000000" w:themeColor="text1"/>
        </w:rPr>
        <w:t xml:space="preserve"> delegacji do rozporządzenia systemowego obejmując</w:t>
      </w:r>
      <w:r w:rsidR="00915F56" w:rsidRPr="00613198">
        <w:rPr>
          <w:color w:val="000000" w:themeColor="text1"/>
        </w:rPr>
        <w:t>ą</w:t>
      </w:r>
      <w:r w:rsidRPr="00613198">
        <w:rPr>
          <w:color w:val="000000" w:themeColor="text1"/>
        </w:rPr>
        <w:t xml:space="preserve"> zmiany</w:t>
      </w:r>
      <w:r w:rsidR="00B07E0D">
        <w:rPr>
          <w:color w:val="000000" w:themeColor="text1"/>
        </w:rPr>
        <w:t xml:space="preserve"> na rynku w zakresie bilansowania.</w:t>
      </w:r>
    </w:p>
    <w:p w14:paraId="15C8B0A5" w14:textId="326A0971" w:rsidR="005915AE" w:rsidRPr="00613198" w:rsidRDefault="00915F56" w:rsidP="005915AE">
      <w:pPr>
        <w:pStyle w:val="USTustnpkodeksu"/>
        <w:rPr>
          <w:color w:val="000000" w:themeColor="text1"/>
        </w:rPr>
      </w:pPr>
      <w:r w:rsidRPr="00613198">
        <w:rPr>
          <w:color w:val="000000" w:themeColor="text1"/>
        </w:rPr>
        <w:t xml:space="preserve">d) zmiany w art. 9c ustawy – </w:t>
      </w:r>
      <w:r w:rsidR="00BF79A7" w:rsidRPr="00613198">
        <w:rPr>
          <w:color w:val="000000" w:themeColor="text1"/>
        </w:rPr>
        <w:t>P</w:t>
      </w:r>
      <w:r w:rsidRPr="00613198">
        <w:rPr>
          <w:color w:val="000000" w:themeColor="text1"/>
        </w:rPr>
        <w:t>rawo energetyczne</w:t>
      </w:r>
      <w:r w:rsidR="005915AE">
        <w:rPr>
          <w:color w:val="000000" w:themeColor="text1"/>
        </w:rPr>
        <w:t xml:space="preserve"> doprecyzowują katalog obowiązków  </w:t>
      </w:r>
      <w:r w:rsidR="005915AE">
        <w:rPr>
          <w:sz w:val="23"/>
          <w:szCs w:val="23"/>
        </w:rPr>
        <w:t>operatora systemu przesyłowego elektroenergetycznego związanych m.in. ze zmianami na rynku bilansującym.</w:t>
      </w:r>
    </w:p>
    <w:p w14:paraId="73B23409" w14:textId="3102CF83" w:rsidR="008C7270" w:rsidRPr="00613198" w:rsidRDefault="008C7270" w:rsidP="00EE35C2">
      <w:pPr>
        <w:pStyle w:val="USTustnpkodeksu"/>
        <w:rPr>
          <w:color w:val="000000" w:themeColor="text1"/>
        </w:rPr>
      </w:pPr>
      <w:r w:rsidRPr="00613198">
        <w:rPr>
          <w:color w:val="000000" w:themeColor="text1"/>
        </w:rPr>
        <w:lastRenderedPageBreak/>
        <w:t xml:space="preserve">Proponowane zmiany w art. 9c ust. 3 ustawy – </w:t>
      </w:r>
      <w:r w:rsidR="00BF79A7" w:rsidRPr="00613198">
        <w:rPr>
          <w:color w:val="000000" w:themeColor="text1"/>
        </w:rPr>
        <w:t>Prawo energetyczne</w:t>
      </w:r>
      <w:r w:rsidRPr="00613198">
        <w:rPr>
          <w:color w:val="000000" w:themeColor="text1"/>
        </w:rPr>
        <w:t xml:space="preserve"> mają charakter porządkujący wobec zmian w definicji „bilansowania systemu” oraz zmiany nazewnictwa jednostek podlegających centralnemu dysponowaniu.</w:t>
      </w:r>
    </w:p>
    <w:p w14:paraId="168335AF" w14:textId="64FDB275" w:rsidR="008C7270" w:rsidRPr="00613198" w:rsidRDefault="00955795" w:rsidP="00EE35C2">
      <w:pPr>
        <w:pStyle w:val="USTustnpkodeksu"/>
        <w:rPr>
          <w:color w:val="000000" w:themeColor="text1"/>
        </w:rPr>
      </w:pPr>
      <w:r w:rsidRPr="00613198">
        <w:rPr>
          <w:color w:val="000000" w:themeColor="text1"/>
        </w:rPr>
        <w:t>W związku z przeniesieniem zasad regulujących priorytet dostępu do sieci na poziom rozporządzenia</w:t>
      </w:r>
      <w:r w:rsidR="003C78D7">
        <w:rPr>
          <w:color w:val="000000" w:themeColor="text1"/>
        </w:rPr>
        <w:t xml:space="preserve">, </w:t>
      </w:r>
      <w:r w:rsidRPr="00613198">
        <w:rPr>
          <w:color w:val="000000" w:themeColor="text1"/>
        </w:rPr>
        <w:t xml:space="preserve">proponuje się pozostawienie w mocy ust. 6, </w:t>
      </w:r>
      <w:r w:rsidR="003C78D7">
        <w:rPr>
          <w:color w:val="000000" w:themeColor="text1"/>
        </w:rPr>
        <w:t>uwzględniając</w:t>
      </w:r>
      <w:r w:rsidRPr="00613198">
        <w:rPr>
          <w:color w:val="000000" w:themeColor="text1"/>
        </w:rPr>
        <w:t>, że stosuje się go w zakresie wynikającym z art. 12 i 13 rozporządzenia 2019/943, które regulują tę materię w sposób niemal kompletny.</w:t>
      </w:r>
    </w:p>
    <w:p w14:paraId="42AF2A27" w14:textId="77777777" w:rsidR="00955795" w:rsidRPr="00613198" w:rsidRDefault="00BA7E5A" w:rsidP="00EE35C2">
      <w:pPr>
        <w:pStyle w:val="USTustnpkodeksu"/>
        <w:rPr>
          <w:color w:val="000000" w:themeColor="text1"/>
        </w:rPr>
      </w:pPr>
      <w:r w:rsidRPr="00613198">
        <w:rPr>
          <w:color w:val="000000" w:themeColor="text1"/>
        </w:rPr>
        <w:t>W art. 9g ust. 6 dokonuje się aktualizacji zakresu przedmiotowego instrukcji w części dotyczącej bilansowania systemu w związku z objęciem znacznej części zagadnień warunkami dotyczącymi bilansowania opracowywanymi na podstawie rozporządzeń unijnych.</w:t>
      </w:r>
    </w:p>
    <w:p w14:paraId="54F1011E" w14:textId="77777777" w:rsidR="00BA7E5A" w:rsidRPr="00613198" w:rsidRDefault="00BA7E5A" w:rsidP="00EE35C2">
      <w:pPr>
        <w:pStyle w:val="USTustnpkodeksu"/>
        <w:rPr>
          <w:color w:val="000000" w:themeColor="text1"/>
        </w:rPr>
      </w:pPr>
      <w:r w:rsidRPr="00613198">
        <w:rPr>
          <w:color w:val="000000" w:themeColor="text1"/>
        </w:rPr>
        <w:t>Zmieniony art. 9g ust. 6a nakazuje uwzględnić w instrukcji techniczne wymogi uczestnictwa odpowiedzi odbioru i agregacji na podstawie ich technicznych zdolności oraz charakterystyki poszczególnych procesów, co stanowi wykonanie obowiązku z art. 17 ust. 5 dyrektywy 2019/944.</w:t>
      </w:r>
    </w:p>
    <w:p w14:paraId="3CC4CBC4" w14:textId="6237EDA6" w:rsidR="00BA7E5A" w:rsidRPr="00613198" w:rsidRDefault="00BA7E5A" w:rsidP="00BA7E5A">
      <w:pPr>
        <w:pStyle w:val="USTustnpkodeksu"/>
        <w:rPr>
          <w:color w:val="000000" w:themeColor="text1"/>
        </w:rPr>
      </w:pPr>
      <w:r w:rsidRPr="00613198">
        <w:rPr>
          <w:color w:val="000000" w:themeColor="text1"/>
        </w:rPr>
        <w:t xml:space="preserve">e) zmiany w art. 11d </w:t>
      </w:r>
      <w:r w:rsidR="000D27D7" w:rsidRPr="00613198">
        <w:rPr>
          <w:color w:val="000000" w:themeColor="text1"/>
        </w:rPr>
        <w:t xml:space="preserve"> i 31 ust. 3 </w:t>
      </w:r>
      <w:r w:rsidRPr="00613198">
        <w:rPr>
          <w:color w:val="000000" w:themeColor="text1"/>
        </w:rPr>
        <w:t xml:space="preserve">ustawy – </w:t>
      </w:r>
      <w:r w:rsidR="00BF79A7" w:rsidRPr="00613198">
        <w:rPr>
          <w:color w:val="000000" w:themeColor="text1"/>
        </w:rPr>
        <w:t>Prawo energetyczne</w:t>
      </w:r>
    </w:p>
    <w:p w14:paraId="64C9FF4F" w14:textId="77777777" w:rsidR="00234495" w:rsidRPr="00613198" w:rsidRDefault="00BA7E5A" w:rsidP="00EE35C2">
      <w:pPr>
        <w:pStyle w:val="USTustnpkodeksu"/>
        <w:rPr>
          <w:color w:val="000000" w:themeColor="text1"/>
        </w:rPr>
      </w:pPr>
      <w:r w:rsidRPr="00613198">
        <w:rPr>
          <w:color w:val="000000" w:themeColor="text1"/>
        </w:rPr>
        <w:t xml:space="preserve">- są to zmiany porządkowe związane z odejściem od pojęcia </w:t>
      </w:r>
      <w:r w:rsidR="00D32D6E" w:rsidRPr="00613198">
        <w:rPr>
          <w:color w:val="000000" w:themeColor="text1"/>
        </w:rPr>
        <w:t>jednostki wytwórczej centralnie dysponowanej.</w:t>
      </w:r>
    </w:p>
    <w:p w14:paraId="34546320" w14:textId="77777777" w:rsidR="00BA0A24" w:rsidRPr="00613198" w:rsidRDefault="00BA0A24" w:rsidP="00EE35C2">
      <w:pPr>
        <w:pStyle w:val="USTustnpkodeksu"/>
        <w:rPr>
          <w:b/>
          <w:color w:val="000000" w:themeColor="text1"/>
        </w:rPr>
      </w:pPr>
      <w:r w:rsidRPr="00613198">
        <w:rPr>
          <w:b/>
          <w:color w:val="000000" w:themeColor="text1"/>
        </w:rPr>
        <w:t>Zmiany w innych obszarach działania operatorów systemów elektroenergetycznych</w:t>
      </w:r>
    </w:p>
    <w:p w14:paraId="246B8BE8" w14:textId="16A4DF0F" w:rsidR="00AF1D58" w:rsidRPr="00613198" w:rsidRDefault="00AF1D58" w:rsidP="00AF1D58">
      <w:pPr>
        <w:pStyle w:val="USTustnpkodeksu"/>
        <w:rPr>
          <w:color w:val="000000" w:themeColor="text1"/>
        </w:rPr>
      </w:pPr>
      <w:r w:rsidRPr="00613198">
        <w:rPr>
          <w:color w:val="000000" w:themeColor="text1"/>
        </w:rPr>
        <w:t>a) dodanie pkt 5a, 8, 19-21 w</w:t>
      </w:r>
      <w:r w:rsidRPr="00613198">
        <w:t xml:space="preserve"> art. 9c w ust. 2 </w:t>
      </w:r>
      <w:r w:rsidRPr="00613198">
        <w:rPr>
          <w:color w:val="000000" w:themeColor="text1"/>
        </w:rPr>
        <w:t xml:space="preserve">ustawy - </w:t>
      </w:r>
      <w:r w:rsidR="00BF79A7" w:rsidRPr="00613198">
        <w:rPr>
          <w:color w:val="000000" w:themeColor="text1"/>
        </w:rPr>
        <w:t>P</w:t>
      </w:r>
      <w:r w:rsidRPr="00613198">
        <w:rPr>
          <w:color w:val="000000" w:themeColor="text1"/>
        </w:rPr>
        <w:t>rawo energetyczne</w:t>
      </w:r>
    </w:p>
    <w:p w14:paraId="4CE30F7C" w14:textId="77777777" w:rsidR="00AF1D58" w:rsidRPr="00613198" w:rsidRDefault="00AF1D58" w:rsidP="00EE35C2">
      <w:pPr>
        <w:pStyle w:val="USTustnpkodeksu"/>
        <w:rPr>
          <w:color w:val="000000" w:themeColor="text1"/>
        </w:rPr>
      </w:pPr>
      <w:r w:rsidRPr="00613198">
        <w:rPr>
          <w:color w:val="000000" w:themeColor="text1"/>
        </w:rPr>
        <w:t xml:space="preserve">Dodanie nowych zadań do katalogu obowiązków operatora systemu przesyłowego elektroenergetycznego stanowi implementację art. 40 ust. 1 lit. i-k dyrektywy 2019/944. Przepisy te określają zadania operatora w zakresie przyjmowania ram współpracy w ramach koordynacji regionalnej, uczestniczenia w sporządzaniu ocen wystarczalności zasobów na poziomie europejskim i krajowym, cyfryzacji sieci przesyłowej oraz zarządzania danymi i </w:t>
      </w:r>
      <w:proofErr w:type="spellStart"/>
      <w:r w:rsidRPr="00613198">
        <w:rPr>
          <w:color w:val="000000" w:themeColor="text1"/>
        </w:rPr>
        <w:t>cyberbezpieczeństwa</w:t>
      </w:r>
      <w:proofErr w:type="spellEnd"/>
      <w:r w:rsidRPr="00613198">
        <w:rPr>
          <w:color w:val="000000" w:themeColor="text1"/>
        </w:rPr>
        <w:t>.</w:t>
      </w:r>
    </w:p>
    <w:p w14:paraId="3DD5D779" w14:textId="4602BBAA" w:rsidR="00BA0A24" w:rsidRPr="00613198" w:rsidRDefault="00FA401C" w:rsidP="00EE35C2">
      <w:pPr>
        <w:pStyle w:val="USTustnpkodeksu"/>
        <w:rPr>
          <w:color w:val="000000" w:themeColor="text1"/>
        </w:rPr>
      </w:pPr>
      <w:r w:rsidRPr="00613198">
        <w:rPr>
          <w:color w:val="000000" w:themeColor="text1"/>
        </w:rPr>
        <w:t>b</w:t>
      </w:r>
      <w:r w:rsidR="000E63B7" w:rsidRPr="00613198">
        <w:rPr>
          <w:color w:val="000000" w:themeColor="text1"/>
        </w:rPr>
        <w:t xml:space="preserve">) </w:t>
      </w:r>
      <w:r w:rsidR="00F2259E" w:rsidRPr="00613198">
        <w:rPr>
          <w:color w:val="000000" w:themeColor="text1"/>
        </w:rPr>
        <w:t>dodanie ust. 1</w:t>
      </w:r>
      <w:r w:rsidR="00B52A90">
        <w:rPr>
          <w:color w:val="000000" w:themeColor="text1"/>
        </w:rPr>
        <w:t>k</w:t>
      </w:r>
      <w:r w:rsidR="00F2259E" w:rsidRPr="00613198">
        <w:rPr>
          <w:color w:val="000000" w:themeColor="text1"/>
        </w:rPr>
        <w:t xml:space="preserve"> w art. 45 ustawy - </w:t>
      </w:r>
      <w:r w:rsidR="00BF79A7" w:rsidRPr="00613198">
        <w:rPr>
          <w:color w:val="000000" w:themeColor="text1"/>
        </w:rPr>
        <w:t>P</w:t>
      </w:r>
      <w:r w:rsidR="00F2259E" w:rsidRPr="00613198">
        <w:rPr>
          <w:color w:val="000000" w:themeColor="text1"/>
        </w:rPr>
        <w:t>rawo energetyczne</w:t>
      </w:r>
    </w:p>
    <w:p w14:paraId="4FB8051D" w14:textId="71E6346F" w:rsidR="00F2259E" w:rsidRPr="00613198" w:rsidRDefault="001F0B5B" w:rsidP="00EE35C2">
      <w:pPr>
        <w:pStyle w:val="USTustnpkodeksu"/>
        <w:rPr>
          <w:color w:val="000000" w:themeColor="text1"/>
        </w:rPr>
      </w:pPr>
      <w:r>
        <w:rPr>
          <w:color w:val="000000" w:themeColor="text1"/>
        </w:rPr>
        <w:t>D</w:t>
      </w:r>
      <w:r w:rsidR="00F2259E" w:rsidRPr="00613198">
        <w:rPr>
          <w:color w:val="000000" w:themeColor="text1"/>
        </w:rPr>
        <w:t>odanie przepisu</w:t>
      </w:r>
      <w:r w:rsidR="00AF1D58" w:rsidRPr="00613198">
        <w:rPr>
          <w:color w:val="000000" w:themeColor="text1"/>
        </w:rPr>
        <w:t xml:space="preserve"> wynika z treści </w:t>
      </w:r>
      <w:r w:rsidR="00F2259E" w:rsidRPr="00613198">
        <w:rPr>
          <w:color w:val="000000" w:themeColor="text1"/>
        </w:rPr>
        <w:t xml:space="preserve">przepisów rozporządzenia 2019/943 i reguluje uczestnictwo </w:t>
      </w:r>
      <w:r w:rsidR="00AF1D58" w:rsidRPr="00613198">
        <w:rPr>
          <w:color w:val="000000" w:themeColor="text1"/>
        </w:rPr>
        <w:t>operatorów systemów dystrybucyjnych elektroenergetycznych</w:t>
      </w:r>
      <w:r w:rsidR="00F2259E" w:rsidRPr="00613198">
        <w:rPr>
          <w:color w:val="000000" w:themeColor="text1"/>
        </w:rPr>
        <w:t xml:space="preserve"> w nowej jednostce EU DSO, która będzie funkcjonowała na poziomie Unii Europejskiej, jako prawna jednostka reprezentująca interesy europejskich </w:t>
      </w:r>
      <w:r w:rsidR="00AF1D58" w:rsidRPr="00613198">
        <w:rPr>
          <w:color w:val="000000" w:themeColor="text1"/>
        </w:rPr>
        <w:t xml:space="preserve">operatorów systemów dystrybucyjnych elektroenergetycznych. </w:t>
      </w:r>
    </w:p>
    <w:p w14:paraId="2B7D70DA" w14:textId="277671B3" w:rsidR="00674AFE" w:rsidRDefault="000E63B7" w:rsidP="0098461E">
      <w:pPr>
        <w:spacing w:line="360" w:lineRule="auto"/>
        <w:ind w:firstLine="709"/>
        <w:jc w:val="both"/>
        <w:rPr>
          <w:rFonts w:ascii="Times New Roman" w:hAnsi="Times New Roman" w:cs="Times New Roman"/>
          <w:sz w:val="24"/>
          <w:szCs w:val="24"/>
        </w:rPr>
      </w:pPr>
      <w:r w:rsidRPr="00613198">
        <w:rPr>
          <w:rFonts w:ascii="Times" w:eastAsiaTheme="minorEastAsia" w:hAnsi="Times"/>
          <w:bCs/>
          <w:color w:val="000000" w:themeColor="text1"/>
          <w:sz w:val="24"/>
        </w:rPr>
        <w:t xml:space="preserve">Konsekwencją wprowadzenia powyższej zmiany jest dodanie w art. </w:t>
      </w:r>
      <w:r w:rsidRPr="00613198">
        <w:rPr>
          <w:rFonts w:ascii="Times New Roman" w:hAnsi="Times New Roman" w:cs="Times New Roman"/>
          <w:sz w:val="24"/>
          <w:szCs w:val="24"/>
        </w:rPr>
        <w:t xml:space="preserve">46 w ust. 4 w pkt 5 litery </w:t>
      </w:r>
      <w:r w:rsidR="00B52A90">
        <w:rPr>
          <w:rFonts w:ascii="Times New Roman" w:hAnsi="Times New Roman" w:cs="Times New Roman"/>
          <w:sz w:val="24"/>
          <w:szCs w:val="24"/>
        </w:rPr>
        <w:t>f</w:t>
      </w:r>
      <w:r w:rsidRPr="00613198">
        <w:rPr>
          <w:rFonts w:ascii="Times New Roman" w:hAnsi="Times New Roman" w:cs="Times New Roman"/>
          <w:sz w:val="24"/>
          <w:szCs w:val="24"/>
        </w:rPr>
        <w:t>.</w:t>
      </w:r>
    </w:p>
    <w:p w14:paraId="00FF1661" w14:textId="333E2201" w:rsidR="00991EAE" w:rsidRDefault="00991EAE" w:rsidP="00751E6F">
      <w:pPr>
        <w:spacing w:line="360" w:lineRule="auto"/>
        <w:ind w:firstLine="709"/>
        <w:jc w:val="both"/>
        <w:rPr>
          <w:rFonts w:ascii="Times New Roman" w:hAnsi="Times New Roman" w:cs="Times New Roman"/>
          <w:sz w:val="24"/>
          <w:szCs w:val="24"/>
        </w:rPr>
      </w:pPr>
      <w:r w:rsidRPr="00756972">
        <w:rPr>
          <w:rFonts w:ascii="Times New Roman" w:hAnsi="Times New Roman" w:cs="Times New Roman"/>
          <w:sz w:val="24"/>
          <w:szCs w:val="24"/>
        </w:rPr>
        <w:t xml:space="preserve">c) zmiana </w:t>
      </w:r>
      <w:r w:rsidRPr="00E61057">
        <w:rPr>
          <w:rFonts w:ascii="Times New Roman" w:hAnsi="Times New Roman" w:cs="Times New Roman"/>
          <w:sz w:val="24"/>
          <w:szCs w:val="24"/>
        </w:rPr>
        <w:t>art</w:t>
      </w:r>
      <w:r w:rsidRPr="00865552">
        <w:rPr>
          <w:rFonts w:ascii="Times New Roman" w:hAnsi="Times New Roman" w:cs="Times New Roman"/>
          <w:sz w:val="24"/>
          <w:szCs w:val="24"/>
        </w:rPr>
        <w:t>.</w:t>
      </w:r>
      <w:r w:rsidRPr="00F04B9F">
        <w:rPr>
          <w:rFonts w:ascii="Times New Roman" w:hAnsi="Times New Roman" w:cs="Times New Roman"/>
          <w:sz w:val="24"/>
          <w:szCs w:val="24"/>
        </w:rPr>
        <w:t xml:space="preserve"> 9g ust. 12, art. 9h ust. 7 pkt 6, art.</w:t>
      </w:r>
      <w:r w:rsidRPr="00756972">
        <w:rPr>
          <w:rFonts w:ascii="Times New Roman" w:hAnsi="Times New Roman" w:cs="Times New Roman"/>
          <w:sz w:val="24"/>
          <w:szCs w:val="24"/>
        </w:rPr>
        <w:t xml:space="preserve"> 11f, art. 16 ust. 1 pkt 4, </w:t>
      </w:r>
      <w:r w:rsidR="007E75E1" w:rsidRPr="00756972">
        <w:rPr>
          <w:rFonts w:ascii="Times New Roman" w:hAnsi="Times New Roman" w:cs="Times New Roman"/>
          <w:sz w:val="24"/>
          <w:szCs w:val="24"/>
        </w:rPr>
        <w:t xml:space="preserve">dodanie art. 16 </w:t>
      </w:r>
      <w:r w:rsidR="007E75E1" w:rsidRPr="00756972">
        <w:rPr>
          <w:rFonts w:ascii="Times New Roman" w:hAnsi="Times New Roman" w:cs="Times New Roman"/>
          <w:sz w:val="24"/>
          <w:szCs w:val="24"/>
        </w:rPr>
        <w:lastRenderedPageBreak/>
        <w:t>ust. 1 pkt 6, zmiana</w:t>
      </w:r>
      <w:r w:rsidR="00865552">
        <w:rPr>
          <w:rFonts w:ascii="Times New Roman" w:hAnsi="Times New Roman" w:cs="Times New Roman"/>
          <w:sz w:val="24"/>
          <w:szCs w:val="24"/>
        </w:rPr>
        <w:t xml:space="preserve"> art. 46 ust. </w:t>
      </w:r>
      <w:r w:rsidR="00F04B9F">
        <w:rPr>
          <w:rFonts w:ascii="Times New Roman" w:hAnsi="Times New Roman" w:cs="Times New Roman"/>
          <w:sz w:val="24"/>
          <w:szCs w:val="24"/>
        </w:rPr>
        <w:t>4 pkt 5 lit. c i</w:t>
      </w:r>
      <w:r w:rsidR="007E75E1" w:rsidRPr="00F04B9F">
        <w:rPr>
          <w:rFonts w:ascii="Times New Roman" w:hAnsi="Times New Roman" w:cs="Times New Roman"/>
          <w:sz w:val="24"/>
          <w:szCs w:val="24"/>
        </w:rPr>
        <w:t xml:space="preserve"> art. 56 ust. 1 pkt 1d i pkt 19</w:t>
      </w:r>
      <w:r w:rsidR="00756972" w:rsidRPr="00F04B9F">
        <w:rPr>
          <w:rFonts w:ascii="Times New Roman" w:hAnsi="Times New Roman" w:cs="Times New Roman"/>
          <w:sz w:val="24"/>
          <w:szCs w:val="24"/>
        </w:rPr>
        <w:t xml:space="preserve"> </w:t>
      </w:r>
      <w:r w:rsidR="00756972" w:rsidRPr="004441E2">
        <w:rPr>
          <w:rFonts w:ascii="Times New Roman" w:hAnsi="Times New Roman" w:cs="Times New Roman"/>
          <w:sz w:val="24"/>
          <w:szCs w:val="24"/>
        </w:rPr>
        <w:t xml:space="preserve">ustawy – Prawo energetyczne mają na celu aktualizację podstawy prawnej, w związku </w:t>
      </w:r>
      <w:r w:rsidR="00751E6F">
        <w:rPr>
          <w:rFonts w:ascii="Times New Roman" w:hAnsi="Times New Roman" w:cs="Times New Roman"/>
          <w:sz w:val="24"/>
          <w:szCs w:val="24"/>
        </w:rPr>
        <w:t xml:space="preserve">z </w:t>
      </w:r>
      <w:r w:rsidR="00756972" w:rsidRPr="004441E2">
        <w:rPr>
          <w:rFonts w:ascii="Times New Roman" w:hAnsi="Times New Roman" w:cs="Times New Roman"/>
          <w:sz w:val="24"/>
          <w:szCs w:val="24"/>
        </w:rPr>
        <w:t>utratą mocy Rozporządzenia Parlamentu Europejskiego I Rady (We) Nr 714/2009 z dnia 13 lipca 2009 r. w sprawie warunków dostępu do sieci w odniesieniu do transgranicznej wymiany energii elektrycznej i uchylającego rozporządzenie (WE) nr 1228/2003</w:t>
      </w:r>
      <w:r w:rsidR="00756972">
        <w:rPr>
          <w:rFonts w:ascii="Times New Roman" w:hAnsi="Times New Roman" w:cs="Times New Roman"/>
          <w:sz w:val="24"/>
          <w:szCs w:val="24"/>
        </w:rPr>
        <w:t xml:space="preserve"> i zastąpienia ich </w:t>
      </w:r>
      <w:r>
        <w:rPr>
          <w:rFonts w:ascii="Times New Roman" w:hAnsi="Times New Roman"/>
          <w:sz w:val="24"/>
          <w:szCs w:val="24"/>
        </w:rPr>
        <w:t>norm</w:t>
      </w:r>
      <w:r w:rsidR="00756972">
        <w:rPr>
          <w:rFonts w:ascii="Times New Roman" w:hAnsi="Times New Roman"/>
          <w:sz w:val="24"/>
          <w:szCs w:val="24"/>
        </w:rPr>
        <w:t>ami</w:t>
      </w:r>
      <w:r>
        <w:rPr>
          <w:rFonts w:ascii="Times New Roman" w:hAnsi="Times New Roman"/>
          <w:sz w:val="24"/>
          <w:szCs w:val="24"/>
        </w:rPr>
        <w:t xml:space="preserve"> prawny</w:t>
      </w:r>
      <w:r w:rsidR="00756972">
        <w:rPr>
          <w:rFonts w:ascii="Times New Roman" w:hAnsi="Times New Roman"/>
          <w:sz w:val="24"/>
          <w:szCs w:val="24"/>
        </w:rPr>
        <w:t>mi</w:t>
      </w:r>
      <w:r>
        <w:rPr>
          <w:rFonts w:ascii="Times New Roman" w:hAnsi="Times New Roman"/>
          <w:sz w:val="24"/>
          <w:szCs w:val="24"/>
        </w:rPr>
        <w:t xml:space="preserve"> wynikający</w:t>
      </w:r>
      <w:r w:rsidR="00756972">
        <w:rPr>
          <w:rFonts w:ascii="Times New Roman" w:hAnsi="Times New Roman"/>
          <w:sz w:val="24"/>
          <w:szCs w:val="24"/>
        </w:rPr>
        <w:t>mi</w:t>
      </w:r>
      <w:r>
        <w:rPr>
          <w:rFonts w:ascii="Times New Roman" w:hAnsi="Times New Roman"/>
          <w:sz w:val="24"/>
          <w:szCs w:val="24"/>
        </w:rPr>
        <w:t xml:space="preserve"> z </w:t>
      </w:r>
      <w:r w:rsidR="003C78D7" w:rsidRPr="00991EAE">
        <w:rPr>
          <w:rFonts w:ascii="Times New Roman" w:hAnsi="Times New Roman"/>
          <w:sz w:val="24"/>
          <w:szCs w:val="24"/>
        </w:rPr>
        <w:t>rozporządzeni</w:t>
      </w:r>
      <w:r w:rsidR="003C78D7">
        <w:rPr>
          <w:rFonts w:ascii="Times New Roman" w:hAnsi="Times New Roman"/>
          <w:sz w:val="24"/>
          <w:szCs w:val="24"/>
        </w:rPr>
        <w:t>a</w:t>
      </w:r>
      <w:r w:rsidRPr="00991EAE">
        <w:rPr>
          <w:rFonts w:ascii="Times New Roman" w:hAnsi="Times New Roman"/>
          <w:sz w:val="24"/>
          <w:szCs w:val="24"/>
        </w:rPr>
        <w:t xml:space="preserve"> 2019/943</w:t>
      </w:r>
      <w:r>
        <w:rPr>
          <w:rFonts w:ascii="Times New Roman" w:hAnsi="Times New Roman"/>
          <w:sz w:val="24"/>
          <w:szCs w:val="24"/>
        </w:rPr>
        <w:t>.</w:t>
      </w:r>
    </w:p>
    <w:p w14:paraId="71AB5BD9" w14:textId="77777777" w:rsidR="00751E6F" w:rsidRPr="004441E2" w:rsidRDefault="00751E6F" w:rsidP="00751E6F">
      <w:pPr>
        <w:spacing w:line="360" w:lineRule="auto"/>
        <w:ind w:firstLine="709"/>
        <w:jc w:val="both"/>
        <w:rPr>
          <w:rFonts w:ascii="Times New Roman" w:hAnsi="Times New Roman" w:cs="Times New Roman"/>
          <w:sz w:val="14"/>
          <w:szCs w:val="14"/>
        </w:rPr>
      </w:pPr>
    </w:p>
    <w:p w14:paraId="5DB7A750" w14:textId="2C5E5FD1" w:rsidR="00E61057" w:rsidRDefault="00FD274D" w:rsidP="00E61057">
      <w:pPr>
        <w:pStyle w:val="USTustnpkodeksu"/>
        <w:jc w:val="left"/>
        <w:rPr>
          <w:b/>
          <w:color w:val="000000" w:themeColor="text1"/>
        </w:rPr>
      </w:pPr>
      <w:r w:rsidRPr="00613198">
        <w:rPr>
          <w:b/>
          <w:color w:val="000000" w:themeColor="text1"/>
        </w:rPr>
        <w:t xml:space="preserve">Ad </w:t>
      </w:r>
      <w:r w:rsidR="00925345">
        <w:rPr>
          <w:b/>
          <w:color w:val="000000" w:themeColor="text1"/>
        </w:rPr>
        <w:t>9</w:t>
      </w:r>
      <w:r w:rsidR="006E7A41" w:rsidRPr="00613198">
        <w:rPr>
          <w:b/>
          <w:color w:val="000000" w:themeColor="text1"/>
        </w:rPr>
        <w:t xml:space="preserve">. </w:t>
      </w:r>
      <w:r w:rsidRPr="00613198">
        <w:rPr>
          <w:b/>
          <w:color w:val="000000" w:themeColor="text1"/>
        </w:rPr>
        <w:t>Zadania Prezesa Urzędu Regulacji Energetyki</w:t>
      </w:r>
    </w:p>
    <w:p w14:paraId="77E982C0" w14:textId="77777777" w:rsidR="00E61057" w:rsidRPr="004441E2" w:rsidRDefault="00E61057" w:rsidP="00865552">
      <w:pPr>
        <w:pStyle w:val="USTustnpkodeksu"/>
        <w:jc w:val="left"/>
        <w:rPr>
          <w:b/>
          <w:color w:val="000000" w:themeColor="text1"/>
          <w:sz w:val="6"/>
          <w:szCs w:val="2"/>
        </w:rPr>
      </w:pPr>
    </w:p>
    <w:p w14:paraId="0A04742A" w14:textId="582E1C4A" w:rsidR="00B925D8" w:rsidRPr="00613198" w:rsidRDefault="002E3400" w:rsidP="00751E6F">
      <w:pPr>
        <w:pStyle w:val="USTustnpkodeksu"/>
      </w:pPr>
      <w:r w:rsidRPr="00613198">
        <w:t xml:space="preserve">Zmiany w art. 23 </w:t>
      </w:r>
      <w:r w:rsidR="00B52A0E" w:rsidRPr="00613198">
        <w:t xml:space="preserve">ust. 2 </w:t>
      </w:r>
      <w:r w:rsidRPr="00613198">
        <w:t xml:space="preserve">ustawy – </w:t>
      </w:r>
      <w:r w:rsidR="00BF79A7" w:rsidRPr="00613198">
        <w:t>P</w:t>
      </w:r>
      <w:r w:rsidRPr="00613198">
        <w:t>rawo energetyczne mają na celu dostosowanie zadań organu regulacyjnego do przepisów dyrektywy</w:t>
      </w:r>
      <w:r w:rsidR="00B52A0E" w:rsidRPr="00613198">
        <w:t xml:space="preserve"> 2019/944</w:t>
      </w:r>
      <w:r w:rsidRPr="00613198">
        <w:t>, zwłaszcza jej art. 59 i 60.</w:t>
      </w:r>
      <w:r w:rsidR="00B52A0E" w:rsidRPr="00613198">
        <w:t xml:space="preserve"> Zmiana art. 23 ust. 2 pkt 11</w:t>
      </w:r>
      <w:r w:rsidR="00B925D8" w:rsidRPr="00613198">
        <w:t xml:space="preserve">, </w:t>
      </w:r>
      <w:r w:rsidR="00173DD5" w:rsidRPr="00613198">
        <w:t>11b</w:t>
      </w:r>
      <w:r w:rsidR="00B52A0E" w:rsidRPr="00613198">
        <w:t xml:space="preserve"> </w:t>
      </w:r>
      <w:r w:rsidR="00B925D8" w:rsidRPr="00613198">
        <w:t xml:space="preserve">i 14b </w:t>
      </w:r>
      <w:r w:rsidR="00B52A0E" w:rsidRPr="00613198">
        <w:t xml:space="preserve">ustawy – </w:t>
      </w:r>
      <w:r w:rsidR="00BF79A7" w:rsidRPr="00613198">
        <w:t>Prawo energetyczne</w:t>
      </w:r>
      <w:r w:rsidR="00B52A0E" w:rsidRPr="00613198">
        <w:t>, ma na celu dostosowanie tego przepisu do aktualnego stanu prawnego, bowiem rozporządzeni</w:t>
      </w:r>
      <w:r w:rsidR="00173DD5" w:rsidRPr="00613198">
        <w:t>e</w:t>
      </w:r>
      <w:r w:rsidR="00B52A0E" w:rsidRPr="00613198">
        <w:t xml:space="preserve"> (WE) nr 714/2009 Parlamentu Europejskiego i Rady z dnia 13 lipca 2009 r. w sprawie warunków dostępu do sieci w odniesieniu do transgranicznej wymiany energii elektrycznej, do którego odwołuje się ten przepis</w:t>
      </w:r>
      <w:r w:rsidR="00173DD5" w:rsidRPr="00613198">
        <w:t>,</w:t>
      </w:r>
      <w:r w:rsidR="00B52A0E" w:rsidRPr="00613198">
        <w:t xml:space="preserve"> utraciło moc w dniu 31 grudnia 2019 r. i zostało zastąpione przez rozporządzenie 2019/943. </w:t>
      </w:r>
    </w:p>
    <w:p w14:paraId="67E931F1" w14:textId="05F49EBF" w:rsidR="00B925D8" w:rsidRPr="00613198" w:rsidRDefault="00B925D8" w:rsidP="00B925D8">
      <w:pPr>
        <w:pStyle w:val="Tekstpodstawowy22"/>
        <w:spacing w:before="120" w:after="120" w:line="360" w:lineRule="auto"/>
        <w:ind w:firstLine="709"/>
        <w:jc w:val="both"/>
      </w:pPr>
      <w:r w:rsidRPr="00613198">
        <w:t>Dodanie nowego pkt 14b</w:t>
      </w:r>
      <w:r w:rsidR="00B52A90">
        <w:t>a</w:t>
      </w:r>
      <w:r w:rsidRPr="00613198">
        <w:t xml:space="preserve"> w art. 23 ust. 2 </w:t>
      </w:r>
      <w:r w:rsidR="000E1F57" w:rsidRPr="00613198">
        <w:t xml:space="preserve"> oraz ust. 9 </w:t>
      </w:r>
      <w:r w:rsidRPr="00613198">
        <w:t xml:space="preserve">do ustawy – </w:t>
      </w:r>
      <w:r w:rsidR="00BF79A7" w:rsidRPr="00613198">
        <w:t>P</w:t>
      </w:r>
      <w:r w:rsidRPr="00613198">
        <w:t xml:space="preserve">rawo energetyczne ma na celu implementację art. 59 ust. 1 pkt 1 lit. c dyrektywy </w:t>
      </w:r>
      <w:r w:rsidR="005915AE">
        <w:t xml:space="preserve">2019/944 </w:t>
      </w:r>
      <w:r w:rsidRPr="00613198">
        <w:t>zgodnie z którym do zadań organu regulacyjnego należy zapewnienie wykonywania przez ENTSO energii elektrycznej i organizację OSD UE ich obowiązków określonych w dyrektywie 2019/944, rozporządze</w:t>
      </w:r>
      <w:r w:rsidR="00674AFE" w:rsidRPr="00613198">
        <w:t xml:space="preserve">niu 2019/943, kodeksach sieci i </w:t>
      </w:r>
      <w:r w:rsidRPr="00613198">
        <w:t>wytycznych przyjętych na podstawie art. 59</w:t>
      </w:r>
      <w:r w:rsidR="00751E6F">
        <w:t>-</w:t>
      </w:r>
      <w:r w:rsidRPr="00613198">
        <w:t xml:space="preserve"> 61 tego rozporządzenia oraz w innych właściwych przepisach prawa Unii, a także wykonywania decyzji  Agencji do spraw Współpracy Organów Regulacji Energetyki (ACER). </w:t>
      </w:r>
    </w:p>
    <w:p w14:paraId="782DDDB6" w14:textId="30DD3116" w:rsidR="001C3AD5" w:rsidRPr="00613198" w:rsidRDefault="001C3AD5" w:rsidP="009317C2">
      <w:pPr>
        <w:pStyle w:val="Tekstpodstawowy22"/>
        <w:spacing w:line="360" w:lineRule="auto"/>
        <w:ind w:firstLine="709"/>
        <w:jc w:val="both"/>
      </w:pPr>
      <w:r w:rsidRPr="00613198">
        <w:t xml:space="preserve">Dodawany w art. 23 ust. 2 ustawy – </w:t>
      </w:r>
      <w:r w:rsidR="00BF79A7" w:rsidRPr="00613198">
        <w:t>P</w:t>
      </w:r>
      <w:r w:rsidRPr="00613198">
        <w:t>rawo energetyczne pkt 18b lit. a - h, ma na celu implementację art. 59 ust. 1 lit. o oraz art. 5 dyrektywy 2019/944. Nakłada on na organ regulacyjny dodatkowe obowiązki w zakresie monitorowania sytuacji na rynku energii elektrycznej, tj. monitorowanie:</w:t>
      </w:r>
    </w:p>
    <w:p w14:paraId="129F964A" w14:textId="53D74D0B" w:rsidR="001C3AD5" w:rsidRPr="00613198" w:rsidRDefault="001C3AD5" w:rsidP="009317C2">
      <w:pPr>
        <w:pStyle w:val="Tekstpodstawowy22"/>
        <w:tabs>
          <w:tab w:val="left" w:pos="567"/>
        </w:tabs>
        <w:spacing w:line="360" w:lineRule="auto"/>
        <w:ind w:left="567" w:hanging="425"/>
        <w:jc w:val="both"/>
      </w:pPr>
      <w:r w:rsidRPr="00613198">
        <w:t xml:space="preserve">- </w:t>
      </w:r>
      <w:r w:rsidR="009317C2" w:rsidRPr="00613198">
        <w:tab/>
      </w:r>
      <w:r w:rsidRPr="00613198">
        <w:t xml:space="preserve">poziomu i skuteczności otwarcia rynku i konkurencji na poziomie hurtowym i detalicznym, w tym na giełdach energii elektrycznej, </w:t>
      </w:r>
    </w:p>
    <w:p w14:paraId="0F556270" w14:textId="147ABA24" w:rsidR="001C3AD5" w:rsidRPr="00613198" w:rsidRDefault="00674AFE" w:rsidP="009317C2">
      <w:pPr>
        <w:pStyle w:val="Tekstpodstawowy22"/>
        <w:tabs>
          <w:tab w:val="left" w:pos="567"/>
        </w:tabs>
        <w:spacing w:line="360" w:lineRule="auto"/>
        <w:ind w:left="567" w:hanging="425"/>
        <w:jc w:val="both"/>
      </w:pPr>
      <w:r w:rsidRPr="00613198">
        <w:t>-</w:t>
      </w:r>
      <w:r w:rsidR="009317C2" w:rsidRPr="00613198">
        <w:tab/>
      </w:r>
      <w:r w:rsidRPr="00613198">
        <w:t xml:space="preserve">cen dla odbiorców </w:t>
      </w:r>
      <w:r w:rsidR="001C3AD5" w:rsidRPr="00613198">
        <w:t xml:space="preserve">energii elektrycznej w gospodarstwie domowym, w tym </w:t>
      </w:r>
      <w:r w:rsidR="00B52A90" w:rsidRPr="00B52A90">
        <w:t>przedpłatowej formy rozliczeń realizowanych za pomocą liczników zdalnego odczytu skomunikowanych z systemem pomiarowym</w:t>
      </w:r>
      <w:r w:rsidR="001C3AD5" w:rsidRPr="00613198">
        <w:t xml:space="preserve">,  </w:t>
      </w:r>
    </w:p>
    <w:p w14:paraId="59AE1616" w14:textId="21862318" w:rsidR="001C3AD5" w:rsidRPr="00613198" w:rsidRDefault="001C3AD5" w:rsidP="009317C2">
      <w:pPr>
        <w:pStyle w:val="Tekstpodstawowy22"/>
        <w:tabs>
          <w:tab w:val="left" w:pos="567"/>
        </w:tabs>
        <w:spacing w:line="360" w:lineRule="auto"/>
        <w:ind w:left="567" w:hanging="425"/>
        <w:jc w:val="both"/>
      </w:pPr>
      <w:r w:rsidRPr="00613198">
        <w:t>-</w:t>
      </w:r>
      <w:r w:rsidR="009317C2" w:rsidRPr="00613198">
        <w:tab/>
      </w:r>
      <w:r w:rsidRPr="00613198">
        <w:t xml:space="preserve">zawierania i stosowania umów z cenami dynamicznymi energii elektrycznej, ofert </w:t>
      </w:r>
      <w:r w:rsidRPr="00613198">
        <w:lastRenderedPageBreak/>
        <w:t>sprzedawców energii elektrycznej, wpływu tych umów i ofert na ceny i stawki opłat dla odbiorców końcowych w gospodarstwach domowych</w:t>
      </w:r>
      <w:r w:rsidR="005F1ABB" w:rsidRPr="00613198">
        <w:t xml:space="preserve">, a także </w:t>
      </w:r>
      <w:r w:rsidRPr="00613198">
        <w:t xml:space="preserve">szacowanie ryzyk związanych z tymi umowami oraz nakazuje publikowanie co roku, do dnia 30 maja, raportu z tego monitorowania, </w:t>
      </w:r>
    </w:p>
    <w:p w14:paraId="06923B10" w14:textId="153AE38A" w:rsidR="001C3AD5" w:rsidRPr="00613198" w:rsidRDefault="001C3AD5" w:rsidP="009317C2">
      <w:pPr>
        <w:pStyle w:val="Tekstpodstawowy22"/>
        <w:tabs>
          <w:tab w:val="left" w:pos="567"/>
        </w:tabs>
        <w:spacing w:line="360" w:lineRule="auto"/>
        <w:ind w:left="567" w:hanging="425"/>
        <w:jc w:val="both"/>
      </w:pPr>
      <w:r w:rsidRPr="00613198">
        <w:t>-</w:t>
      </w:r>
      <w:r w:rsidR="009317C2" w:rsidRPr="00613198">
        <w:tab/>
      </w:r>
      <w:r w:rsidRPr="00613198">
        <w:t xml:space="preserve">zmian sprzedawców energii elektrycznej oraz </w:t>
      </w:r>
      <w:r w:rsidR="00B52A90" w:rsidRPr="00B52A90">
        <w:t>wstrzymania dostaw energii elektrycznej</w:t>
      </w:r>
      <w:r w:rsidRPr="00613198">
        <w:t xml:space="preserve">, </w:t>
      </w:r>
    </w:p>
    <w:p w14:paraId="32F08BF6" w14:textId="31FD1A6C" w:rsidR="001C3AD5" w:rsidRPr="00613198" w:rsidRDefault="001C3AD5" w:rsidP="009317C2">
      <w:pPr>
        <w:pStyle w:val="Tekstpodstawowy22"/>
        <w:tabs>
          <w:tab w:val="left" w:pos="567"/>
        </w:tabs>
        <w:spacing w:line="360" w:lineRule="auto"/>
        <w:ind w:left="567" w:hanging="425"/>
        <w:jc w:val="both"/>
      </w:pPr>
      <w:r w:rsidRPr="00613198">
        <w:t>-</w:t>
      </w:r>
      <w:r w:rsidR="009317C2" w:rsidRPr="00613198">
        <w:tab/>
      </w:r>
      <w:r w:rsidRPr="00613198">
        <w:t>opłat za usługi w zakresie utrzymania</w:t>
      </w:r>
      <w:r w:rsidR="005F1ABB" w:rsidRPr="00613198">
        <w:t xml:space="preserve"> systemu elektroenergetycznego</w:t>
      </w:r>
      <w:r w:rsidRPr="00613198">
        <w:t xml:space="preserve"> i wykonania</w:t>
      </w:r>
      <w:r w:rsidR="005F1ABB" w:rsidRPr="00613198">
        <w:t xml:space="preserve"> tych</w:t>
      </w:r>
      <w:r w:rsidRPr="00613198">
        <w:t xml:space="preserve"> usług</w:t>
      </w:r>
      <w:r w:rsidR="005F1ABB" w:rsidRPr="00613198">
        <w:t>,</w:t>
      </w:r>
      <w:r w:rsidRPr="00613198">
        <w:t xml:space="preserve"> </w:t>
      </w:r>
    </w:p>
    <w:p w14:paraId="51362A38" w14:textId="295DD775" w:rsidR="001C3AD5" w:rsidRPr="00613198" w:rsidRDefault="001C3AD5" w:rsidP="009317C2">
      <w:pPr>
        <w:pStyle w:val="Tekstpodstawowy22"/>
        <w:tabs>
          <w:tab w:val="left" w:pos="567"/>
        </w:tabs>
        <w:spacing w:line="360" w:lineRule="auto"/>
        <w:ind w:left="567" w:hanging="425"/>
        <w:jc w:val="both"/>
      </w:pPr>
      <w:r w:rsidRPr="00613198">
        <w:t>-</w:t>
      </w:r>
      <w:r w:rsidR="009317C2" w:rsidRPr="00613198">
        <w:tab/>
      </w:r>
      <w:r w:rsidRPr="00613198">
        <w:t>stosunku cen</w:t>
      </w:r>
      <w:r w:rsidR="00B52A90" w:rsidRPr="00B52A90">
        <w:t xml:space="preserve"> stosowanych przez sprzedawców energii elektrycznej</w:t>
      </w:r>
      <w:r w:rsidRPr="00613198">
        <w:t xml:space="preserve"> dla odbiorców energii elektrycznej w gospodarstwach domowych do cen hurtowych energii elektrycznej, </w:t>
      </w:r>
    </w:p>
    <w:p w14:paraId="25FE759F" w14:textId="0F37D35E" w:rsidR="001C3AD5" w:rsidRPr="00613198" w:rsidRDefault="001C3AD5" w:rsidP="009317C2">
      <w:pPr>
        <w:pStyle w:val="Tekstpodstawowy22"/>
        <w:tabs>
          <w:tab w:val="left" w:pos="567"/>
        </w:tabs>
        <w:spacing w:line="360" w:lineRule="auto"/>
        <w:ind w:left="567" w:hanging="425"/>
        <w:jc w:val="both"/>
      </w:pPr>
      <w:r w:rsidRPr="00613198">
        <w:t>-</w:t>
      </w:r>
      <w:r w:rsidR="009317C2" w:rsidRPr="00613198">
        <w:tab/>
      </w:r>
      <w:r w:rsidRPr="00613198">
        <w:t xml:space="preserve">kształtowania się taryf i </w:t>
      </w:r>
      <w:r w:rsidR="00B52A90" w:rsidRPr="00B52A90">
        <w:t>opłat za świadczenie usług dystrybucyjnych</w:t>
      </w:r>
      <w:r w:rsidRPr="00613198">
        <w:t xml:space="preserve">, </w:t>
      </w:r>
    </w:p>
    <w:p w14:paraId="2DF30EFC" w14:textId="55EB7EBE" w:rsidR="007D4AD9" w:rsidRPr="00613198" w:rsidRDefault="001C3AD5" w:rsidP="009317C2">
      <w:pPr>
        <w:pStyle w:val="Tekstpodstawowy22"/>
        <w:tabs>
          <w:tab w:val="left" w:pos="567"/>
        </w:tabs>
        <w:spacing w:line="360" w:lineRule="auto"/>
        <w:ind w:left="567" w:hanging="425"/>
        <w:jc w:val="both"/>
      </w:pPr>
      <w:r w:rsidRPr="00613198">
        <w:t>-</w:t>
      </w:r>
      <w:r w:rsidR="009317C2" w:rsidRPr="00613198">
        <w:tab/>
      </w:r>
      <w:r w:rsidRPr="00613198">
        <w:t>skarg zgłaszanych przez odbiorców energii elektryc</w:t>
      </w:r>
      <w:r w:rsidR="007D4AD9" w:rsidRPr="00613198">
        <w:t>zn</w:t>
      </w:r>
      <w:r w:rsidR="005F1ABB" w:rsidRPr="00613198">
        <w:t>ej</w:t>
      </w:r>
      <w:r w:rsidR="007D4AD9" w:rsidRPr="00613198">
        <w:t xml:space="preserve"> w gospodarstwach domowych, oraz </w:t>
      </w:r>
    </w:p>
    <w:p w14:paraId="60929231" w14:textId="04BBD704" w:rsidR="001C3AD5" w:rsidRPr="00613198" w:rsidRDefault="007D4AD9" w:rsidP="009317C2">
      <w:pPr>
        <w:pStyle w:val="Tekstpodstawowy22"/>
        <w:tabs>
          <w:tab w:val="left" w:pos="567"/>
        </w:tabs>
        <w:spacing w:line="360" w:lineRule="auto"/>
        <w:ind w:left="567" w:hanging="425"/>
        <w:jc w:val="both"/>
      </w:pPr>
      <w:r w:rsidRPr="00613198">
        <w:t>-</w:t>
      </w:r>
      <w:r w:rsidR="009317C2" w:rsidRPr="00613198">
        <w:tab/>
      </w:r>
      <w:r w:rsidR="001C3AD5" w:rsidRPr="00613198">
        <w:t xml:space="preserve">zakłóceń lub ograniczeń konkurencji, w tym poprzez dostarczanie  stosownych informacji oraz przekazywanie </w:t>
      </w:r>
      <w:r w:rsidR="00B52A90" w:rsidRPr="00B52A90">
        <w:t>Prezesowi Urzędu Ochrony Konkurencji i Konsumentów</w:t>
      </w:r>
      <w:r w:rsidR="00B52A90">
        <w:t xml:space="preserve"> </w:t>
      </w:r>
      <w:r w:rsidR="001C3AD5" w:rsidRPr="00613198">
        <w:t>wszelkich istotnych przypadków</w:t>
      </w:r>
      <w:r w:rsidR="005F1ABB" w:rsidRPr="00613198">
        <w:t xml:space="preserve"> tych zakłóceń lub ograniczeń</w:t>
      </w:r>
      <w:r w:rsidR="001C3AD5" w:rsidRPr="00613198">
        <w:t xml:space="preserve">. </w:t>
      </w:r>
    </w:p>
    <w:p w14:paraId="71FF47ED" w14:textId="46553025" w:rsidR="00FD274D" w:rsidRPr="00613198" w:rsidRDefault="007D4AD9" w:rsidP="005B1E70">
      <w:pPr>
        <w:pStyle w:val="Tekstpodstawowy22"/>
        <w:spacing w:before="120" w:after="120" w:line="360" w:lineRule="auto"/>
        <w:ind w:firstLine="709"/>
        <w:jc w:val="both"/>
      </w:pPr>
      <w:r w:rsidRPr="00613198">
        <w:t xml:space="preserve">Dodawany art. 23 ust. 2 pkt 18b lit. </w:t>
      </w:r>
      <w:r w:rsidR="005B1E70" w:rsidRPr="00613198">
        <w:t xml:space="preserve">j </w:t>
      </w:r>
      <w:r w:rsidRPr="00613198">
        <w:t xml:space="preserve">ma na celu implementację art. 59 ust. 1 lit. p dyrektywy </w:t>
      </w:r>
      <w:r w:rsidR="005915AE">
        <w:t xml:space="preserve">2019/944 </w:t>
      </w:r>
      <w:r w:rsidRPr="00613198">
        <w:t xml:space="preserve">i nakłada na Prezesa URE obowiązek monitorowania </w:t>
      </w:r>
      <w:r w:rsidR="001C3AD5" w:rsidRPr="00613198">
        <w:t xml:space="preserve">występowania restrykcyjnych praktyk umownych, w tym klauzul wyłączności, które mogą uniemożliwiać odbiorcom jednoczesne zawieranie umów z więcej niż jednym sprzedawcą lub ograniczać ich wybór w tym zakresie, a w stosownych przypadkach </w:t>
      </w:r>
      <w:r w:rsidRPr="00613198">
        <w:t xml:space="preserve">nakazuje </w:t>
      </w:r>
      <w:r w:rsidR="001C3AD5" w:rsidRPr="00613198">
        <w:t>powiadamianie o takich praktykach krajow</w:t>
      </w:r>
      <w:r w:rsidRPr="00613198">
        <w:t>ych organów ochrony konkurencji.</w:t>
      </w:r>
    </w:p>
    <w:p w14:paraId="69773F0A" w14:textId="30B0EA71" w:rsidR="00052B24" w:rsidRPr="00613198" w:rsidRDefault="00052B24" w:rsidP="005B1E70">
      <w:pPr>
        <w:pStyle w:val="Tekstpodstawowy22"/>
        <w:spacing w:before="120" w:after="120" w:line="360" w:lineRule="auto"/>
        <w:ind w:firstLine="709"/>
        <w:jc w:val="both"/>
      </w:pPr>
      <w:r w:rsidRPr="00613198">
        <w:t>Dodawany</w:t>
      </w:r>
      <w:r w:rsidR="00634ED9" w:rsidRPr="00613198">
        <w:t xml:space="preserve"> w</w:t>
      </w:r>
      <w:r w:rsidRPr="00613198">
        <w:t xml:space="preserve"> art. </w:t>
      </w:r>
      <w:r w:rsidR="00634ED9" w:rsidRPr="00613198">
        <w:t>23</w:t>
      </w:r>
      <w:r w:rsidRPr="00613198">
        <w:t xml:space="preserve"> </w:t>
      </w:r>
      <w:r w:rsidR="00F31BE3" w:rsidRPr="00613198">
        <w:t xml:space="preserve">ustawy – </w:t>
      </w:r>
      <w:r w:rsidR="00BF79A7" w:rsidRPr="00613198">
        <w:t>Prawo energetyczne</w:t>
      </w:r>
      <w:r w:rsidR="00F31BE3" w:rsidRPr="00613198">
        <w:t xml:space="preserve"> ust. 8, </w:t>
      </w:r>
      <w:r w:rsidRPr="00613198">
        <w:t>zobowiązuje Prezesa URE, zgodnie z art. 59 ust. 1 pkt 1 lit. s dyrektywy 2019/944, do publikowania na stronie internetowej Urzędu Regulacji Energetyki, co najmniej raz w roku, zaleceń dotyczących zapewnienia zgodności cen sprzedaży energii elektrycznej z wymogami konkurencyjnego rynku energii i przekazania tych zaleceń, w przypadku gdy uzna to za konieczne, Prezesowi Ochrony Konkurencji i Konsumentów.</w:t>
      </w:r>
    </w:p>
    <w:p w14:paraId="2B2CE6BA" w14:textId="35346887" w:rsidR="00E61057" w:rsidRDefault="00E565C2" w:rsidP="00E61057">
      <w:pPr>
        <w:pStyle w:val="Tekstpodstawowy22"/>
        <w:spacing w:before="120" w:after="120" w:line="360" w:lineRule="auto"/>
        <w:ind w:firstLine="709"/>
        <w:jc w:val="both"/>
      </w:pPr>
      <w:r w:rsidRPr="00613198">
        <w:t xml:space="preserve">Dodawany do ustawy – </w:t>
      </w:r>
      <w:r w:rsidR="00BF79A7" w:rsidRPr="00613198">
        <w:t>Prawo energetyczne</w:t>
      </w:r>
      <w:r w:rsidRPr="00613198">
        <w:t xml:space="preserve"> art. 24</w:t>
      </w:r>
      <w:r w:rsidR="006F0013">
        <w:t>c</w:t>
      </w:r>
      <w:r w:rsidRPr="00613198">
        <w:t xml:space="preserve">, ma na celu implementację art. 59 ust. 1 pkt 1 lit. i dyrektywy 2019/944, zgodnie z którym, do zadań Prezesa URE należy przedkładanie właściwym organom państw członkowskich, Komisji i Agencji corocznego sprawozdania z działalności i z wypełniania obowiązków organu regulacyjnego, w tym z zastosowanych środków oraz uzyskanych wyników w zakresie zadań regulatora wymienionych </w:t>
      </w:r>
      <w:r w:rsidR="005915AE">
        <w:t xml:space="preserve">w </w:t>
      </w:r>
      <w:r w:rsidRPr="00613198">
        <w:t>dyrektywie.</w:t>
      </w:r>
    </w:p>
    <w:p w14:paraId="4B7E9223" w14:textId="53DF922E" w:rsidR="00756972" w:rsidRDefault="00756972" w:rsidP="00756972">
      <w:pPr>
        <w:pStyle w:val="Tekstpodstawowy22"/>
        <w:spacing w:before="120" w:after="120" w:line="360" w:lineRule="auto"/>
        <w:ind w:firstLine="709"/>
        <w:jc w:val="both"/>
      </w:pPr>
      <w:r>
        <w:lastRenderedPageBreak/>
        <w:t xml:space="preserve">Zmiana do art. 56 ust. 8 ustawy – Prawo energetyczne ma na celu aktualizację podstawy prawnej, w związku utratą mocy Rozporządzenia Parlamentu Europejskiego </w:t>
      </w:r>
      <w:r w:rsidR="0055299E">
        <w:t xml:space="preserve">i </w:t>
      </w:r>
      <w:r>
        <w:t>Rady (We) Nr 714/2009 z dnia 13 lipca 2009 r. w sprawie warunków dostępu do sieci w odniesieniu do transgranicznej wymiany energii elektrycznej i uchylającego rozporządzenie (WE) nr 1228/2003.</w:t>
      </w:r>
    </w:p>
    <w:p w14:paraId="2CD3BF94" w14:textId="04FAA75C" w:rsidR="00594D5C" w:rsidRPr="00594D5C" w:rsidRDefault="00594D5C" w:rsidP="00594D5C">
      <w:pPr>
        <w:spacing w:beforeLines="60" w:before="144" w:afterLines="60" w:after="144" w:line="360" w:lineRule="auto"/>
        <w:ind w:firstLine="360"/>
        <w:jc w:val="both"/>
        <w:rPr>
          <w:rFonts w:ascii="Times New Roman" w:hAnsi="Times New Roman" w:cs="Times New Roman"/>
          <w:sz w:val="24"/>
          <w:szCs w:val="24"/>
        </w:rPr>
      </w:pPr>
      <w:r w:rsidRPr="00594D5C">
        <w:rPr>
          <w:rFonts w:ascii="Times New Roman" w:hAnsi="Times New Roman" w:cs="Times New Roman"/>
          <w:sz w:val="24"/>
          <w:szCs w:val="24"/>
        </w:rPr>
        <w:t xml:space="preserve">Projekt ustawy wprowadza ponadto </w:t>
      </w:r>
      <w:r w:rsidR="00925345">
        <w:rPr>
          <w:rFonts w:ascii="Times New Roman" w:hAnsi="Times New Roman" w:cs="Times New Roman"/>
          <w:sz w:val="24"/>
          <w:szCs w:val="24"/>
        </w:rPr>
        <w:t xml:space="preserve">możliwość </w:t>
      </w:r>
      <w:r w:rsidRPr="00594D5C">
        <w:rPr>
          <w:rFonts w:ascii="Times New Roman" w:hAnsi="Times New Roman" w:cs="Times New Roman"/>
          <w:sz w:val="24"/>
          <w:szCs w:val="24"/>
        </w:rPr>
        <w:t>zgłoszenia Prezesowi URE przez każdego</w:t>
      </w:r>
      <w:r w:rsidR="00925345">
        <w:rPr>
          <w:rFonts w:ascii="Times New Roman" w:hAnsi="Times New Roman" w:cs="Times New Roman"/>
          <w:sz w:val="24"/>
          <w:szCs w:val="24"/>
        </w:rPr>
        <w:t xml:space="preserve"> odbiorcę końcowego</w:t>
      </w:r>
      <w:r w:rsidRPr="00594D5C">
        <w:rPr>
          <w:rFonts w:ascii="Times New Roman" w:hAnsi="Times New Roman" w:cs="Times New Roman"/>
          <w:sz w:val="24"/>
          <w:szCs w:val="24"/>
        </w:rPr>
        <w:t xml:space="preserve">, </w:t>
      </w:r>
      <w:r w:rsidR="00925345" w:rsidRPr="00594D5C">
        <w:rPr>
          <w:rFonts w:ascii="Times New Roman" w:hAnsi="Times New Roman" w:cs="Times New Roman"/>
          <w:sz w:val="24"/>
          <w:szCs w:val="24"/>
        </w:rPr>
        <w:t>k</w:t>
      </w:r>
      <w:r w:rsidR="00925345">
        <w:rPr>
          <w:rFonts w:ascii="Times New Roman" w:hAnsi="Times New Roman" w:cs="Times New Roman"/>
          <w:sz w:val="24"/>
          <w:szCs w:val="24"/>
        </w:rPr>
        <w:t>tórego</w:t>
      </w:r>
      <w:r w:rsidR="00925345" w:rsidRPr="00594D5C">
        <w:rPr>
          <w:rFonts w:ascii="Times New Roman" w:hAnsi="Times New Roman" w:cs="Times New Roman"/>
          <w:sz w:val="24"/>
          <w:szCs w:val="24"/>
        </w:rPr>
        <w:t xml:space="preserve"> </w:t>
      </w:r>
      <w:r w:rsidRPr="00594D5C">
        <w:rPr>
          <w:rFonts w:ascii="Times New Roman" w:hAnsi="Times New Roman" w:cs="Times New Roman"/>
          <w:sz w:val="24"/>
          <w:szCs w:val="24"/>
        </w:rPr>
        <w:t>prawa związane z wykonywaniem obowiązków przez operatora systemu elektroenergetycznego mogły zostać naruszone, zawiadomienia dotyczącego podejrzenia naruszenia tych obowiązków.</w:t>
      </w:r>
    </w:p>
    <w:p w14:paraId="52694F7B" w14:textId="389BC676" w:rsidR="00594D5C" w:rsidRDefault="00594D5C" w:rsidP="00594D5C">
      <w:pPr>
        <w:spacing w:beforeLines="60" w:before="144" w:afterLines="60" w:after="144" w:line="360" w:lineRule="auto"/>
        <w:ind w:firstLine="360"/>
        <w:jc w:val="both"/>
        <w:rPr>
          <w:rFonts w:ascii="Times" w:hAnsi="Times" w:cs="Times"/>
          <w:sz w:val="24"/>
          <w:szCs w:val="24"/>
        </w:rPr>
      </w:pPr>
      <w:r w:rsidRPr="003152A0">
        <w:rPr>
          <w:rFonts w:ascii="Times" w:hAnsi="Times" w:cs="Times"/>
          <w:sz w:val="24"/>
          <w:szCs w:val="24"/>
        </w:rPr>
        <w:t>Zgodnie z art. 60 ust. 2 dyrektywy</w:t>
      </w:r>
      <w:r>
        <w:rPr>
          <w:rFonts w:ascii="Times" w:hAnsi="Times" w:cs="Times"/>
          <w:sz w:val="24"/>
          <w:szCs w:val="24"/>
        </w:rPr>
        <w:t xml:space="preserve"> 2019/944</w:t>
      </w:r>
      <w:r w:rsidRPr="003152A0">
        <w:rPr>
          <w:rFonts w:ascii="Times" w:hAnsi="Times" w:cs="Times"/>
          <w:sz w:val="24"/>
          <w:szCs w:val="24"/>
        </w:rPr>
        <w:t>, państwa członkowskie są zobowiązane zapewnić możliwość zgłoszenia przez każdą ze stron skargi na operatora systemu przesyłowego lub dystrybucyjnego, odnoszącej się do obowiązków tego operatora określonych na</w:t>
      </w:r>
      <w:r>
        <w:rPr>
          <w:rFonts w:ascii="Times" w:hAnsi="Times" w:cs="Times"/>
          <w:sz w:val="24"/>
          <w:szCs w:val="24"/>
        </w:rPr>
        <w:t xml:space="preserve"> jej</w:t>
      </w:r>
      <w:r w:rsidRPr="003152A0">
        <w:rPr>
          <w:rFonts w:ascii="Times" w:hAnsi="Times" w:cs="Times"/>
          <w:sz w:val="24"/>
          <w:szCs w:val="24"/>
        </w:rPr>
        <w:t xml:space="preserve"> mocy. Strona może przekazać tę skargę do organu regulacyjnego, który działając jako organ rozstrzygający spory, wydaje </w:t>
      </w:r>
      <w:r w:rsidR="00BE10DF">
        <w:rPr>
          <w:rFonts w:ascii="Times" w:hAnsi="Times" w:cs="Times"/>
          <w:sz w:val="24"/>
          <w:szCs w:val="24"/>
        </w:rPr>
        <w:t>rozstrzygnięcie</w:t>
      </w:r>
      <w:r w:rsidR="00BE10DF" w:rsidRPr="003152A0">
        <w:rPr>
          <w:rFonts w:ascii="Times" w:hAnsi="Times" w:cs="Times"/>
          <w:sz w:val="24"/>
          <w:szCs w:val="24"/>
        </w:rPr>
        <w:t xml:space="preserve"> </w:t>
      </w:r>
      <w:r w:rsidRPr="003152A0">
        <w:rPr>
          <w:rFonts w:ascii="Times" w:hAnsi="Times" w:cs="Times"/>
          <w:sz w:val="24"/>
          <w:szCs w:val="24"/>
        </w:rPr>
        <w:t>w terminie dwóch miesięcy od otrzymania skargi. Termin ten może zostać przedłużony o dwa miesiące, jeżeli organ regulacyjn</w:t>
      </w:r>
      <w:r>
        <w:rPr>
          <w:rFonts w:ascii="Times" w:hAnsi="Times" w:cs="Times"/>
          <w:sz w:val="24"/>
          <w:szCs w:val="24"/>
        </w:rPr>
        <w:t>y</w:t>
      </w:r>
      <w:r w:rsidRPr="003152A0">
        <w:rPr>
          <w:rFonts w:ascii="Times" w:hAnsi="Times" w:cs="Times"/>
          <w:sz w:val="24"/>
          <w:szCs w:val="24"/>
        </w:rPr>
        <w:t xml:space="preserve"> zwraca się o przekazanie dodatkowych informacji. Przedłużony termin może zostać ponownie przedłużony za zgodą wnoszącego skargę. </w:t>
      </w:r>
    </w:p>
    <w:p w14:paraId="2D1AFCCC" w14:textId="77777777" w:rsidR="00594D5C" w:rsidRPr="003152A0" w:rsidRDefault="00594D5C" w:rsidP="00594D5C">
      <w:pPr>
        <w:spacing w:beforeLines="60" w:before="144" w:afterLines="60" w:after="144" w:line="360" w:lineRule="auto"/>
        <w:ind w:firstLine="360"/>
        <w:jc w:val="both"/>
        <w:rPr>
          <w:rFonts w:ascii="Times" w:hAnsi="Times" w:cs="Times"/>
          <w:sz w:val="24"/>
          <w:szCs w:val="24"/>
        </w:rPr>
      </w:pPr>
      <w:r w:rsidRPr="003152A0">
        <w:rPr>
          <w:rFonts w:ascii="Times" w:hAnsi="Times" w:cs="Times"/>
          <w:sz w:val="24"/>
          <w:szCs w:val="24"/>
        </w:rPr>
        <w:t xml:space="preserve">Zgodnie z wyrokiem z dnia 8 października 2020 r. w sprawie C-360/19 Crown Van </w:t>
      </w:r>
      <w:proofErr w:type="spellStart"/>
      <w:r w:rsidRPr="003152A0">
        <w:rPr>
          <w:rFonts w:ascii="Times" w:hAnsi="Times" w:cs="Times"/>
          <w:sz w:val="24"/>
          <w:szCs w:val="24"/>
        </w:rPr>
        <w:t>Gelder</w:t>
      </w:r>
      <w:proofErr w:type="spellEnd"/>
      <w:r w:rsidRPr="003152A0">
        <w:rPr>
          <w:rFonts w:ascii="Times" w:hAnsi="Times" w:cs="Times"/>
          <w:sz w:val="24"/>
          <w:szCs w:val="24"/>
        </w:rPr>
        <w:t xml:space="preserve"> Trybunał Sprawiedliwości Unii Europejskiej uznał, że organ regulacyjny nie może odrzucić skargi wniesionej przez odbiorcę końcowego na operatora systemu przesyłowego po wystąpieniu awarii zasilania w tym systemie poprzez wykazanie, że instalacja tego odbiorcy końcowego</w:t>
      </w:r>
      <w:r>
        <w:rPr>
          <w:rFonts w:ascii="Times" w:hAnsi="Times" w:cs="Times"/>
          <w:sz w:val="24"/>
          <w:szCs w:val="24"/>
        </w:rPr>
        <w:t xml:space="preserve"> nie</w:t>
      </w:r>
      <w:r w:rsidRPr="003152A0">
        <w:rPr>
          <w:rFonts w:ascii="Times" w:hAnsi="Times" w:cs="Times"/>
          <w:sz w:val="24"/>
          <w:szCs w:val="24"/>
        </w:rPr>
        <w:t xml:space="preserve"> jest przyłączona bezpośrednio do wspomnianego systemu przesyłowego, lecz jedynie do systemu dystrybucyjnego zasilanego przez system przesyłowy. Tym samym Trybunał Sprawiedliwości Unii Europejskiej uznał, że brak bezpośredniego związku prawnego skarżącego ze spółką, która nie dochowała swoich obowiązków</w:t>
      </w:r>
      <w:r>
        <w:rPr>
          <w:rFonts w:ascii="Times" w:hAnsi="Times" w:cs="Times"/>
          <w:sz w:val="24"/>
          <w:szCs w:val="24"/>
        </w:rPr>
        <w:t>,</w:t>
      </w:r>
      <w:r w:rsidRPr="003152A0">
        <w:rPr>
          <w:rFonts w:ascii="Times" w:hAnsi="Times" w:cs="Times"/>
          <w:sz w:val="24"/>
          <w:szCs w:val="24"/>
        </w:rPr>
        <w:t xml:space="preserve"> nie może stanowić podstawy do odrzucenia skargi oraz tym samym niepodjęcia dalszych działań przez organ regulacyjny.</w:t>
      </w:r>
    </w:p>
    <w:p w14:paraId="7F60F326" w14:textId="3CF1B4DF" w:rsidR="00594D5C" w:rsidRPr="003152A0" w:rsidRDefault="00594D5C" w:rsidP="00594D5C">
      <w:pPr>
        <w:spacing w:beforeLines="60" w:before="144" w:afterLines="60" w:after="144" w:line="360" w:lineRule="auto"/>
        <w:ind w:firstLine="360"/>
        <w:jc w:val="both"/>
        <w:rPr>
          <w:rFonts w:ascii="Times" w:hAnsi="Times" w:cs="Times"/>
          <w:sz w:val="24"/>
          <w:szCs w:val="24"/>
        </w:rPr>
      </w:pPr>
      <w:r w:rsidRPr="003152A0">
        <w:rPr>
          <w:rFonts w:ascii="Times" w:hAnsi="Times" w:cs="Times"/>
          <w:sz w:val="24"/>
          <w:szCs w:val="24"/>
        </w:rPr>
        <w:t>Pro</w:t>
      </w:r>
      <w:r>
        <w:rPr>
          <w:rFonts w:ascii="Times" w:hAnsi="Times" w:cs="Times"/>
          <w:sz w:val="24"/>
          <w:szCs w:val="24"/>
        </w:rPr>
        <w:t>jektowane przepisy (dodawane art. 8</w:t>
      </w:r>
      <w:r w:rsidR="00EF7187" w:rsidRPr="00EF7187">
        <w:rPr>
          <w:rFonts w:ascii="Times" w:hAnsi="Times" w:cs="Times"/>
          <w:sz w:val="24"/>
          <w:szCs w:val="24"/>
          <w:vertAlign w:val="superscript"/>
        </w:rPr>
        <w:t>1</w:t>
      </w:r>
      <w:r>
        <w:rPr>
          <w:rFonts w:ascii="Times" w:hAnsi="Times" w:cs="Times"/>
          <w:sz w:val="24"/>
          <w:szCs w:val="24"/>
        </w:rPr>
        <w:t xml:space="preserve"> </w:t>
      </w:r>
      <w:r w:rsidR="00EF7187">
        <w:rPr>
          <w:rFonts w:ascii="Times" w:hAnsi="Times" w:cs="Times"/>
          <w:sz w:val="24"/>
          <w:szCs w:val="24"/>
        </w:rPr>
        <w:t xml:space="preserve">do </w:t>
      </w:r>
      <w:r>
        <w:rPr>
          <w:rFonts w:ascii="Times" w:hAnsi="Times" w:cs="Times"/>
          <w:sz w:val="24"/>
          <w:szCs w:val="24"/>
        </w:rPr>
        <w:t>ustawy – Prawo energetyczne</w:t>
      </w:r>
      <w:r w:rsidR="00EF7187">
        <w:rPr>
          <w:rFonts w:ascii="Times" w:hAnsi="Times" w:cs="Times"/>
          <w:sz w:val="24"/>
          <w:szCs w:val="24"/>
        </w:rPr>
        <w:t>)</w:t>
      </w:r>
      <w:r>
        <w:rPr>
          <w:rFonts w:ascii="Times" w:hAnsi="Times" w:cs="Times"/>
          <w:sz w:val="24"/>
          <w:szCs w:val="24"/>
        </w:rPr>
        <w:t xml:space="preserve"> mają na celu implementację </w:t>
      </w:r>
      <w:r w:rsidRPr="003152A0">
        <w:rPr>
          <w:rFonts w:ascii="Times" w:hAnsi="Times" w:cs="Times"/>
          <w:sz w:val="24"/>
          <w:szCs w:val="24"/>
        </w:rPr>
        <w:t>art. 60 ust. 2 dyrektywy</w:t>
      </w:r>
      <w:r>
        <w:rPr>
          <w:rFonts w:ascii="Times" w:hAnsi="Times" w:cs="Times"/>
          <w:sz w:val="24"/>
          <w:szCs w:val="24"/>
        </w:rPr>
        <w:t xml:space="preserve"> 2019/944 i </w:t>
      </w:r>
      <w:r>
        <w:rPr>
          <w:rFonts w:ascii="Times New Roman" w:hAnsi="Times New Roman" w:cs="Times New Roman"/>
          <w:sz w:val="24"/>
          <w:szCs w:val="24"/>
        </w:rPr>
        <w:t xml:space="preserve">wykonanie wyroku Trybunału Sprawiedliwości Unii Europejskiej z dnia 8 października 2020 r. w sprawie C-360/19 </w:t>
      </w:r>
      <w:r w:rsidRPr="009F75C8">
        <w:rPr>
          <w:rFonts w:ascii="Times New Roman" w:hAnsi="Times New Roman" w:cs="Times New Roman"/>
          <w:sz w:val="24"/>
          <w:szCs w:val="24"/>
        </w:rPr>
        <w:t xml:space="preserve">- Crown Van </w:t>
      </w:r>
      <w:proofErr w:type="spellStart"/>
      <w:r w:rsidRPr="009F75C8">
        <w:rPr>
          <w:rFonts w:ascii="Times New Roman" w:hAnsi="Times New Roman" w:cs="Times New Roman"/>
          <w:sz w:val="24"/>
          <w:szCs w:val="24"/>
        </w:rPr>
        <w:t>Gelder</w:t>
      </w:r>
      <w:proofErr w:type="spellEnd"/>
      <w:r w:rsidRPr="009F75C8">
        <w:rPr>
          <w:rFonts w:ascii="Times New Roman" w:hAnsi="Times New Roman" w:cs="Times New Roman"/>
          <w:sz w:val="24"/>
          <w:szCs w:val="24"/>
        </w:rPr>
        <w:t xml:space="preserve"> BV/</w:t>
      </w:r>
      <w:proofErr w:type="spellStart"/>
      <w:r w:rsidRPr="009F75C8">
        <w:rPr>
          <w:rFonts w:ascii="Times New Roman" w:hAnsi="Times New Roman" w:cs="Times New Roman"/>
          <w:sz w:val="24"/>
          <w:szCs w:val="24"/>
        </w:rPr>
        <w:t>Autoriteit</w:t>
      </w:r>
      <w:proofErr w:type="spellEnd"/>
      <w:r w:rsidRPr="009F75C8">
        <w:rPr>
          <w:rFonts w:ascii="Times New Roman" w:hAnsi="Times New Roman" w:cs="Times New Roman"/>
          <w:sz w:val="24"/>
          <w:szCs w:val="24"/>
        </w:rPr>
        <w:t xml:space="preserve"> </w:t>
      </w:r>
      <w:proofErr w:type="spellStart"/>
      <w:r w:rsidRPr="009F75C8">
        <w:rPr>
          <w:rFonts w:ascii="Times New Roman" w:hAnsi="Times New Roman" w:cs="Times New Roman"/>
          <w:sz w:val="24"/>
          <w:szCs w:val="24"/>
        </w:rPr>
        <w:t>Consument</w:t>
      </w:r>
      <w:proofErr w:type="spellEnd"/>
      <w:r w:rsidRPr="009F75C8">
        <w:rPr>
          <w:rFonts w:ascii="Times New Roman" w:hAnsi="Times New Roman" w:cs="Times New Roman"/>
          <w:sz w:val="24"/>
          <w:szCs w:val="24"/>
        </w:rPr>
        <w:t xml:space="preserve"> en </w:t>
      </w:r>
      <w:proofErr w:type="spellStart"/>
      <w:r w:rsidRPr="009F75C8">
        <w:rPr>
          <w:rFonts w:ascii="Times New Roman" w:hAnsi="Times New Roman" w:cs="Times New Roman"/>
          <w:sz w:val="24"/>
          <w:szCs w:val="24"/>
        </w:rPr>
        <w:t>Markt</w:t>
      </w:r>
      <w:proofErr w:type="spellEnd"/>
      <w:r>
        <w:rPr>
          <w:rFonts w:ascii="Times New Roman" w:hAnsi="Times New Roman" w:cs="Times New Roman"/>
          <w:sz w:val="24"/>
          <w:szCs w:val="24"/>
        </w:rPr>
        <w:t xml:space="preserve"> </w:t>
      </w:r>
      <w:r w:rsidRPr="009F75C8">
        <w:rPr>
          <w:rFonts w:ascii="Times New Roman" w:hAnsi="Times New Roman" w:cs="Times New Roman"/>
          <w:sz w:val="24"/>
          <w:szCs w:val="24"/>
        </w:rPr>
        <w:t xml:space="preserve">(wniosek o wydanie orzeczenia w trybie prejudycjalnym złożony przez College van </w:t>
      </w:r>
      <w:proofErr w:type="spellStart"/>
      <w:r w:rsidRPr="009F75C8">
        <w:rPr>
          <w:rFonts w:ascii="Times New Roman" w:hAnsi="Times New Roman" w:cs="Times New Roman"/>
          <w:sz w:val="24"/>
          <w:szCs w:val="24"/>
        </w:rPr>
        <w:t>Beroep</w:t>
      </w:r>
      <w:proofErr w:type="spellEnd"/>
      <w:r w:rsidRPr="009F75C8">
        <w:rPr>
          <w:rFonts w:ascii="Times New Roman" w:hAnsi="Times New Roman" w:cs="Times New Roman"/>
          <w:sz w:val="24"/>
          <w:szCs w:val="24"/>
        </w:rPr>
        <w:t xml:space="preserve"> </w:t>
      </w:r>
      <w:proofErr w:type="spellStart"/>
      <w:r w:rsidRPr="009F75C8">
        <w:rPr>
          <w:rFonts w:ascii="Times New Roman" w:hAnsi="Times New Roman" w:cs="Times New Roman"/>
          <w:sz w:val="24"/>
          <w:szCs w:val="24"/>
        </w:rPr>
        <w:t>voor</w:t>
      </w:r>
      <w:proofErr w:type="spellEnd"/>
      <w:r w:rsidRPr="009F75C8">
        <w:rPr>
          <w:rFonts w:ascii="Times New Roman" w:hAnsi="Times New Roman" w:cs="Times New Roman"/>
          <w:sz w:val="24"/>
          <w:szCs w:val="24"/>
        </w:rPr>
        <w:t xml:space="preserve"> het </w:t>
      </w:r>
      <w:proofErr w:type="spellStart"/>
      <w:r w:rsidRPr="009F75C8">
        <w:rPr>
          <w:rFonts w:ascii="Times New Roman" w:hAnsi="Times New Roman" w:cs="Times New Roman"/>
          <w:sz w:val="24"/>
          <w:szCs w:val="24"/>
        </w:rPr>
        <w:t>bedrijfsleven</w:t>
      </w:r>
      <w:proofErr w:type="spellEnd"/>
      <w:r w:rsidRPr="009F75C8">
        <w:rPr>
          <w:rFonts w:ascii="Times New Roman" w:hAnsi="Times New Roman" w:cs="Times New Roman"/>
          <w:sz w:val="24"/>
          <w:szCs w:val="24"/>
        </w:rPr>
        <w:t xml:space="preserve"> - Niderlandy)</w:t>
      </w:r>
      <w:r>
        <w:rPr>
          <w:rFonts w:ascii="Times New Roman" w:hAnsi="Times New Roman" w:cs="Times New Roman"/>
          <w:sz w:val="24"/>
          <w:szCs w:val="24"/>
        </w:rPr>
        <w:t xml:space="preserve">, </w:t>
      </w:r>
      <w:r w:rsidRPr="003152A0">
        <w:rPr>
          <w:rFonts w:ascii="Times" w:hAnsi="Times" w:cs="Times"/>
          <w:sz w:val="24"/>
          <w:szCs w:val="24"/>
        </w:rPr>
        <w:t xml:space="preserve"> </w:t>
      </w:r>
      <w:r>
        <w:rPr>
          <w:rFonts w:ascii="Times" w:hAnsi="Times" w:cs="Times"/>
          <w:sz w:val="24"/>
          <w:szCs w:val="24"/>
        </w:rPr>
        <w:t>określając</w:t>
      </w:r>
      <w:r w:rsidRPr="003152A0">
        <w:rPr>
          <w:rFonts w:ascii="Times" w:hAnsi="Times" w:cs="Times"/>
          <w:sz w:val="24"/>
          <w:szCs w:val="24"/>
        </w:rPr>
        <w:t xml:space="preserve">, że podmiot toczący spór z </w:t>
      </w:r>
      <w:r w:rsidR="00925345">
        <w:rPr>
          <w:rFonts w:ascii="Times" w:hAnsi="Times" w:cs="Times"/>
          <w:sz w:val="24"/>
          <w:szCs w:val="24"/>
        </w:rPr>
        <w:t>operatorem systemu elektroenergetycznego</w:t>
      </w:r>
      <w:r>
        <w:rPr>
          <w:rFonts w:ascii="Times" w:hAnsi="Times" w:cs="Times"/>
          <w:sz w:val="24"/>
          <w:szCs w:val="24"/>
        </w:rPr>
        <w:t>,</w:t>
      </w:r>
      <w:r w:rsidRPr="003152A0">
        <w:rPr>
          <w:rFonts w:ascii="Times" w:hAnsi="Times" w:cs="Times"/>
          <w:sz w:val="24"/>
          <w:szCs w:val="24"/>
        </w:rPr>
        <w:t xml:space="preserve"> co do </w:t>
      </w:r>
      <w:r w:rsidRPr="003152A0">
        <w:rPr>
          <w:rFonts w:ascii="Times" w:hAnsi="Times" w:cs="Times"/>
          <w:sz w:val="24"/>
          <w:szCs w:val="24"/>
        </w:rPr>
        <w:lastRenderedPageBreak/>
        <w:t>obowiązków określonych w ustawie – Prawo energetyczne, będzie mógł powiadomić o tym fakcie organ regulacyjny</w:t>
      </w:r>
      <w:r>
        <w:rPr>
          <w:rFonts w:ascii="Times" w:hAnsi="Times" w:cs="Times"/>
          <w:sz w:val="24"/>
          <w:szCs w:val="24"/>
        </w:rPr>
        <w:t>, który będzie zobligowany do podjęcia określonych działań</w:t>
      </w:r>
      <w:r w:rsidRPr="003152A0">
        <w:rPr>
          <w:rFonts w:ascii="Times" w:hAnsi="Times" w:cs="Times"/>
          <w:sz w:val="24"/>
          <w:szCs w:val="24"/>
        </w:rPr>
        <w:t>.</w:t>
      </w:r>
    </w:p>
    <w:p w14:paraId="455CFF3A" w14:textId="1FB4A4F5" w:rsidR="00594D5C" w:rsidRPr="003152A0" w:rsidRDefault="00594D5C" w:rsidP="00594D5C">
      <w:pPr>
        <w:spacing w:beforeLines="60" w:before="144" w:afterLines="60" w:after="144" w:line="360" w:lineRule="auto"/>
        <w:ind w:firstLine="360"/>
        <w:jc w:val="both"/>
        <w:rPr>
          <w:rFonts w:ascii="Times" w:hAnsi="Times" w:cs="Times"/>
          <w:sz w:val="24"/>
          <w:szCs w:val="24"/>
        </w:rPr>
      </w:pPr>
      <w:r w:rsidRPr="003152A0">
        <w:rPr>
          <w:rFonts w:ascii="Times" w:hAnsi="Times" w:cs="Times"/>
          <w:sz w:val="24"/>
          <w:szCs w:val="24"/>
        </w:rPr>
        <w:tab/>
        <w:t>Projek</w:t>
      </w:r>
      <w:r>
        <w:rPr>
          <w:rFonts w:ascii="Times" w:hAnsi="Times" w:cs="Times"/>
          <w:sz w:val="24"/>
          <w:szCs w:val="24"/>
        </w:rPr>
        <w:t>towane przepisy wymagają</w:t>
      </w:r>
      <w:r w:rsidRPr="003152A0">
        <w:rPr>
          <w:rFonts w:ascii="Times" w:hAnsi="Times" w:cs="Times"/>
          <w:sz w:val="24"/>
          <w:szCs w:val="24"/>
        </w:rPr>
        <w:t xml:space="preserve"> </w:t>
      </w:r>
      <w:r>
        <w:rPr>
          <w:rFonts w:ascii="Times" w:hAnsi="Times" w:cs="Times"/>
          <w:sz w:val="24"/>
          <w:szCs w:val="24"/>
        </w:rPr>
        <w:t>aby</w:t>
      </w:r>
      <w:r w:rsidRPr="003152A0">
        <w:rPr>
          <w:rFonts w:ascii="Times" w:hAnsi="Times" w:cs="Times"/>
          <w:sz w:val="24"/>
          <w:szCs w:val="24"/>
        </w:rPr>
        <w:t xml:space="preserve"> treść zawiadomienia </w:t>
      </w:r>
      <w:r>
        <w:rPr>
          <w:rFonts w:ascii="Times" w:hAnsi="Times" w:cs="Times"/>
          <w:sz w:val="24"/>
          <w:szCs w:val="24"/>
        </w:rPr>
        <w:t xml:space="preserve">obejmowała elementy wskazane </w:t>
      </w:r>
      <w:r w:rsidRPr="003152A0">
        <w:rPr>
          <w:rFonts w:ascii="Times" w:hAnsi="Times" w:cs="Times"/>
          <w:sz w:val="24"/>
          <w:szCs w:val="24"/>
        </w:rPr>
        <w:t>w art. 8</w:t>
      </w:r>
      <w:r w:rsidR="00C45E35" w:rsidRPr="00C45E35">
        <w:rPr>
          <w:rFonts w:ascii="Times" w:hAnsi="Times" w:cs="Times"/>
          <w:sz w:val="24"/>
          <w:szCs w:val="24"/>
          <w:vertAlign w:val="superscript"/>
        </w:rPr>
        <w:t>1</w:t>
      </w:r>
      <w:r w:rsidRPr="003152A0">
        <w:rPr>
          <w:rFonts w:ascii="Times" w:hAnsi="Times" w:cs="Times"/>
          <w:sz w:val="24"/>
          <w:szCs w:val="24"/>
        </w:rPr>
        <w:t xml:space="preserve"> ust. </w:t>
      </w:r>
      <w:r w:rsidR="00C45E35">
        <w:rPr>
          <w:rFonts w:ascii="Times" w:hAnsi="Times" w:cs="Times"/>
          <w:sz w:val="24"/>
          <w:szCs w:val="24"/>
        </w:rPr>
        <w:t>2</w:t>
      </w:r>
      <w:r>
        <w:rPr>
          <w:rFonts w:ascii="Times" w:hAnsi="Times" w:cs="Times"/>
          <w:sz w:val="24"/>
          <w:szCs w:val="24"/>
        </w:rPr>
        <w:t xml:space="preserve"> ustawy – Prawo energetyczne</w:t>
      </w:r>
      <w:r w:rsidRPr="003152A0">
        <w:rPr>
          <w:rFonts w:ascii="Times" w:hAnsi="Times" w:cs="Times"/>
          <w:sz w:val="24"/>
          <w:szCs w:val="24"/>
        </w:rPr>
        <w:t xml:space="preserve">, które mają służyć umożliwieniu przeprowadzenia wstępnej analizy przez Prezesa URE oraz powzięciu decyzji o ewentualnym wszczęciu sformalizowanego postępowania administracyjnego. Obowiązek udzielenia pisemnej odpowiedzi na </w:t>
      </w:r>
      <w:r w:rsidR="0055299E" w:rsidRPr="003152A0">
        <w:rPr>
          <w:rFonts w:ascii="Times" w:hAnsi="Times" w:cs="Times"/>
          <w:sz w:val="24"/>
          <w:szCs w:val="24"/>
        </w:rPr>
        <w:t>zawiadomieni</w:t>
      </w:r>
      <w:r w:rsidR="0055299E">
        <w:rPr>
          <w:rFonts w:ascii="Times" w:hAnsi="Times" w:cs="Times"/>
          <w:sz w:val="24"/>
          <w:szCs w:val="24"/>
        </w:rPr>
        <w:t>e</w:t>
      </w:r>
      <w:r w:rsidRPr="003152A0">
        <w:rPr>
          <w:rFonts w:ascii="Times" w:hAnsi="Times" w:cs="Times"/>
          <w:sz w:val="24"/>
          <w:szCs w:val="24"/>
        </w:rPr>
        <w:t xml:space="preserve">, zawierające wskazane przez ustawodawcę minimum w sferze treści, przysłuży się natomiast realizacji zasady pogłębiania zaufania uczestników postępowania do władzy publicznej, albowiem każdy kto zdecyduje się na złożenie zawiadomienia do Prezesa URE otrzyma od niego odpowiedź, zarówno informującą o podjęciu przewidzianych przepisami prawa działań, jak i odmowie wszczęcia postępowania wraz z uzasadnieniem. Proponowane rozwiązanie będzie miało pozytywny wpływ na ocenę transparentności działań organu, albowiem zgłaszający każdorazowo otrzyma potwierdzenie, że zgłoszona przez niego sprawa została poddana analizie przez organ, a w przypadku odmowy zostaną mu wytłumaczone motywy odrzucenia zawiadomienia.  </w:t>
      </w:r>
    </w:p>
    <w:p w14:paraId="0E9FD20B" w14:textId="70290B97" w:rsidR="00594D5C" w:rsidRPr="00594D5C" w:rsidRDefault="00594D5C" w:rsidP="00594D5C">
      <w:pPr>
        <w:spacing w:beforeLines="60" w:before="144" w:afterLines="60" w:after="144" w:line="360" w:lineRule="auto"/>
        <w:ind w:firstLine="360"/>
        <w:jc w:val="both"/>
        <w:rPr>
          <w:rFonts w:ascii="Times" w:hAnsi="Times" w:cs="Times"/>
          <w:sz w:val="24"/>
          <w:szCs w:val="24"/>
        </w:rPr>
      </w:pPr>
      <w:r w:rsidRPr="00594D5C">
        <w:rPr>
          <w:rFonts w:ascii="Times New Roman" w:hAnsi="Times New Roman" w:cs="Times New Roman"/>
          <w:sz w:val="24"/>
          <w:szCs w:val="24"/>
        </w:rPr>
        <w:t>Projektowany art. 8</w:t>
      </w:r>
      <w:r w:rsidR="00C45E35" w:rsidRPr="00C45E35">
        <w:rPr>
          <w:rFonts w:ascii="Times New Roman" w:hAnsi="Times New Roman" w:cs="Times New Roman"/>
          <w:sz w:val="24"/>
          <w:szCs w:val="24"/>
          <w:vertAlign w:val="superscript"/>
        </w:rPr>
        <w:t>1</w:t>
      </w:r>
      <w:r w:rsidRPr="00594D5C">
        <w:rPr>
          <w:rFonts w:ascii="Times New Roman" w:hAnsi="Times New Roman" w:cs="Times New Roman"/>
          <w:sz w:val="24"/>
          <w:szCs w:val="24"/>
        </w:rPr>
        <w:t xml:space="preserve"> ust. </w:t>
      </w:r>
      <w:r w:rsidR="00C45E35">
        <w:rPr>
          <w:rFonts w:ascii="Times New Roman" w:hAnsi="Times New Roman" w:cs="Times New Roman"/>
          <w:sz w:val="24"/>
          <w:szCs w:val="24"/>
        </w:rPr>
        <w:t>3</w:t>
      </w:r>
      <w:r w:rsidRPr="00594D5C">
        <w:rPr>
          <w:rFonts w:ascii="Times New Roman" w:hAnsi="Times New Roman" w:cs="Times New Roman"/>
          <w:sz w:val="24"/>
          <w:szCs w:val="24"/>
        </w:rPr>
        <w:t xml:space="preserve"> stanowi, że </w:t>
      </w:r>
      <w:r w:rsidR="009B36BB">
        <w:rPr>
          <w:rFonts w:ascii="Times New Roman" w:hAnsi="Times New Roman" w:cs="Times New Roman"/>
          <w:sz w:val="24"/>
          <w:szCs w:val="24"/>
        </w:rPr>
        <w:t xml:space="preserve">przekazanie przez Prezesa URE informacji o sposobie załatwienia sprawy zgłoszonej przez zawiadamiającego </w:t>
      </w:r>
      <w:r w:rsidRPr="00594D5C">
        <w:rPr>
          <w:rFonts w:ascii="Times New Roman" w:hAnsi="Times New Roman" w:cs="Times New Roman"/>
          <w:sz w:val="24"/>
          <w:szCs w:val="24"/>
        </w:rPr>
        <w:t xml:space="preserve">powinno nastąpić nie później niż w terminie dwóch miesięcy, a sprawy szczególnie skomplikowanej - nie później niż w terminie czterech miesięcy od dnia </w:t>
      </w:r>
      <w:r w:rsidR="009B36BB">
        <w:rPr>
          <w:rFonts w:ascii="Times New Roman" w:hAnsi="Times New Roman" w:cs="Times New Roman"/>
          <w:sz w:val="24"/>
          <w:szCs w:val="24"/>
        </w:rPr>
        <w:t>otrzymania tego zawiadomienia</w:t>
      </w:r>
      <w:r w:rsidRPr="00594D5C">
        <w:rPr>
          <w:rFonts w:ascii="Times New Roman" w:hAnsi="Times New Roman" w:cs="Times New Roman"/>
          <w:sz w:val="24"/>
          <w:szCs w:val="24"/>
        </w:rPr>
        <w:t>. Ponowne przedłużenie terminu rozpatrzenia sprawy wymaga zgody zgłaszające</w:t>
      </w:r>
      <w:r w:rsidR="009B36BB">
        <w:rPr>
          <w:rFonts w:ascii="Times New Roman" w:hAnsi="Times New Roman" w:cs="Times New Roman"/>
          <w:sz w:val="24"/>
          <w:szCs w:val="24"/>
        </w:rPr>
        <w:t>go</w:t>
      </w:r>
      <w:r w:rsidRPr="00594D5C">
        <w:rPr>
          <w:rFonts w:ascii="Times New Roman" w:hAnsi="Times New Roman" w:cs="Times New Roman"/>
          <w:sz w:val="24"/>
          <w:szCs w:val="24"/>
        </w:rPr>
        <w:t xml:space="preserve"> zawiadomienie.</w:t>
      </w:r>
    </w:p>
    <w:p w14:paraId="6BD6A6CC" w14:textId="77777777" w:rsidR="00FD274D" w:rsidRPr="00613198" w:rsidRDefault="00FD274D" w:rsidP="00FD274D">
      <w:pPr>
        <w:pStyle w:val="USTustnpkodeksu"/>
        <w:jc w:val="left"/>
        <w:rPr>
          <w:b/>
          <w:color w:val="000000" w:themeColor="text1"/>
        </w:rPr>
      </w:pPr>
      <w:r w:rsidRPr="00613198">
        <w:rPr>
          <w:b/>
          <w:color w:val="000000" w:themeColor="text1"/>
        </w:rPr>
        <w:t>Regionalne Centra Koordynacyjne</w:t>
      </w:r>
    </w:p>
    <w:p w14:paraId="165873A7" w14:textId="4983CA78" w:rsidR="0055299E" w:rsidRPr="00A77025" w:rsidRDefault="00FD274D" w:rsidP="008E07FA">
      <w:pPr>
        <w:pStyle w:val="USTustnpkodeksu"/>
        <w:rPr>
          <w:color w:val="000000" w:themeColor="text1"/>
          <w:sz w:val="16"/>
          <w:szCs w:val="12"/>
        </w:rPr>
      </w:pPr>
      <w:r w:rsidRPr="00613198">
        <w:rPr>
          <w:color w:val="000000" w:themeColor="text1"/>
        </w:rPr>
        <w:t xml:space="preserve">Proponowany przepis art. 23x </w:t>
      </w:r>
      <w:r w:rsidR="000E1F57" w:rsidRPr="00613198">
        <w:rPr>
          <w:color w:val="000000" w:themeColor="text1"/>
        </w:rPr>
        <w:t xml:space="preserve">i art. 56 ust. 1 pkt 53 oraz ust. 2i </w:t>
      </w:r>
      <w:r w:rsidRPr="00613198">
        <w:rPr>
          <w:color w:val="000000" w:themeColor="text1"/>
        </w:rPr>
        <w:t>implementuj</w:t>
      </w:r>
      <w:r w:rsidR="000E1F57" w:rsidRPr="00613198">
        <w:rPr>
          <w:color w:val="000000" w:themeColor="text1"/>
        </w:rPr>
        <w:t>ą</w:t>
      </w:r>
      <w:r w:rsidRPr="00613198">
        <w:rPr>
          <w:color w:val="000000" w:themeColor="text1"/>
        </w:rPr>
        <w:t xml:space="preserve"> przepis art. 62 dyrektywy 2019/944 dotyczący kompetencji Prezesa Urzędu Regulacji Energetyki w stosunku do regionalnych centrów koordynacyjnych, w przypadku, gdy siedziba regionalnego centrum koordynacyjnego zostanie utworzona na terytorium Rzeczypospolitej Polskiej. Konsekwencją przypisania Prezesowi URE tych uprawnień, jest możliwość nałożenia przez niego sankcji dla regionalnych centrów koordynacyjnych, w przypadku nie wywiązywania się przez nie z wykonywanych obowiązków.</w:t>
      </w:r>
    </w:p>
    <w:p w14:paraId="6B8815AB" w14:textId="77777777" w:rsidR="001A1AE0" w:rsidRPr="00A77025" w:rsidRDefault="001A1AE0" w:rsidP="00A77025">
      <w:pPr>
        <w:pStyle w:val="USTustnpkodeksu"/>
        <w:rPr>
          <w:color w:val="000000" w:themeColor="text1"/>
          <w:sz w:val="14"/>
          <w:szCs w:val="10"/>
        </w:rPr>
      </w:pPr>
    </w:p>
    <w:p w14:paraId="5EB42CCB" w14:textId="3B8E91C5" w:rsidR="00F64594" w:rsidRPr="00613198" w:rsidRDefault="000453A8" w:rsidP="00AF4A03">
      <w:pPr>
        <w:spacing w:after="120" w:line="360" w:lineRule="auto"/>
        <w:ind w:firstLine="708"/>
        <w:jc w:val="both"/>
        <w:rPr>
          <w:rFonts w:ascii="Times New Roman" w:hAnsi="Times New Roman" w:cs="Times New Roman"/>
          <w:sz w:val="24"/>
          <w:szCs w:val="24"/>
        </w:rPr>
      </w:pPr>
      <w:r w:rsidRPr="00613198">
        <w:rPr>
          <w:rFonts w:ascii="Times New Roman" w:hAnsi="Times New Roman" w:cs="Times New Roman"/>
          <w:b/>
          <w:sz w:val="24"/>
          <w:szCs w:val="24"/>
        </w:rPr>
        <w:t xml:space="preserve">Ad </w:t>
      </w:r>
      <w:r w:rsidR="00925345" w:rsidRPr="00613198">
        <w:rPr>
          <w:rFonts w:ascii="Times New Roman" w:hAnsi="Times New Roman" w:cs="Times New Roman"/>
          <w:b/>
          <w:sz w:val="24"/>
          <w:szCs w:val="24"/>
        </w:rPr>
        <w:t>1</w:t>
      </w:r>
      <w:r w:rsidR="00925345">
        <w:rPr>
          <w:rFonts w:ascii="Times New Roman" w:hAnsi="Times New Roman" w:cs="Times New Roman"/>
          <w:b/>
          <w:sz w:val="24"/>
          <w:szCs w:val="24"/>
        </w:rPr>
        <w:t>0</w:t>
      </w:r>
      <w:r w:rsidR="001A1AE0" w:rsidRPr="00613198">
        <w:rPr>
          <w:rFonts w:ascii="Times New Roman" w:hAnsi="Times New Roman" w:cs="Times New Roman"/>
          <w:b/>
          <w:sz w:val="24"/>
          <w:szCs w:val="24"/>
        </w:rPr>
        <w:t>.</w:t>
      </w:r>
      <w:r w:rsidR="001A1AE0" w:rsidRPr="00613198">
        <w:rPr>
          <w:rFonts w:ascii="Times New Roman" w:hAnsi="Times New Roman" w:cs="Times New Roman"/>
          <w:sz w:val="24"/>
          <w:szCs w:val="24"/>
        </w:rPr>
        <w:t xml:space="preserve"> </w:t>
      </w:r>
      <w:r w:rsidR="00F64594" w:rsidRPr="00613198">
        <w:rPr>
          <w:rFonts w:ascii="Times New Roman" w:hAnsi="Times New Roman" w:cs="Times New Roman"/>
          <w:b/>
          <w:sz w:val="24"/>
          <w:szCs w:val="24"/>
        </w:rPr>
        <w:t>Własność instalacji magazynowania energii przez operatorów systemów elektroenergetycznych</w:t>
      </w:r>
    </w:p>
    <w:p w14:paraId="41274256" w14:textId="4DE5B6FC" w:rsidR="00596C37" w:rsidRPr="00613198" w:rsidRDefault="000453A8" w:rsidP="003B6B9A">
      <w:pPr>
        <w:pStyle w:val="USTustnpkodeksu"/>
      </w:pPr>
      <w:r w:rsidRPr="00613198">
        <w:rPr>
          <w:rFonts w:ascii="Times New Roman" w:hAnsi="Times New Roman" w:cs="Times New Roman"/>
          <w:szCs w:val="24"/>
        </w:rPr>
        <w:t>Zaproponowane przepisy</w:t>
      </w:r>
      <w:r w:rsidR="003B6B9A" w:rsidRPr="00613198">
        <w:rPr>
          <w:rFonts w:ascii="Times New Roman" w:hAnsi="Times New Roman" w:cs="Times New Roman"/>
          <w:szCs w:val="24"/>
        </w:rPr>
        <w:t xml:space="preserve">, o których mowa w art. </w:t>
      </w:r>
      <w:r w:rsidR="006D060F" w:rsidRPr="00613198">
        <w:rPr>
          <w:rFonts w:ascii="Times New Roman" w:hAnsi="Times New Roman" w:cs="Times New Roman"/>
          <w:szCs w:val="24"/>
        </w:rPr>
        <w:t xml:space="preserve">1 </w:t>
      </w:r>
      <w:r w:rsidR="003B6B9A" w:rsidRPr="00613198">
        <w:rPr>
          <w:rFonts w:ascii="Times New Roman" w:hAnsi="Times New Roman" w:cs="Times New Roman"/>
          <w:szCs w:val="24"/>
        </w:rPr>
        <w:t xml:space="preserve">pkt </w:t>
      </w:r>
      <w:r w:rsidR="00F85658">
        <w:rPr>
          <w:rFonts w:ascii="Times New Roman" w:hAnsi="Times New Roman" w:cs="Times New Roman"/>
          <w:szCs w:val="24"/>
        </w:rPr>
        <w:t>19</w:t>
      </w:r>
      <w:r w:rsidR="003720FC" w:rsidRPr="00613198">
        <w:rPr>
          <w:rFonts w:ascii="Times New Roman" w:hAnsi="Times New Roman" w:cs="Times New Roman"/>
          <w:szCs w:val="24"/>
        </w:rPr>
        <w:t xml:space="preserve"> </w:t>
      </w:r>
      <w:r w:rsidR="003B6B9A" w:rsidRPr="00613198">
        <w:rPr>
          <w:rFonts w:ascii="Times New Roman" w:hAnsi="Times New Roman" w:cs="Times New Roman"/>
          <w:szCs w:val="24"/>
        </w:rPr>
        <w:t xml:space="preserve">i </w:t>
      </w:r>
      <w:r w:rsidR="003B6B9A" w:rsidRPr="00C67AFA">
        <w:rPr>
          <w:rFonts w:ascii="Times New Roman" w:hAnsi="Times New Roman" w:cs="Times New Roman"/>
          <w:szCs w:val="24"/>
        </w:rPr>
        <w:t xml:space="preserve">art. </w:t>
      </w:r>
      <w:r w:rsidR="00C67AFA" w:rsidRPr="00C67AFA">
        <w:rPr>
          <w:rFonts w:ascii="Times New Roman" w:hAnsi="Times New Roman" w:cs="Times New Roman"/>
          <w:szCs w:val="24"/>
        </w:rPr>
        <w:t>2</w:t>
      </w:r>
      <w:r w:rsidR="00F85658">
        <w:rPr>
          <w:rFonts w:ascii="Times New Roman" w:hAnsi="Times New Roman" w:cs="Times New Roman"/>
          <w:szCs w:val="24"/>
        </w:rPr>
        <w:t>2</w:t>
      </w:r>
      <w:r w:rsidR="006D060F" w:rsidRPr="00613198">
        <w:rPr>
          <w:rFonts w:ascii="Times New Roman" w:hAnsi="Times New Roman" w:cs="Times New Roman"/>
          <w:szCs w:val="24"/>
        </w:rPr>
        <w:t xml:space="preserve"> </w:t>
      </w:r>
      <w:r w:rsidR="003B6B9A" w:rsidRPr="00613198">
        <w:rPr>
          <w:rFonts w:ascii="Times New Roman" w:hAnsi="Times New Roman" w:cs="Times New Roman"/>
          <w:szCs w:val="24"/>
        </w:rPr>
        <w:t>projektu ustawy,</w:t>
      </w:r>
      <w:r w:rsidRPr="00613198">
        <w:rPr>
          <w:rFonts w:ascii="Times New Roman" w:hAnsi="Times New Roman" w:cs="Times New Roman"/>
          <w:szCs w:val="24"/>
        </w:rPr>
        <w:t xml:space="preserve"> maj</w:t>
      </w:r>
      <w:r w:rsidR="003B6B9A" w:rsidRPr="00613198">
        <w:rPr>
          <w:rFonts w:ascii="Times New Roman" w:hAnsi="Times New Roman" w:cs="Times New Roman"/>
          <w:szCs w:val="24"/>
        </w:rPr>
        <w:t>ą</w:t>
      </w:r>
      <w:r w:rsidRPr="00613198">
        <w:rPr>
          <w:rFonts w:ascii="Times New Roman" w:hAnsi="Times New Roman" w:cs="Times New Roman"/>
          <w:szCs w:val="24"/>
        </w:rPr>
        <w:t xml:space="preserve"> na celu wdrożenie do polskiego porządku prawnego art. 36 i 54 dyrektywy 2019/944. W </w:t>
      </w:r>
      <w:r w:rsidRPr="00613198">
        <w:rPr>
          <w:rFonts w:ascii="Times New Roman" w:hAnsi="Times New Roman" w:cs="Times New Roman"/>
          <w:szCs w:val="24"/>
        </w:rPr>
        <w:lastRenderedPageBreak/>
        <w:t xml:space="preserve">związku z analogicznym brzmieniem art. 36 i 54 ww. dyrektywy (za wyjątkiem zgłoszenia do Komisji Europejskiej oraz Agencji ds. Współpracy Organów Regulacyjnych, o którym mowa w projektowanym art. </w:t>
      </w:r>
      <w:bookmarkStart w:id="9" w:name="_Hlk97909746"/>
      <w:r w:rsidR="00F85658">
        <w:rPr>
          <w:rFonts w:ascii="Times New Roman" w:hAnsi="Times New Roman" w:cs="Times New Roman"/>
          <w:szCs w:val="24"/>
        </w:rPr>
        <w:t>9d</w:t>
      </w:r>
      <w:r w:rsidR="00F85658" w:rsidRPr="00A31158">
        <w:rPr>
          <w:rFonts w:ascii="Times New Roman" w:hAnsi="Times New Roman" w:cs="Times New Roman"/>
          <w:szCs w:val="24"/>
          <w:vertAlign w:val="superscript"/>
        </w:rPr>
        <w:t>1</w:t>
      </w:r>
      <w:r w:rsidRPr="00613198">
        <w:rPr>
          <w:rFonts w:ascii="Times New Roman" w:hAnsi="Times New Roman" w:cs="Times New Roman"/>
          <w:szCs w:val="24"/>
        </w:rPr>
        <w:t xml:space="preserve"> </w:t>
      </w:r>
      <w:bookmarkEnd w:id="9"/>
      <w:r w:rsidRPr="00613198">
        <w:rPr>
          <w:rFonts w:ascii="Times New Roman" w:hAnsi="Times New Roman" w:cs="Times New Roman"/>
          <w:szCs w:val="24"/>
        </w:rPr>
        <w:t xml:space="preserve">ust. </w:t>
      </w:r>
      <w:r w:rsidR="008D0879">
        <w:rPr>
          <w:rFonts w:ascii="Times New Roman" w:hAnsi="Times New Roman" w:cs="Times New Roman"/>
          <w:szCs w:val="24"/>
        </w:rPr>
        <w:t>3</w:t>
      </w:r>
      <w:r w:rsidRPr="00613198">
        <w:rPr>
          <w:rFonts w:ascii="Times New Roman" w:hAnsi="Times New Roman" w:cs="Times New Roman"/>
          <w:szCs w:val="24"/>
        </w:rPr>
        <w:t xml:space="preserve"> oraz terminu określonego przy wyłączeniu, o którym mowa w projektowanym art. </w:t>
      </w:r>
      <w:r w:rsidR="00F85658">
        <w:rPr>
          <w:rFonts w:ascii="Times New Roman" w:hAnsi="Times New Roman" w:cs="Times New Roman"/>
          <w:szCs w:val="24"/>
        </w:rPr>
        <w:t>9d</w:t>
      </w:r>
      <w:r w:rsidR="00F85658" w:rsidRPr="008E4707">
        <w:rPr>
          <w:rFonts w:ascii="Times New Roman" w:hAnsi="Times New Roman" w:cs="Times New Roman"/>
          <w:szCs w:val="24"/>
          <w:vertAlign w:val="superscript"/>
        </w:rPr>
        <w:t>1</w:t>
      </w:r>
      <w:r w:rsidR="00F85658" w:rsidRPr="00613198">
        <w:rPr>
          <w:rFonts w:ascii="Times New Roman" w:hAnsi="Times New Roman" w:cs="Times New Roman"/>
          <w:szCs w:val="24"/>
        </w:rPr>
        <w:t xml:space="preserve"> </w:t>
      </w:r>
      <w:r w:rsidRPr="00613198">
        <w:rPr>
          <w:rFonts w:ascii="Times New Roman" w:hAnsi="Times New Roman" w:cs="Times New Roman"/>
          <w:szCs w:val="24"/>
        </w:rPr>
        <w:t xml:space="preserve"> ust. </w:t>
      </w:r>
      <w:r w:rsidR="008D0879">
        <w:rPr>
          <w:rFonts w:ascii="Times New Roman" w:hAnsi="Times New Roman" w:cs="Times New Roman"/>
          <w:szCs w:val="24"/>
        </w:rPr>
        <w:t>8</w:t>
      </w:r>
      <w:r w:rsidRPr="00613198">
        <w:rPr>
          <w:rFonts w:ascii="Times New Roman" w:hAnsi="Times New Roman" w:cs="Times New Roman"/>
          <w:szCs w:val="24"/>
        </w:rPr>
        <w:t xml:space="preserve"> przepisy wdrażające ujęto w jednym artykule. W przypadku definicji „decyzja inwestycyjna” odwołano się do </w:t>
      </w:r>
      <w:r w:rsidR="0055299E" w:rsidRPr="00613198">
        <w:rPr>
          <w:rFonts w:ascii="Times New Roman" w:hAnsi="Times New Roman" w:cs="Times New Roman"/>
          <w:szCs w:val="24"/>
        </w:rPr>
        <w:t>obowiązując</w:t>
      </w:r>
      <w:r w:rsidR="0055299E">
        <w:rPr>
          <w:rFonts w:ascii="Times New Roman" w:hAnsi="Times New Roman" w:cs="Times New Roman"/>
          <w:szCs w:val="24"/>
        </w:rPr>
        <w:t>ego</w:t>
      </w:r>
      <w:r w:rsidR="0055299E" w:rsidRPr="00613198">
        <w:rPr>
          <w:rFonts w:ascii="Times New Roman" w:hAnsi="Times New Roman" w:cs="Times New Roman"/>
          <w:szCs w:val="24"/>
        </w:rPr>
        <w:t xml:space="preserve"> akt</w:t>
      </w:r>
      <w:r w:rsidR="0055299E">
        <w:rPr>
          <w:rFonts w:ascii="Times New Roman" w:hAnsi="Times New Roman" w:cs="Times New Roman"/>
          <w:szCs w:val="24"/>
        </w:rPr>
        <w:t>u</w:t>
      </w:r>
      <w:r w:rsidR="0055299E" w:rsidRPr="00613198">
        <w:rPr>
          <w:rFonts w:ascii="Times New Roman" w:hAnsi="Times New Roman" w:cs="Times New Roman"/>
          <w:szCs w:val="24"/>
        </w:rPr>
        <w:t xml:space="preserve"> prawn</w:t>
      </w:r>
      <w:r w:rsidR="0055299E">
        <w:rPr>
          <w:rFonts w:ascii="Times New Roman" w:hAnsi="Times New Roman" w:cs="Times New Roman"/>
          <w:szCs w:val="24"/>
        </w:rPr>
        <w:t>ego</w:t>
      </w:r>
      <w:r w:rsidRPr="00613198">
        <w:rPr>
          <w:rFonts w:ascii="Times New Roman" w:hAnsi="Times New Roman" w:cs="Times New Roman"/>
          <w:szCs w:val="24"/>
        </w:rPr>
        <w:t>, tj. ustawy 14 grudnia 2018 r. o promowaniu energii elektrycznej z wysokosprawnej kogeneracji (Dz. U. z 202</w:t>
      </w:r>
      <w:r w:rsidR="00496704">
        <w:rPr>
          <w:rFonts w:ascii="Times New Roman" w:hAnsi="Times New Roman" w:cs="Times New Roman"/>
          <w:szCs w:val="24"/>
        </w:rPr>
        <w:t>2</w:t>
      </w:r>
      <w:r w:rsidRPr="00613198">
        <w:rPr>
          <w:rFonts w:ascii="Times New Roman" w:hAnsi="Times New Roman" w:cs="Times New Roman"/>
          <w:szCs w:val="24"/>
        </w:rPr>
        <w:t xml:space="preserve"> r. poz. </w:t>
      </w:r>
      <w:r w:rsidR="00496704">
        <w:rPr>
          <w:rFonts w:ascii="Times New Roman" w:hAnsi="Times New Roman" w:cs="Times New Roman"/>
          <w:szCs w:val="24"/>
        </w:rPr>
        <w:t>553</w:t>
      </w:r>
      <w:r w:rsidRPr="00613198">
        <w:rPr>
          <w:rFonts w:ascii="Times New Roman" w:hAnsi="Times New Roman" w:cs="Times New Roman"/>
          <w:szCs w:val="24"/>
        </w:rPr>
        <w:t xml:space="preserve">). </w:t>
      </w:r>
      <w:r w:rsidR="003B6B9A" w:rsidRPr="00613198">
        <w:rPr>
          <w:rFonts w:ascii="Times New Roman" w:hAnsi="Times New Roman" w:cs="Times New Roman"/>
          <w:szCs w:val="24"/>
        </w:rPr>
        <w:t xml:space="preserve">Zgodnie z projektowanymi przepisami (art. </w:t>
      </w:r>
      <w:r w:rsidR="00F85658">
        <w:rPr>
          <w:rFonts w:ascii="Times New Roman" w:hAnsi="Times New Roman" w:cs="Times New Roman"/>
          <w:szCs w:val="24"/>
        </w:rPr>
        <w:t>9d</w:t>
      </w:r>
      <w:r w:rsidR="00F85658" w:rsidRPr="00A31158">
        <w:rPr>
          <w:rFonts w:ascii="Times New Roman" w:hAnsi="Times New Roman" w:cs="Times New Roman"/>
          <w:szCs w:val="24"/>
          <w:vertAlign w:val="superscript"/>
        </w:rPr>
        <w:t>1</w:t>
      </w:r>
      <w:r w:rsidR="003B6B9A" w:rsidRPr="00613198">
        <w:rPr>
          <w:rFonts w:ascii="Times New Roman" w:hAnsi="Times New Roman" w:cs="Times New Roman"/>
          <w:szCs w:val="24"/>
        </w:rPr>
        <w:t xml:space="preserve"> ust. 1) </w:t>
      </w:r>
      <w:r w:rsidR="003B6B9A" w:rsidRPr="00613198">
        <w:t xml:space="preserve">operatorom systemu elektroenergetycznego, z </w:t>
      </w:r>
      <w:r w:rsidR="0055299E">
        <w:t xml:space="preserve">wyjątkiem </w:t>
      </w:r>
      <w:r w:rsidR="003B6B9A" w:rsidRPr="00613198">
        <w:t>ust. 2, nie zezwala się na bycie posiadaczem, wznoszenie, zarządzanie ani obsługę magazynu energii, zezwalając jednocześnie na korzystanie z usług świadczonych z wykorzystaniem magazynu energii. Odstępstwem od powy</w:t>
      </w:r>
      <w:r w:rsidR="00587D05" w:rsidRPr="00613198">
        <w:t xml:space="preserve">ższego jest sytuacja, w której </w:t>
      </w:r>
      <w:r w:rsidR="003B6B9A" w:rsidRPr="00613198">
        <w:t>na wniosek operatora Prezes URE</w:t>
      </w:r>
      <w:r w:rsidR="00587D05" w:rsidRPr="00613198">
        <w:t>, w drodze decyzji, uzna</w:t>
      </w:r>
      <w:r w:rsidR="003B6B9A" w:rsidRPr="00613198">
        <w:t xml:space="preserve"> </w:t>
      </w:r>
      <w:r w:rsidR="00FB4958" w:rsidRPr="00613198">
        <w:t xml:space="preserve">on </w:t>
      </w:r>
      <w:r w:rsidR="003B6B9A" w:rsidRPr="00613198">
        <w:t>magazyn energii za w pełni zintegrowany element sieci, albo</w:t>
      </w:r>
      <w:r w:rsidR="00587D05" w:rsidRPr="00613198">
        <w:t xml:space="preserve"> </w:t>
      </w:r>
      <w:r w:rsidR="00FB4958" w:rsidRPr="00613198">
        <w:t xml:space="preserve">gdy </w:t>
      </w:r>
      <w:r w:rsidR="003B6B9A" w:rsidRPr="00613198">
        <w:t xml:space="preserve">łącznie spełnione </w:t>
      </w:r>
      <w:r w:rsidR="00587D05" w:rsidRPr="00613198">
        <w:t>zostaną</w:t>
      </w:r>
      <w:r w:rsidR="00FB4958" w:rsidRPr="00613198">
        <w:t xml:space="preserve"> warunki</w:t>
      </w:r>
      <w:r w:rsidR="00587D05" w:rsidRPr="00613198">
        <w:t xml:space="preserve"> wskazane w projektowanym art. </w:t>
      </w:r>
      <w:r w:rsidR="00F85658">
        <w:t>9d</w:t>
      </w:r>
      <w:r w:rsidR="00F85658" w:rsidRPr="00A31158">
        <w:rPr>
          <w:vertAlign w:val="superscript"/>
        </w:rPr>
        <w:t>1</w:t>
      </w:r>
      <w:r w:rsidR="00587D05" w:rsidRPr="00613198">
        <w:t xml:space="preserve"> ust. 2 pkt 2. Warunkami niezbędnymi d</w:t>
      </w:r>
      <w:r w:rsidR="00596C37" w:rsidRPr="00613198">
        <w:t xml:space="preserve">o zastosowania odstępstwa są: </w:t>
      </w:r>
    </w:p>
    <w:p w14:paraId="1A28A7E0" w14:textId="5841BB0C" w:rsidR="003B6B9A" w:rsidRPr="00613198" w:rsidRDefault="00587D05" w:rsidP="003B6B9A">
      <w:pPr>
        <w:pStyle w:val="USTustnpkodeksu"/>
      </w:pPr>
      <w:r w:rsidRPr="00613198">
        <w:t>a)</w:t>
      </w:r>
      <w:r w:rsidR="00913974">
        <w:tab/>
      </w:r>
      <w:r w:rsidRPr="00613198">
        <w:t xml:space="preserve"> </w:t>
      </w:r>
      <w:r w:rsidR="003B6B9A" w:rsidRPr="00613198">
        <w:t>niezbędn</w:t>
      </w:r>
      <w:r w:rsidRPr="00613198">
        <w:t>ość</w:t>
      </w:r>
      <w:r w:rsidR="003B6B9A" w:rsidRPr="00613198">
        <w:t xml:space="preserve"> </w:t>
      </w:r>
      <w:r w:rsidRPr="00613198">
        <w:t>magazynu energii</w:t>
      </w:r>
      <w:r w:rsidR="003B6B9A" w:rsidRPr="00613198">
        <w:t xml:space="preserve"> w celu wywiązywania się z obowiązków wynikających</w:t>
      </w:r>
      <w:r w:rsidRPr="00613198">
        <w:t xml:space="preserve"> przez operatora</w:t>
      </w:r>
      <w:r w:rsidR="003B6B9A" w:rsidRPr="00613198">
        <w:t xml:space="preserve"> z ustawy, zapewnienia wydajnego, niezawodnego i bezpiecznego funkcjonowania systemu elektroenergetycznego oraz </w:t>
      </w:r>
      <w:r w:rsidRPr="00613198">
        <w:t>nie</w:t>
      </w:r>
      <w:r w:rsidR="003B6B9A" w:rsidRPr="00613198">
        <w:t xml:space="preserve"> wykorzystywan</w:t>
      </w:r>
      <w:r w:rsidRPr="00613198">
        <w:t>ie magazynu</w:t>
      </w:r>
      <w:r w:rsidR="003B6B9A" w:rsidRPr="00613198">
        <w:t xml:space="preserve"> do obrotu energią elektryczną na rynkach energii elektrycznej,</w:t>
      </w:r>
    </w:p>
    <w:p w14:paraId="24BCEC8E" w14:textId="77777777" w:rsidR="003B6B9A" w:rsidRPr="00613198" w:rsidRDefault="003B6B9A" w:rsidP="003B6B9A">
      <w:pPr>
        <w:pStyle w:val="USTustnpkodeksu"/>
      </w:pPr>
      <w:r w:rsidRPr="00613198">
        <w:t xml:space="preserve">b) </w:t>
      </w:r>
      <w:r w:rsidR="00587D05" w:rsidRPr="00613198">
        <w:t>wyrażenie przez Prezesa URE</w:t>
      </w:r>
      <w:r w:rsidRPr="00613198">
        <w:t xml:space="preserve"> </w:t>
      </w:r>
      <w:r w:rsidR="00587D05" w:rsidRPr="00613198">
        <w:t xml:space="preserve">w drodze decyzji, wydanej na wniosek operatora systemu elektroenergetycznego, zgody </w:t>
      </w:r>
      <w:r w:rsidRPr="00613198">
        <w:t>na przeprowadzenie procedury, o któr</w:t>
      </w:r>
      <w:r w:rsidR="00587D05" w:rsidRPr="00613198">
        <w:t>ej mowa w lit. c oraz zatwierdzenie</w:t>
      </w:r>
      <w:r w:rsidRPr="00613198">
        <w:t xml:space="preserve"> warunk</w:t>
      </w:r>
      <w:r w:rsidR="00587D05" w:rsidRPr="00613198">
        <w:t>ów przeprowadzania</w:t>
      </w:r>
      <w:r w:rsidRPr="00613198">
        <w:t xml:space="preserve"> procedury przetargowej,</w:t>
      </w:r>
    </w:p>
    <w:p w14:paraId="7ECBD58E" w14:textId="77777777" w:rsidR="003B6B9A" w:rsidRPr="00613198" w:rsidRDefault="003B6B9A" w:rsidP="003B6B9A">
      <w:pPr>
        <w:pStyle w:val="USTustnpkodeksu"/>
      </w:pPr>
      <w:r w:rsidRPr="00613198">
        <w:t xml:space="preserve">c) </w:t>
      </w:r>
      <w:r w:rsidR="00587D05" w:rsidRPr="00613198">
        <w:t>przeprow</w:t>
      </w:r>
      <w:r w:rsidR="00FB4958" w:rsidRPr="00613198">
        <w:t>adzenie</w:t>
      </w:r>
      <w:r w:rsidR="00587D05" w:rsidRPr="00613198">
        <w:t xml:space="preserve"> przez operatora </w:t>
      </w:r>
      <w:r w:rsidRPr="00613198">
        <w:t>otwart</w:t>
      </w:r>
      <w:r w:rsidR="00587D05" w:rsidRPr="00613198">
        <w:t>ej</w:t>
      </w:r>
      <w:r w:rsidRPr="00613198">
        <w:t>, przejrzyst</w:t>
      </w:r>
      <w:r w:rsidR="00587D05" w:rsidRPr="00613198">
        <w:t>ej</w:t>
      </w:r>
      <w:r w:rsidRPr="00613198">
        <w:t xml:space="preserve"> i niedyskryminacyj</w:t>
      </w:r>
      <w:r w:rsidR="00587D05" w:rsidRPr="00613198">
        <w:t xml:space="preserve">nej </w:t>
      </w:r>
      <w:r w:rsidRPr="00613198">
        <w:t>procedur</w:t>
      </w:r>
      <w:r w:rsidR="00587D05" w:rsidRPr="00613198">
        <w:t>y</w:t>
      </w:r>
      <w:r w:rsidRPr="00613198">
        <w:t xml:space="preserve"> przetargow</w:t>
      </w:r>
      <w:r w:rsidR="00587D05" w:rsidRPr="00613198">
        <w:t>ej</w:t>
      </w:r>
      <w:r w:rsidRPr="00613198">
        <w:t xml:space="preserve"> w celu wyłonienia podmiotu mającego świadczyć usługi systemowe na rzecz tego operatora z wykorzystaniem magazynu energii będącego w posiadaniu takiego podmiotu lub przez niego wzniesionego, zarządzanego lub obsługiwanego, </w:t>
      </w:r>
    </w:p>
    <w:p w14:paraId="6CCC9DD9" w14:textId="1346923C" w:rsidR="003B6B9A" w:rsidRPr="00613198" w:rsidRDefault="003B6B9A" w:rsidP="003B6B9A">
      <w:pPr>
        <w:pStyle w:val="USTustnpkodeksu"/>
      </w:pPr>
      <w:r w:rsidRPr="00613198">
        <w:t>d) nie wyłoni</w:t>
      </w:r>
      <w:r w:rsidR="00587D05" w:rsidRPr="00613198">
        <w:t xml:space="preserve">enie w wyniku przeprowadzenia procedury, o której mowa w lit. c, żadnego podmiotu, </w:t>
      </w:r>
      <w:r w:rsidRPr="00613198">
        <w:t xml:space="preserve">w szczególności z uwagi na brak możliwości świadczenia usług systemowych </w:t>
      </w:r>
      <w:r w:rsidR="001C209C" w:rsidRPr="00613198">
        <w:t>,w odpowiednich terminach i z uwzględnieniem rozsądnych  kosztów   realizowanych w oparciu o magazyn energii.</w:t>
      </w:r>
      <w:r w:rsidRPr="00613198">
        <w:t>.</w:t>
      </w:r>
    </w:p>
    <w:p w14:paraId="00D07204" w14:textId="3345A8E0" w:rsidR="00FB4958" w:rsidRPr="00613198" w:rsidRDefault="00587D05" w:rsidP="00587D05">
      <w:pPr>
        <w:pStyle w:val="USTustnpkodeksu"/>
        <w:rPr>
          <w:rFonts w:ascii="Times New Roman" w:hAnsi="Times New Roman" w:cs="Times New Roman"/>
          <w:szCs w:val="24"/>
        </w:rPr>
      </w:pPr>
      <w:r w:rsidRPr="00613198">
        <w:t xml:space="preserve">Zgodnie z proponowanym art. </w:t>
      </w:r>
      <w:r w:rsidR="00F85658">
        <w:rPr>
          <w:rFonts w:ascii="Times New Roman" w:hAnsi="Times New Roman" w:cs="Times New Roman"/>
          <w:szCs w:val="24"/>
        </w:rPr>
        <w:t>9d</w:t>
      </w:r>
      <w:r w:rsidR="00F85658" w:rsidRPr="008E4707">
        <w:rPr>
          <w:rFonts w:ascii="Times New Roman" w:hAnsi="Times New Roman" w:cs="Times New Roman"/>
          <w:szCs w:val="24"/>
          <w:vertAlign w:val="superscript"/>
        </w:rPr>
        <w:t>1</w:t>
      </w:r>
      <w:r w:rsidRPr="00613198">
        <w:t xml:space="preserve"> ust. </w:t>
      </w:r>
      <w:r w:rsidR="008D0879">
        <w:t>4</w:t>
      </w:r>
      <w:r w:rsidRPr="00613198">
        <w:t xml:space="preserve">, Prezes URE przeprowadzi przynajmniej raz na pięć lat, konsultacje dotyczące istniejących magazynów energii, których celem będzie ustalenie czy podmioty inne niż operatorzy systemów elektroenergetycznych są zainteresowane inwestowaniem w magazyny energii, z wykorzystaniem których mogą świadczyć usługi systemowe na rzecz tych operatorów w sposób efektywny kosztowo. Informacje o wynikach </w:t>
      </w:r>
      <w:r w:rsidRPr="00613198">
        <w:lastRenderedPageBreak/>
        <w:t xml:space="preserve">konsultacji Prezes URE będzie publikował w Biuletynie Informacji Publicznej Urzędu Regulacji Energetyki. </w:t>
      </w:r>
      <w:r w:rsidR="000453A8" w:rsidRPr="00613198">
        <w:rPr>
          <w:rFonts w:ascii="Times New Roman" w:hAnsi="Times New Roman" w:cs="Times New Roman"/>
          <w:szCs w:val="24"/>
        </w:rPr>
        <w:t>W celu umożliwienia regulatorowi oceny wiarygodności podmiotów, które zgłaszają zainteresowanie posiadaniem, wznoszeniem, zarządzaniem lub obsługą magazynu energii, nałożono na takie podmioty</w:t>
      </w:r>
      <w:r w:rsidRPr="00613198">
        <w:rPr>
          <w:rFonts w:ascii="Times New Roman" w:hAnsi="Times New Roman" w:cs="Times New Roman"/>
          <w:szCs w:val="24"/>
        </w:rPr>
        <w:t xml:space="preserve"> (art. </w:t>
      </w:r>
      <w:r w:rsidR="00F85658">
        <w:rPr>
          <w:rFonts w:ascii="Times New Roman" w:hAnsi="Times New Roman" w:cs="Times New Roman"/>
          <w:szCs w:val="24"/>
        </w:rPr>
        <w:t>9d</w:t>
      </w:r>
      <w:r w:rsidR="00F85658" w:rsidRPr="008E4707">
        <w:rPr>
          <w:rFonts w:ascii="Times New Roman" w:hAnsi="Times New Roman" w:cs="Times New Roman"/>
          <w:szCs w:val="24"/>
          <w:vertAlign w:val="superscript"/>
        </w:rPr>
        <w:t>1</w:t>
      </w:r>
      <w:r w:rsidRPr="00613198">
        <w:rPr>
          <w:rFonts w:ascii="Times New Roman" w:hAnsi="Times New Roman" w:cs="Times New Roman"/>
          <w:szCs w:val="24"/>
        </w:rPr>
        <w:t xml:space="preserve"> ust. </w:t>
      </w:r>
      <w:r w:rsidR="008D0879">
        <w:rPr>
          <w:rFonts w:ascii="Times New Roman" w:hAnsi="Times New Roman" w:cs="Times New Roman"/>
          <w:szCs w:val="24"/>
        </w:rPr>
        <w:t>5</w:t>
      </w:r>
      <w:r w:rsidRPr="00613198">
        <w:rPr>
          <w:rFonts w:ascii="Times New Roman" w:hAnsi="Times New Roman" w:cs="Times New Roman"/>
          <w:szCs w:val="24"/>
        </w:rPr>
        <w:t>)</w:t>
      </w:r>
      <w:r w:rsidR="000453A8" w:rsidRPr="00613198">
        <w:rPr>
          <w:rFonts w:ascii="Times New Roman" w:hAnsi="Times New Roman" w:cs="Times New Roman"/>
          <w:szCs w:val="24"/>
        </w:rPr>
        <w:t xml:space="preserve"> obowiązek dołączenia odpowiedniej dokumentacji. </w:t>
      </w:r>
    </w:p>
    <w:p w14:paraId="57B2B162" w14:textId="77777777" w:rsidR="00FB4958" w:rsidRPr="00613198" w:rsidRDefault="00FB4958" w:rsidP="00587D05">
      <w:pPr>
        <w:pStyle w:val="USTustnpkodeksu"/>
      </w:pPr>
      <w:r w:rsidRPr="00613198">
        <w:t>Jeżeli w wyniku konsultacji społecznych Prezes URE stwierdził, że inne podmioty są w stanie w sposób efektywny kosztowo posiadać i wykorzystywać magazyn energii,  nim zarządzać lub go obsługiwać, zobowiąże on, w drodze decyzji operatora systemu elektroenergetycznego, do przekazania prawa do magazynu energii temu podmiotowi w terminie 18 miesięcy, określając  jednocześnie sposób i warunki tego przekazania oraz zasady ustalania i zwrotu operatorowi systemu elektroenergetycznego kapitału zaangażowanego w tą działalność z uwzględnieniem amortyzacji.</w:t>
      </w:r>
    </w:p>
    <w:p w14:paraId="7D4BE3B3" w14:textId="00A6FEA4" w:rsidR="000453A8" w:rsidRPr="00613198" w:rsidRDefault="00FB4958" w:rsidP="00587D05">
      <w:pPr>
        <w:pStyle w:val="USTustnpkodeksu"/>
      </w:pPr>
      <w:r w:rsidRPr="00613198">
        <w:rPr>
          <w:rFonts w:ascii="Times New Roman" w:hAnsi="Times New Roman" w:cs="Times New Roman"/>
          <w:szCs w:val="24"/>
        </w:rPr>
        <w:t xml:space="preserve">W </w:t>
      </w:r>
      <w:r w:rsidRPr="00C67AFA">
        <w:rPr>
          <w:rFonts w:ascii="Times New Roman" w:hAnsi="Times New Roman" w:cs="Times New Roman"/>
          <w:szCs w:val="24"/>
        </w:rPr>
        <w:t xml:space="preserve">art. </w:t>
      </w:r>
      <w:r w:rsidR="00C67AFA" w:rsidRPr="00C67AFA">
        <w:rPr>
          <w:rFonts w:ascii="Times New Roman" w:hAnsi="Times New Roman" w:cs="Times New Roman"/>
          <w:szCs w:val="24"/>
        </w:rPr>
        <w:t>2</w:t>
      </w:r>
      <w:r w:rsidR="00F85658">
        <w:rPr>
          <w:rFonts w:ascii="Times New Roman" w:hAnsi="Times New Roman" w:cs="Times New Roman"/>
          <w:szCs w:val="24"/>
        </w:rPr>
        <w:t>2</w:t>
      </w:r>
      <w:r w:rsidR="008D0879">
        <w:rPr>
          <w:rFonts w:ascii="Times New Roman" w:hAnsi="Times New Roman" w:cs="Times New Roman"/>
          <w:szCs w:val="24"/>
        </w:rPr>
        <w:t xml:space="preserve"> </w:t>
      </w:r>
      <w:r w:rsidRPr="00613198">
        <w:rPr>
          <w:rFonts w:ascii="Times New Roman" w:hAnsi="Times New Roman" w:cs="Times New Roman"/>
          <w:szCs w:val="24"/>
        </w:rPr>
        <w:t>projektu ustawy</w:t>
      </w:r>
      <w:r w:rsidR="000453A8" w:rsidRPr="00613198">
        <w:rPr>
          <w:rFonts w:ascii="Times New Roman" w:hAnsi="Times New Roman" w:cs="Times New Roman"/>
          <w:szCs w:val="24"/>
        </w:rPr>
        <w:t xml:space="preserve"> wprowadzono przepis przejściowy na dokonanie pierwszych konsultacji w sprawie zainteresowania posiadaniem, wznoszeniem, obsługą lub zarządzaniem magazynem energii.</w:t>
      </w:r>
    </w:p>
    <w:p w14:paraId="1261CC0C" w14:textId="2DE95012" w:rsidR="00913974" w:rsidRDefault="000453A8" w:rsidP="004B3746">
      <w:pPr>
        <w:spacing w:line="360" w:lineRule="auto"/>
        <w:ind w:firstLine="709"/>
        <w:jc w:val="both"/>
        <w:rPr>
          <w:rFonts w:ascii="Times New Roman" w:hAnsi="Times New Roman" w:cs="Times New Roman"/>
          <w:sz w:val="24"/>
          <w:szCs w:val="24"/>
        </w:rPr>
      </w:pPr>
      <w:r w:rsidRPr="00613198">
        <w:rPr>
          <w:rFonts w:ascii="Times New Roman" w:hAnsi="Times New Roman" w:cs="Times New Roman"/>
          <w:sz w:val="24"/>
          <w:szCs w:val="24"/>
        </w:rPr>
        <w:t xml:space="preserve">Jednocześnie </w:t>
      </w:r>
      <w:r w:rsidR="007F2C14">
        <w:rPr>
          <w:rFonts w:ascii="Times New Roman" w:hAnsi="Times New Roman" w:cs="Times New Roman"/>
          <w:sz w:val="24"/>
          <w:szCs w:val="24"/>
        </w:rPr>
        <w:t xml:space="preserve">w projekcie ustawy </w:t>
      </w:r>
      <w:r w:rsidRPr="00613198">
        <w:rPr>
          <w:rFonts w:ascii="Times New Roman" w:hAnsi="Times New Roman" w:cs="Times New Roman"/>
          <w:sz w:val="24"/>
          <w:szCs w:val="24"/>
        </w:rPr>
        <w:t>wprowadzono definicję magazynowania</w:t>
      </w:r>
      <w:r w:rsidR="00332323">
        <w:rPr>
          <w:rFonts w:ascii="Times New Roman" w:hAnsi="Times New Roman" w:cs="Times New Roman"/>
          <w:sz w:val="24"/>
          <w:szCs w:val="24"/>
        </w:rPr>
        <w:t xml:space="preserve"> energii</w:t>
      </w:r>
      <w:r w:rsidRPr="00613198">
        <w:rPr>
          <w:rFonts w:ascii="Times New Roman" w:hAnsi="Times New Roman" w:cs="Times New Roman"/>
          <w:sz w:val="24"/>
          <w:szCs w:val="24"/>
        </w:rPr>
        <w:t xml:space="preserve"> i magazynu energii</w:t>
      </w:r>
      <w:r w:rsidR="00913974">
        <w:rPr>
          <w:rFonts w:ascii="Times New Roman" w:hAnsi="Times New Roman" w:cs="Times New Roman"/>
          <w:sz w:val="24"/>
          <w:szCs w:val="24"/>
        </w:rPr>
        <w:t>,</w:t>
      </w:r>
      <w:r w:rsidR="004B3746" w:rsidRPr="004B3746">
        <w:rPr>
          <w:rFonts w:ascii="Times New Roman" w:hAnsi="Times New Roman" w:cs="Times New Roman"/>
          <w:sz w:val="24"/>
          <w:szCs w:val="24"/>
        </w:rPr>
        <w:t xml:space="preserve"> na potrzeb</w:t>
      </w:r>
      <w:r w:rsidR="00913974">
        <w:rPr>
          <w:rFonts w:ascii="Times New Roman" w:hAnsi="Times New Roman" w:cs="Times New Roman"/>
          <w:sz w:val="24"/>
          <w:szCs w:val="24"/>
        </w:rPr>
        <w:t>y</w:t>
      </w:r>
      <w:r w:rsidR="004B3746" w:rsidRPr="004B3746">
        <w:rPr>
          <w:rFonts w:ascii="Times New Roman" w:hAnsi="Times New Roman" w:cs="Times New Roman"/>
          <w:sz w:val="24"/>
          <w:szCs w:val="24"/>
        </w:rPr>
        <w:t xml:space="preserve"> implementacji dyrektywy 2019/944, do której odnoszą się przepisy o ograniczeniach operatorów systemów elektroenergetycznych w posiadaniu takich instalacji. Definicja ta jest bardzo szeroka i w pełni odzwierciedla definicję magazynowania energii oraz instalacji magazynowania energii, o których mowa w dyrektywie 2019/944. </w:t>
      </w:r>
      <w:r w:rsidR="00913974" w:rsidRPr="00913974">
        <w:rPr>
          <w:rFonts w:ascii="Times New Roman" w:hAnsi="Times New Roman" w:cs="Times New Roman"/>
          <w:sz w:val="24"/>
          <w:szCs w:val="24"/>
        </w:rPr>
        <w:t>Wprowadzenie zaś definicji magazynowania energii elektrycznej</w:t>
      </w:r>
      <w:r w:rsidR="00913974">
        <w:rPr>
          <w:rFonts w:ascii="Times New Roman" w:hAnsi="Times New Roman" w:cs="Times New Roman"/>
          <w:sz w:val="24"/>
          <w:szCs w:val="24"/>
        </w:rPr>
        <w:t xml:space="preserve"> i </w:t>
      </w:r>
      <w:r w:rsidR="00913974" w:rsidRPr="00913974">
        <w:rPr>
          <w:rFonts w:ascii="Times New Roman" w:hAnsi="Times New Roman" w:cs="Times New Roman"/>
          <w:sz w:val="24"/>
          <w:szCs w:val="24"/>
        </w:rPr>
        <w:t>magazynu energii elektrycznej jest konieczne ze względu na szereg przepisów mających na celu zniesienie barier w rozwoju tych technologii a wprowadzonych ustawą z dnia 20 maja 2021 r. o</w:t>
      </w:r>
      <w:r w:rsidR="00913974">
        <w:rPr>
          <w:rFonts w:ascii="Times New Roman" w:hAnsi="Times New Roman" w:cs="Times New Roman"/>
          <w:sz w:val="24"/>
          <w:szCs w:val="24"/>
        </w:rPr>
        <w:t xml:space="preserve"> </w:t>
      </w:r>
      <w:r w:rsidR="00913974" w:rsidRPr="00913974">
        <w:rPr>
          <w:rFonts w:ascii="Times New Roman" w:hAnsi="Times New Roman" w:cs="Times New Roman"/>
          <w:sz w:val="24"/>
          <w:szCs w:val="24"/>
        </w:rPr>
        <w:t>zmianie ustawy – Prawo energetyczne oraz niektórych innych ustaw. Przepisy te dot</w:t>
      </w:r>
      <w:r w:rsidR="00913974">
        <w:rPr>
          <w:rFonts w:ascii="Times New Roman" w:hAnsi="Times New Roman" w:cs="Times New Roman"/>
          <w:sz w:val="24"/>
          <w:szCs w:val="24"/>
        </w:rPr>
        <w:t xml:space="preserve">yczą </w:t>
      </w:r>
      <w:r w:rsidR="00913974" w:rsidRPr="00913974">
        <w:rPr>
          <w:rFonts w:ascii="Times New Roman" w:hAnsi="Times New Roman" w:cs="Times New Roman"/>
          <w:sz w:val="24"/>
          <w:szCs w:val="24"/>
        </w:rPr>
        <w:t xml:space="preserve">m.in. opłat sieciowych, przyłączania do sieci elektroenergetycznej, opłaty </w:t>
      </w:r>
      <w:proofErr w:type="spellStart"/>
      <w:r w:rsidR="00913974" w:rsidRPr="00913974">
        <w:rPr>
          <w:rFonts w:ascii="Times New Roman" w:hAnsi="Times New Roman" w:cs="Times New Roman"/>
          <w:sz w:val="24"/>
          <w:szCs w:val="24"/>
        </w:rPr>
        <w:t>mocowej</w:t>
      </w:r>
      <w:proofErr w:type="spellEnd"/>
      <w:r w:rsidR="00913974" w:rsidRPr="00913974">
        <w:rPr>
          <w:rFonts w:ascii="Times New Roman" w:hAnsi="Times New Roman" w:cs="Times New Roman"/>
          <w:sz w:val="24"/>
          <w:szCs w:val="24"/>
        </w:rPr>
        <w:t xml:space="preserve">, podatku akcyzowego, udziału w systemach wsparcia, taryf </w:t>
      </w:r>
      <w:r w:rsidR="00913974">
        <w:rPr>
          <w:rFonts w:ascii="Times New Roman" w:hAnsi="Times New Roman" w:cs="Times New Roman"/>
          <w:sz w:val="24"/>
          <w:szCs w:val="24"/>
        </w:rPr>
        <w:t xml:space="preserve">i </w:t>
      </w:r>
      <w:r w:rsidR="00913974" w:rsidRPr="00913974">
        <w:rPr>
          <w:rFonts w:ascii="Times New Roman" w:hAnsi="Times New Roman" w:cs="Times New Roman"/>
          <w:sz w:val="24"/>
          <w:szCs w:val="24"/>
        </w:rPr>
        <w:t>są stricte powiązane z koniecznością przetworzenia innego nośnika energii będącego przedmiotem magazynowania z powrotem na energię elektryczną. Tak więc do tej grupy przepisów nie mo</w:t>
      </w:r>
      <w:r w:rsidR="00367C81">
        <w:rPr>
          <w:rFonts w:ascii="Times New Roman" w:hAnsi="Times New Roman" w:cs="Times New Roman"/>
          <w:sz w:val="24"/>
          <w:szCs w:val="24"/>
        </w:rPr>
        <w:t>że</w:t>
      </w:r>
      <w:r w:rsidR="00913974" w:rsidRPr="00913974">
        <w:rPr>
          <w:rFonts w:ascii="Times New Roman" w:hAnsi="Times New Roman" w:cs="Times New Roman"/>
          <w:sz w:val="24"/>
          <w:szCs w:val="24"/>
        </w:rPr>
        <w:t xml:space="preserve"> znaleźć zastosowania szeroka definicja magazynowania energii</w:t>
      </w:r>
      <w:r w:rsidR="00367C81">
        <w:rPr>
          <w:rFonts w:ascii="Times New Roman" w:hAnsi="Times New Roman" w:cs="Times New Roman"/>
          <w:sz w:val="24"/>
          <w:szCs w:val="24"/>
        </w:rPr>
        <w:t xml:space="preserve"> i</w:t>
      </w:r>
      <w:r w:rsidR="00913974" w:rsidRPr="00913974">
        <w:rPr>
          <w:rFonts w:ascii="Times New Roman" w:hAnsi="Times New Roman" w:cs="Times New Roman"/>
          <w:sz w:val="24"/>
          <w:szCs w:val="24"/>
        </w:rPr>
        <w:t xml:space="preserve"> magazynu energii, obejmująca także wykorzystanie energii w postaci innego nośnika.</w:t>
      </w:r>
      <w:r w:rsidR="00367C81">
        <w:rPr>
          <w:rFonts w:ascii="Times New Roman" w:hAnsi="Times New Roman" w:cs="Times New Roman"/>
          <w:sz w:val="24"/>
          <w:szCs w:val="24"/>
        </w:rPr>
        <w:t xml:space="preserve"> </w:t>
      </w:r>
    </w:p>
    <w:p w14:paraId="60A1E4ED" w14:textId="4C42B4D0" w:rsidR="004B3746" w:rsidRDefault="00367C81" w:rsidP="004B3746">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W związku z tym, że definicja magazynowania energii i magazynu energii  jest znacznie szersza i obejmuje</w:t>
      </w:r>
      <w:r w:rsidR="00236DDB">
        <w:rPr>
          <w:rFonts w:ascii="Times New Roman" w:hAnsi="Times New Roman" w:cs="Times New Roman"/>
          <w:sz w:val="24"/>
          <w:szCs w:val="24"/>
        </w:rPr>
        <w:t xml:space="preserve"> w swoim zakresie</w:t>
      </w:r>
      <w:r>
        <w:rPr>
          <w:rFonts w:ascii="Times New Roman" w:hAnsi="Times New Roman" w:cs="Times New Roman"/>
          <w:sz w:val="24"/>
          <w:szCs w:val="24"/>
        </w:rPr>
        <w:t xml:space="preserve"> również magazynowanie energii elektrycznej i magazyn energii elektrycznej, to znajdujące się w projekcie ustawy </w:t>
      </w:r>
      <w:r w:rsidR="004B3746" w:rsidRPr="004B3746">
        <w:rPr>
          <w:rFonts w:ascii="Times New Roman" w:hAnsi="Times New Roman" w:cs="Times New Roman"/>
          <w:sz w:val="24"/>
          <w:szCs w:val="24"/>
        </w:rPr>
        <w:t xml:space="preserve">przepisy </w:t>
      </w:r>
      <w:r w:rsidR="00236DDB">
        <w:rPr>
          <w:rFonts w:ascii="Times New Roman" w:hAnsi="Times New Roman" w:cs="Times New Roman"/>
          <w:sz w:val="24"/>
          <w:szCs w:val="24"/>
        </w:rPr>
        <w:t xml:space="preserve">dotyczące </w:t>
      </w:r>
      <w:r w:rsidR="004B3746" w:rsidRPr="004B3746">
        <w:rPr>
          <w:rFonts w:ascii="Times New Roman" w:hAnsi="Times New Roman" w:cs="Times New Roman"/>
          <w:sz w:val="24"/>
          <w:szCs w:val="24"/>
        </w:rPr>
        <w:t>ogranicze</w:t>
      </w:r>
      <w:r w:rsidR="00236DDB">
        <w:rPr>
          <w:rFonts w:ascii="Times New Roman" w:hAnsi="Times New Roman" w:cs="Times New Roman"/>
          <w:sz w:val="24"/>
          <w:szCs w:val="24"/>
        </w:rPr>
        <w:t>ń</w:t>
      </w:r>
      <w:r w:rsidR="004B3746" w:rsidRPr="004B3746">
        <w:rPr>
          <w:rFonts w:ascii="Times New Roman" w:hAnsi="Times New Roman" w:cs="Times New Roman"/>
          <w:sz w:val="24"/>
          <w:szCs w:val="24"/>
        </w:rPr>
        <w:t xml:space="preserve"> operatorów systemów elektroenergetycznych w posiadaniu takich instalacji o</w:t>
      </w:r>
      <w:r w:rsidR="00236DDB">
        <w:rPr>
          <w:rFonts w:ascii="Times New Roman" w:hAnsi="Times New Roman" w:cs="Times New Roman"/>
          <w:sz w:val="24"/>
          <w:szCs w:val="24"/>
        </w:rPr>
        <w:t>d</w:t>
      </w:r>
      <w:r w:rsidR="004B3746" w:rsidRPr="004B3746">
        <w:rPr>
          <w:rFonts w:ascii="Times New Roman" w:hAnsi="Times New Roman" w:cs="Times New Roman"/>
          <w:sz w:val="24"/>
          <w:szCs w:val="24"/>
        </w:rPr>
        <w:t>noszą się</w:t>
      </w:r>
      <w:r>
        <w:rPr>
          <w:rFonts w:ascii="Times New Roman" w:hAnsi="Times New Roman" w:cs="Times New Roman"/>
          <w:sz w:val="24"/>
          <w:szCs w:val="24"/>
        </w:rPr>
        <w:t xml:space="preserve"> </w:t>
      </w:r>
      <w:r>
        <w:rPr>
          <w:rFonts w:ascii="Times New Roman" w:hAnsi="Times New Roman" w:cs="Times New Roman"/>
          <w:sz w:val="24"/>
          <w:szCs w:val="24"/>
        </w:rPr>
        <w:lastRenderedPageBreak/>
        <w:t>również</w:t>
      </w:r>
      <w:r w:rsidR="004B3746" w:rsidRPr="004B3746">
        <w:rPr>
          <w:rFonts w:ascii="Times New Roman" w:hAnsi="Times New Roman" w:cs="Times New Roman"/>
          <w:sz w:val="24"/>
          <w:szCs w:val="24"/>
        </w:rPr>
        <w:t xml:space="preserve"> </w:t>
      </w:r>
      <w:r w:rsidR="00236DDB">
        <w:rPr>
          <w:rFonts w:ascii="Times New Roman" w:hAnsi="Times New Roman" w:cs="Times New Roman"/>
          <w:sz w:val="24"/>
          <w:szCs w:val="24"/>
        </w:rPr>
        <w:t xml:space="preserve">do </w:t>
      </w:r>
      <w:r w:rsidR="004B3746" w:rsidRPr="004B3746">
        <w:rPr>
          <w:rFonts w:ascii="Times New Roman" w:hAnsi="Times New Roman" w:cs="Times New Roman"/>
          <w:sz w:val="24"/>
          <w:szCs w:val="24"/>
        </w:rPr>
        <w:t>magazynu energii elektrycznej</w:t>
      </w:r>
      <w:r>
        <w:rPr>
          <w:rFonts w:ascii="Times New Roman" w:hAnsi="Times New Roman" w:cs="Times New Roman"/>
          <w:sz w:val="24"/>
          <w:szCs w:val="24"/>
        </w:rPr>
        <w:t>.</w:t>
      </w:r>
      <w:r w:rsidR="004B3746" w:rsidRPr="004B3746">
        <w:rPr>
          <w:rFonts w:ascii="Times New Roman" w:hAnsi="Times New Roman" w:cs="Times New Roman"/>
          <w:sz w:val="24"/>
          <w:szCs w:val="24"/>
        </w:rPr>
        <w:t xml:space="preserve"> </w:t>
      </w:r>
      <w:r w:rsidR="00236DDB">
        <w:rPr>
          <w:rFonts w:ascii="Times New Roman" w:hAnsi="Times New Roman" w:cs="Times New Roman"/>
          <w:sz w:val="24"/>
          <w:szCs w:val="24"/>
        </w:rPr>
        <w:t xml:space="preserve">Dzięki temu nie ma </w:t>
      </w:r>
      <w:r>
        <w:rPr>
          <w:rFonts w:ascii="Times New Roman" w:hAnsi="Times New Roman" w:cs="Times New Roman"/>
          <w:sz w:val="24"/>
          <w:szCs w:val="24"/>
        </w:rPr>
        <w:t>możliw</w:t>
      </w:r>
      <w:r w:rsidR="00236DDB">
        <w:rPr>
          <w:rFonts w:ascii="Times New Roman" w:hAnsi="Times New Roman" w:cs="Times New Roman"/>
          <w:sz w:val="24"/>
          <w:szCs w:val="24"/>
        </w:rPr>
        <w:t xml:space="preserve">ości </w:t>
      </w:r>
      <w:r w:rsidR="004B3746" w:rsidRPr="004B3746">
        <w:rPr>
          <w:rFonts w:ascii="Times New Roman" w:hAnsi="Times New Roman" w:cs="Times New Roman"/>
          <w:sz w:val="24"/>
          <w:szCs w:val="24"/>
        </w:rPr>
        <w:t>obejści</w:t>
      </w:r>
      <w:r w:rsidR="00236DDB">
        <w:rPr>
          <w:rFonts w:ascii="Times New Roman" w:hAnsi="Times New Roman" w:cs="Times New Roman"/>
          <w:sz w:val="24"/>
          <w:szCs w:val="24"/>
        </w:rPr>
        <w:t>a</w:t>
      </w:r>
      <w:r w:rsidR="004B3746" w:rsidRPr="004B3746">
        <w:rPr>
          <w:rFonts w:ascii="Times New Roman" w:hAnsi="Times New Roman" w:cs="Times New Roman"/>
          <w:sz w:val="24"/>
          <w:szCs w:val="24"/>
        </w:rPr>
        <w:t xml:space="preserve"> przepisów zakazujących</w:t>
      </w:r>
      <w:r w:rsidR="00236DDB">
        <w:rPr>
          <w:rFonts w:ascii="Times New Roman" w:hAnsi="Times New Roman" w:cs="Times New Roman"/>
          <w:sz w:val="24"/>
          <w:szCs w:val="24"/>
        </w:rPr>
        <w:t xml:space="preserve"> </w:t>
      </w:r>
      <w:r w:rsidR="004B3746" w:rsidRPr="004B3746">
        <w:rPr>
          <w:rFonts w:ascii="Times New Roman" w:hAnsi="Times New Roman" w:cs="Times New Roman"/>
          <w:sz w:val="24"/>
          <w:szCs w:val="24"/>
        </w:rPr>
        <w:t>operatorom systemów przesyłowych i dystrybucyjnych bycia właścicielami, tworzenia oraz obsługi instalacji magazynowania energii i zarządzania nimi</w:t>
      </w:r>
      <w:r>
        <w:rPr>
          <w:rFonts w:ascii="Times New Roman" w:hAnsi="Times New Roman" w:cs="Times New Roman"/>
          <w:sz w:val="24"/>
          <w:szCs w:val="24"/>
        </w:rPr>
        <w:t xml:space="preserve"> w zakresie magazynów energii elektrycznej</w:t>
      </w:r>
      <w:r w:rsidR="004B3746" w:rsidRPr="004B3746">
        <w:rPr>
          <w:rFonts w:ascii="Times New Roman" w:hAnsi="Times New Roman" w:cs="Times New Roman"/>
          <w:sz w:val="24"/>
          <w:szCs w:val="24"/>
        </w:rPr>
        <w:t>.</w:t>
      </w:r>
    </w:p>
    <w:p w14:paraId="21571BBE" w14:textId="77777777" w:rsidR="004B3746" w:rsidRDefault="004B3746" w:rsidP="00FB4958">
      <w:pPr>
        <w:spacing w:line="360" w:lineRule="auto"/>
        <w:ind w:firstLine="709"/>
        <w:jc w:val="both"/>
        <w:rPr>
          <w:rFonts w:ascii="Times New Roman" w:hAnsi="Times New Roman" w:cs="Times New Roman"/>
          <w:sz w:val="24"/>
          <w:szCs w:val="24"/>
        </w:rPr>
      </w:pPr>
    </w:p>
    <w:p w14:paraId="432C70F8" w14:textId="677AF8EC" w:rsidR="00FA6570" w:rsidRPr="00613198" w:rsidRDefault="00FA6570" w:rsidP="00FB4958">
      <w:pPr>
        <w:spacing w:line="360" w:lineRule="auto"/>
        <w:ind w:firstLine="709"/>
        <w:jc w:val="both"/>
        <w:rPr>
          <w:rFonts w:ascii="Times New Roman" w:hAnsi="Times New Roman" w:cs="Times New Roman"/>
          <w:b/>
          <w:sz w:val="24"/>
          <w:szCs w:val="24"/>
        </w:rPr>
      </w:pPr>
      <w:r w:rsidRPr="00613198">
        <w:rPr>
          <w:rFonts w:ascii="Times New Roman" w:hAnsi="Times New Roman" w:cs="Times New Roman"/>
          <w:b/>
          <w:sz w:val="24"/>
          <w:szCs w:val="24"/>
        </w:rPr>
        <w:t xml:space="preserve">Ad </w:t>
      </w:r>
      <w:r w:rsidR="00925345" w:rsidRPr="00613198">
        <w:rPr>
          <w:rFonts w:ascii="Times New Roman" w:hAnsi="Times New Roman" w:cs="Times New Roman"/>
          <w:b/>
          <w:sz w:val="24"/>
          <w:szCs w:val="24"/>
        </w:rPr>
        <w:t>1</w:t>
      </w:r>
      <w:r w:rsidR="00925345">
        <w:rPr>
          <w:rFonts w:ascii="Times New Roman" w:hAnsi="Times New Roman" w:cs="Times New Roman"/>
          <w:b/>
          <w:sz w:val="24"/>
          <w:szCs w:val="24"/>
        </w:rPr>
        <w:t>1</w:t>
      </w:r>
      <w:r w:rsidR="00C07D32" w:rsidRPr="00613198">
        <w:rPr>
          <w:rFonts w:ascii="Times New Roman" w:hAnsi="Times New Roman" w:cs="Times New Roman"/>
          <w:b/>
          <w:sz w:val="24"/>
          <w:szCs w:val="24"/>
        </w:rPr>
        <w:t xml:space="preserve">. </w:t>
      </w:r>
      <w:r w:rsidRPr="00613198">
        <w:rPr>
          <w:rFonts w:ascii="Times New Roman" w:hAnsi="Times New Roman" w:cs="Times New Roman"/>
          <w:b/>
          <w:sz w:val="24"/>
          <w:szCs w:val="24"/>
        </w:rPr>
        <w:t>Zmiana przepisów dotyczących Koordynatora ds. negocjacji</w:t>
      </w:r>
    </w:p>
    <w:p w14:paraId="1AF6AF4A" w14:textId="77777777" w:rsidR="00FA6570" w:rsidRPr="00613198" w:rsidRDefault="00FA6570" w:rsidP="00FA6570">
      <w:pPr>
        <w:spacing w:line="360" w:lineRule="auto"/>
        <w:ind w:firstLine="709"/>
        <w:jc w:val="both"/>
        <w:rPr>
          <w:rFonts w:ascii="Times New Roman" w:hAnsi="Times New Roman" w:cs="Times New Roman"/>
          <w:sz w:val="24"/>
          <w:szCs w:val="24"/>
        </w:rPr>
      </w:pPr>
      <w:r w:rsidRPr="00613198">
        <w:rPr>
          <w:rFonts w:ascii="Times New Roman" w:hAnsi="Times New Roman" w:cs="Times New Roman"/>
          <w:sz w:val="24"/>
          <w:szCs w:val="24"/>
        </w:rPr>
        <w:t>Zgodnie z art. 26 dyrektywy 2019/944 państwa członkowskie są zobowiązane do zapewnienia odbiorcom końcowym dostępu do mechanizmu pozasądowego rozstrzygania sporów dotyczących praw i obowiązków, które ustanowione są dyrektywą 2019/944, za pośrednictwem niezależnego mechanizmu, takiego jak np. rzecznik praw odbiorców energii, organ ochrony konsumentów lub za pośrednictwem organu regulacyjnego. Mechanizm ten ma być prosty, sprawiedliwy, przejrzysty niezależny oraz skutecznie i sprawnie działający.</w:t>
      </w:r>
    </w:p>
    <w:p w14:paraId="04AF7185" w14:textId="42ED3A66" w:rsidR="00FA6570" w:rsidRPr="00613198" w:rsidRDefault="00FA6570" w:rsidP="00FA6570">
      <w:pPr>
        <w:spacing w:line="360" w:lineRule="auto"/>
        <w:ind w:firstLine="709"/>
        <w:jc w:val="both"/>
        <w:rPr>
          <w:rFonts w:ascii="Times New Roman" w:hAnsi="Times New Roman" w:cs="Times New Roman"/>
          <w:sz w:val="24"/>
          <w:szCs w:val="24"/>
        </w:rPr>
      </w:pPr>
      <w:r w:rsidRPr="00613198">
        <w:rPr>
          <w:rFonts w:ascii="Times New Roman" w:hAnsi="Times New Roman" w:cs="Times New Roman"/>
          <w:sz w:val="24"/>
          <w:szCs w:val="24"/>
        </w:rPr>
        <w:t xml:space="preserve">Mechanizm pozasądowego rozwiązywania sporów został uregulowany w Rozdziale 4a ustawy – </w:t>
      </w:r>
      <w:r w:rsidR="00BF79A7" w:rsidRPr="00613198">
        <w:rPr>
          <w:rFonts w:ascii="Times New Roman" w:hAnsi="Times New Roman" w:cs="Times New Roman"/>
          <w:sz w:val="24"/>
          <w:szCs w:val="24"/>
        </w:rPr>
        <w:t>Prawo energetyczne</w:t>
      </w:r>
      <w:r w:rsidRPr="00613198">
        <w:rPr>
          <w:rFonts w:ascii="Times New Roman" w:hAnsi="Times New Roman" w:cs="Times New Roman"/>
          <w:sz w:val="24"/>
          <w:szCs w:val="24"/>
        </w:rPr>
        <w:t xml:space="preserve"> </w:t>
      </w:r>
      <w:r w:rsidR="00332323" w:rsidRPr="00613198">
        <w:rPr>
          <w:rFonts w:ascii="Times New Roman" w:hAnsi="Times New Roman" w:cs="Times New Roman"/>
          <w:sz w:val="24"/>
          <w:szCs w:val="24"/>
        </w:rPr>
        <w:t>regulują</w:t>
      </w:r>
      <w:r w:rsidR="00332323">
        <w:rPr>
          <w:rFonts w:ascii="Times New Roman" w:hAnsi="Times New Roman" w:cs="Times New Roman"/>
          <w:sz w:val="24"/>
          <w:szCs w:val="24"/>
        </w:rPr>
        <w:t>cym</w:t>
      </w:r>
      <w:r w:rsidR="00332323" w:rsidRPr="00613198">
        <w:rPr>
          <w:rFonts w:ascii="Times New Roman" w:hAnsi="Times New Roman" w:cs="Times New Roman"/>
          <w:sz w:val="24"/>
          <w:szCs w:val="24"/>
        </w:rPr>
        <w:t xml:space="preserve"> </w:t>
      </w:r>
      <w:r w:rsidRPr="00613198">
        <w:rPr>
          <w:rFonts w:ascii="Times New Roman" w:hAnsi="Times New Roman" w:cs="Times New Roman"/>
          <w:sz w:val="24"/>
          <w:szCs w:val="24"/>
        </w:rPr>
        <w:t xml:space="preserve">działanie Koordynatora ds. negocjacji oraz w rozporządzeniach wykonawczych, tj. </w:t>
      </w:r>
    </w:p>
    <w:p w14:paraId="59A2A14E" w14:textId="06D3D4A6" w:rsidR="00FA6570" w:rsidRPr="00613198" w:rsidRDefault="00FA6570" w:rsidP="009317C2">
      <w:pPr>
        <w:tabs>
          <w:tab w:val="left" w:pos="851"/>
        </w:tabs>
        <w:spacing w:line="360" w:lineRule="auto"/>
        <w:ind w:left="851" w:hanging="425"/>
        <w:jc w:val="both"/>
        <w:rPr>
          <w:rFonts w:ascii="Times New Roman" w:hAnsi="Times New Roman" w:cs="Times New Roman"/>
          <w:sz w:val="24"/>
          <w:szCs w:val="24"/>
        </w:rPr>
      </w:pPr>
      <w:r w:rsidRPr="00613198">
        <w:rPr>
          <w:rFonts w:ascii="Times New Roman" w:hAnsi="Times New Roman" w:cs="Times New Roman"/>
          <w:sz w:val="24"/>
          <w:szCs w:val="24"/>
        </w:rPr>
        <w:t>•</w:t>
      </w:r>
      <w:r w:rsidR="009317C2" w:rsidRPr="00613198">
        <w:rPr>
          <w:rFonts w:ascii="Times New Roman" w:hAnsi="Times New Roman" w:cs="Times New Roman"/>
          <w:sz w:val="24"/>
          <w:szCs w:val="24"/>
        </w:rPr>
        <w:tab/>
      </w:r>
      <w:r w:rsidRPr="00613198">
        <w:rPr>
          <w:rFonts w:ascii="Times New Roman" w:hAnsi="Times New Roman" w:cs="Times New Roman"/>
          <w:sz w:val="24"/>
          <w:szCs w:val="24"/>
        </w:rPr>
        <w:t>rozporządzeniu Ministra Energii z dnia 1 sierpnia 2017 r. w sprawie prowadzenia przez Koordynatora do spraw negocjacji postępowania w zakresie pozasądowego rozwiązywania sporów,</w:t>
      </w:r>
    </w:p>
    <w:p w14:paraId="4F130AB2" w14:textId="769B4F48" w:rsidR="00FA6570" w:rsidRPr="00613198" w:rsidRDefault="00FA6570" w:rsidP="009317C2">
      <w:pPr>
        <w:tabs>
          <w:tab w:val="left" w:pos="851"/>
        </w:tabs>
        <w:spacing w:line="360" w:lineRule="auto"/>
        <w:ind w:left="851" w:hanging="425"/>
        <w:jc w:val="both"/>
        <w:rPr>
          <w:rFonts w:ascii="Times New Roman" w:hAnsi="Times New Roman" w:cs="Times New Roman"/>
          <w:sz w:val="24"/>
          <w:szCs w:val="24"/>
        </w:rPr>
      </w:pPr>
      <w:r w:rsidRPr="00613198">
        <w:rPr>
          <w:rFonts w:ascii="Times New Roman" w:hAnsi="Times New Roman" w:cs="Times New Roman"/>
          <w:sz w:val="24"/>
          <w:szCs w:val="24"/>
        </w:rPr>
        <w:t>•</w:t>
      </w:r>
      <w:r w:rsidR="009317C2" w:rsidRPr="00613198">
        <w:rPr>
          <w:rFonts w:ascii="Times New Roman" w:hAnsi="Times New Roman" w:cs="Times New Roman"/>
          <w:sz w:val="24"/>
          <w:szCs w:val="24"/>
        </w:rPr>
        <w:tab/>
      </w:r>
      <w:r w:rsidRPr="00613198">
        <w:rPr>
          <w:rFonts w:ascii="Times New Roman" w:hAnsi="Times New Roman" w:cs="Times New Roman"/>
          <w:sz w:val="24"/>
          <w:szCs w:val="24"/>
        </w:rPr>
        <w:t xml:space="preserve">rozporządzeniu Ministra Energii z dnia 1 sierpnia 2017 r. w sprawie określenia wysokości progów finansowych wartości przedmiotu sporu, których przekroczenie uprawnia do odmowy rozpatrzenia sporu.   </w:t>
      </w:r>
    </w:p>
    <w:p w14:paraId="288E34F1" w14:textId="3DFCBDBF" w:rsidR="00FA6570" w:rsidRPr="00613198" w:rsidRDefault="00FA6570" w:rsidP="00FA6570">
      <w:pPr>
        <w:spacing w:line="360" w:lineRule="auto"/>
        <w:ind w:firstLine="709"/>
        <w:jc w:val="both"/>
        <w:rPr>
          <w:rFonts w:ascii="Times New Roman" w:hAnsi="Times New Roman" w:cs="Times New Roman"/>
          <w:sz w:val="24"/>
          <w:szCs w:val="24"/>
        </w:rPr>
      </w:pPr>
      <w:r w:rsidRPr="00613198">
        <w:rPr>
          <w:rFonts w:ascii="Times New Roman" w:hAnsi="Times New Roman" w:cs="Times New Roman"/>
          <w:sz w:val="24"/>
          <w:szCs w:val="24"/>
        </w:rPr>
        <w:t xml:space="preserve">Aktualnie, zgodnie z art. 31a ust. 1 ustawy – </w:t>
      </w:r>
      <w:r w:rsidR="00BF79A7" w:rsidRPr="00613198">
        <w:rPr>
          <w:rFonts w:ascii="Times New Roman" w:hAnsi="Times New Roman" w:cs="Times New Roman"/>
          <w:sz w:val="24"/>
          <w:szCs w:val="24"/>
        </w:rPr>
        <w:t>Prawo energetyczne</w:t>
      </w:r>
      <w:r w:rsidRPr="00613198">
        <w:rPr>
          <w:rFonts w:ascii="Times New Roman" w:hAnsi="Times New Roman" w:cs="Times New Roman"/>
          <w:sz w:val="24"/>
          <w:szCs w:val="24"/>
        </w:rPr>
        <w:t>, koordynator do spraw negocjacji prowadzi postępowania z zakresu pozasądowego rozwiązywania sporów między odbiorcami paliw gazowych, energii elektrycznej lub ciepła w gospodarstwie domowym a przedsiębiorstwami energetycznymi oraz między prosumentami energii odnawialnej będącymi konsumentami a przedsiębiorstwami energetycznymi wynikłych z umów:</w:t>
      </w:r>
    </w:p>
    <w:p w14:paraId="7291D910" w14:textId="616AA46B" w:rsidR="00FA6570" w:rsidRPr="00613198" w:rsidRDefault="00FA6570" w:rsidP="009317C2">
      <w:pPr>
        <w:tabs>
          <w:tab w:val="left" w:pos="709"/>
        </w:tabs>
        <w:spacing w:line="360" w:lineRule="auto"/>
        <w:ind w:left="709" w:hanging="283"/>
        <w:jc w:val="both"/>
        <w:rPr>
          <w:rFonts w:ascii="Times New Roman" w:hAnsi="Times New Roman" w:cs="Times New Roman"/>
          <w:sz w:val="24"/>
          <w:szCs w:val="24"/>
        </w:rPr>
      </w:pPr>
      <w:r w:rsidRPr="00613198">
        <w:rPr>
          <w:rFonts w:ascii="Times New Roman" w:hAnsi="Times New Roman" w:cs="Times New Roman"/>
          <w:sz w:val="24"/>
          <w:szCs w:val="24"/>
        </w:rPr>
        <w:t>1)</w:t>
      </w:r>
      <w:r w:rsidR="009317C2" w:rsidRPr="00613198">
        <w:rPr>
          <w:rFonts w:ascii="Times New Roman" w:hAnsi="Times New Roman" w:cs="Times New Roman"/>
          <w:sz w:val="24"/>
          <w:szCs w:val="24"/>
        </w:rPr>
        <w:tab/>
      </w:r>
      <w:r w:rsidRPr="00613198">
        <w:rPr>
          <w:rFonts w:ascii="Times New Roman" w:hAnsi="Times New Roman" w:cs="Times New Roman"/>
          <w:sz w:val="24"/>
          <w:szCs w:val="24"/>
        </w:rPr>
        <w:t xml:space="preserve">o przyłączenie do sieci elektroenergetycznej, gazowej lub ciepłowniczej, w tym przyłączenia </w:t>
      </w:r>
      <w:proofErr w:type="spellStart"/>
      <w:r w:rsidRPr="00613198">
        <w:rPr>
          <w:rFonts w:ascii="Times New Roman" w:hAnsi="Times New Roman" w:cs="Times New Roman"/>
          <w:sz w:val="24"/>
          <w:szCs w:val="24"/>
        </w:rPr>
        <w:t>mikroinstalacji</w:t>
      </w:r>
      <w:proofErr w:type="spellEnd"/>
      <w:r w:rsidRPr="00613198">
        <w:rPr>
          <w:rFonts w:ascii="Times New Roman" w:hAnsi="Times New Roman" w:cs="Times New Roman"/>
          <w:sz w:val="24"/>
          <w:szCs w:val="24"/>
        </w:rPr>
        <w:t>;</w:t>
      </w:r>
    </w:p>
    <w:p w14:paraId="60414102" w14:textId="55FD67E1" w:rsidR="00FA6570" w:rsidRPr="00613198" w:rsidRDefault="00FA6570" w:rsidP="009317C2">
      <w:pPr>
        <w:tabs>
          <w:tab w:val="left" w:pos="709"/>
        </w:tabs>
        <w:spacing w:line="360" w:lineRule="auto"/>
        <w:ind w:left="709" w:hanging="283"/>
        <w:jc w:val="both"/>
        <w:rPr>
          <w:rFonts w:ascii="Times New Roman" w:hAnsi="Times New Roman" w:cs="Times New Roman"/>
          <w:sz w:val="24"/>
          <w:szCs w:val="24"/>
        </w:rPr>
      </w:pPr>
      <w:r w:rsidRPr="00613198">
        <w:rPr>
          <w:rFonts w:ascii="Times New Roman" w:hAnsi="Times New Roman" w:cs="Times New Roman"/>
          <w:sz w:val="24"/>
          <w:szCs w:val="24"/>
        </w:rPr>
        <w:t>2)</w:t>
      </w:r>
      <w:r w:rsidR="009317C2" w:rsidRPr="00613198">
        <w:rPr>
          <w:rFonts w:ascii="Times New Roman" w:hAnsi="Times New Roman" w:cs="Times New Roman"/>
          <w:sz w:val="24"/>
          <w:szCs w:val="24"/>
        </w:rPr>
        <w:tab/>
      </w:r>
      <w:r w:rsidRPr="00613198">
        <w:rPr>
          <w:rFonts w:ascii="Times New Roman" w:hAnsi="Times New Roman" w:cs="Times New Roman"/>
          <w:sz w:val="24"/>
          <w:szCs w:val="24"/>
        </w:rPr>
        <w:t>o świadczenie usług przesyłania lub dystrybucji energii elektrycznej lub gazu ziemnego;</w:t>
      </w:r>
    </w:p>
    <w:p w14:paraId="4267CFDB" w14:textId="55BCF523" w:rsidR="00FA6570" w:rsidRPr="00613198" w:rsidRDefault="00FA6570" w:rsidP="009317C2">
      <w:pPr>
        <w:tabs>
          <w:tab w:val="left" w:pos="709"/>
        </w:tabs>
        <w:spacing w:line="360" w:lineRule="auto"/>
        <w:ind w:left="709" w:hanging="283"/>
        <w:jc w:val="both"/>
        <w:rPr>
          <w:rFonts w:ascii="Times New Roman" w:hAnsi="Times New Roman" w:cs="Times New Roman"/>
          <w:sz w:val="24"/>
          <w:szCs w:val="24"/>
        </w:rPr>
      </w:pPr>
      <w:r w:rsidRPr="00613198">
        <w:rPr>
          <w:rFonts w:ascii="Times New Roman" w:hAnsi="Times New Roman" w:cs="Times New Roman"/>
          <w:sz w:val="24"/>
          <w:szCs w:val="24"/>
        </w:rPr>
        <w:t>3)</w:t>
      </w:r>
      <w:r w:rsidR="009317C2" w:rsidRPr="00613198">
        <w:rPr>
          <w:rFonts w:ascii="Times New Roman" w:hAnsi="Times New Roman" w:cs="Times New Roman"/>
          <w:sz w:val="24"/>
          <w:szCs w:val="24"/>
        </w:rPr>
        <w:tab/>
      </w:r>
      <w:r w:rsidRPr="00613198">
        <w:rPr>
          <w:rFonts w:ascii="Times New Roman" w:hAnsi="Times New Roman" w:cs="Times New Roman"/>
          <w:sz w:val="24"/>
          <w:szCs w:val="24"/>
        </w:rPr>
        <w:t>o świadczenie usług przesyłania i dystrybucji ciepła;</w:t>
      </w:r>
    </w:p>
    <w:p w14:paraId="239DCE24" w14:textId="3DC72B28" w:rsidR="00FA6570" w:rsidRPr="00613198" w:rsidRDefault="00FA6570" w:rsidP="009317C2">
      <w:pPr>
        <w:tabs>
          <w:tab w:val="left" w:pos="709"/>
        </w:tabs>
        <w:spacing w:line="360" w:lineRule="auto"/>
        <w:ind w:left="709" w:hanging="283"/>
        <w:jc w:val="both"/>
        <w:rPr>
          <w:rFonts w:ascii="Times New Roman" w:hAnsi="Times New Roman" w:cs="Times New Roman"/>
          <w:sz w:val="24"/>
          <w:szCs w:val="24"/>
        </w:rPr>
      </w:pPr>
      <w:r w:rsidRPr="00613198">
        <w:rPr>
          <w:rFonts w:ascii="Times New Roman" w:hAnsi="Times New Roman" w:cs="Times New Roman"/>
          <w:sz w:val="24"/>
          <w:szCs w:val="24"/>
        </w:rPr>
        <w:t>4)</w:t>
      </w:r>
      <w:r w:rsidR="009317C2" w:rsidRPr="00613198">
        <w:rPr>
          <w:rFonts w:ascii="Times New Roman" w:hAnsi="Times New Roman" w:cs="Times New Roman"/>
          <w:sz w:val="24"/>
          <w:szCs w:val="24"/>
        </w:rPr>
        <w:tab/>
      </w:r>
      <w:r w:rsidRPr="00613198">
        <w:rPr>
          <w:rFonts w:ascii="Times New Roman" w:hAnsi="Times New Roman" w:cs="Times New Roman"/>
          <w:sz w:val="24"/>
          <w:szCs w:val="24"/>
        </w:rPr>
        <w:t>sprzedaży;</w:t>
      </w:r>
    </w:p>
    <w:p w14:paraId="77F9FCCA" w14:textId="5ABF303D" w:rsidR="00FA6570" w:rsidRPr="00613198" w:rsidRDefault="00FA6570" w:rsidP="009317C2">
      <w:pPr>
        <w:tabs>
          <w:tab w:val="left" w:pos="709"/>
        </w:tabs>
        <w:spacing w:line="360" w:lineRule="auto"/>
        <w:ind w:left="709" w:hanging="283"/>
        <w:jc w:val="both"/>
        <w:rPr>
          <w:rFonts w:ascii="Times New Roman" w:hAnsi="Times New Roman" w:cs="Times New Roman"/>
          <w:sz w:val="24"/>
          <w:szCs w:val="24"/>
        </w:rPr>
      </w:pPr>
      <w:r w:rsidRPr="00613198">
        <w:rPr>
          <w:rFonts w:ascii="Times New Roman" w:hAnsi="Times New Roman" w:cs="Times New Roman"/>
          <w:sz w:val="24"/>
          <w:szCs w:val="24"/>
        </w:rPr>
        <w:t>5)</w:t>
      </w:r>
      <w:r w:rsidR="009317C2" w:rsidRPr="00613198">
        <w:rPr>
          <w:rFonts w:ascii="Times New Roman" w:hAnsi="Times New Roman" w:cs="Times New Roman"/>
          <w:sz w:val="24"/>
          <w:szCs w:val="24"/>
        </w:rPr>
        <w:tab/>
      </w:r>
      <w:r w:rsidRPr="00613198">
        <w:rPr>
          <w:rFonts w:ascii="Times New Roman" w:hAnsi="Times New Roman" w:cs="Times New Roman"/>
          <w:sz w:val="24"/>
          <w:szCs w:val="24"/>
        </w:rPr>
        <w:t>kompleksowych.</w:t>
      </w:r>
    </w:p>
    <w:p w14:paraId="4C63B6AF" w14:textId="77777777" w:rsidR="00FA6570" w:rsidRPr="00613198" w:rsidRDefault="00FA6570" w:rsidP="00FA6570">
      <w:pPr>
        <w:spacing w:line="360" w:lineRule="auto"/>
        <w:ind w:firstLine="709"/>
        <w:jc w:val="both"/>
        <w:rPr>
          <w:rFonts w:ascii="Times New Roman" w:hAnsi="Times New Roman" w:cs="Times New Roman"/>
          <w:sz w:val="24"/>
          <w:szCs w:val="24"/>
        </w:rPr>
      </w:pPr>
      <w:r w:rsidRPr="00613198">
        <w:rPr>
          <w:rFonts w:ascii="Times New Roman" w:hAnsi="Times New Roman" w:cs="Times New Roman"/>
          <w:sz w:val="24"/>
          <w:szCs w:val="24"/>
        </w:rPr>
        <w:t xml:space="preserve">Postępowanie przed Koordynatorem wszczyna się na wniosek odbiorcy paliw gazowych, energii elektrycznej lub ciepła w gospodarstwie domowym albo prosumenta energii </w:t>
      </w:r>
      <w:r w:rsidRPr="00613198">
        <w:rPr>
          <w:rFonts w:ascii="Times New Roman" w:hAnsi="Times New Roman" w:cs="Times New Roman"/>
          <w:sz w:val="24"/>
          <w:szCs w:val="24"/>
        </w:rPr>
        <w:lastRenderedPageBreak/>
        <w:t xml:space="preserve">odnawialnej będącego konsumentem, jednak warunkiem wystąpienia z wnioskiem jest podjęcie najpierw działań przez odbiorców, mających na celu bezpośredni kontakt z przedsiębiorstwem energetycznym i rozwiązanie sporu tą drogą. </w:t>
      </w:r>
    </w:p>
    <w:p w14:paraId="28644798" w14:textId="514EA758" w:rsidR="00FA6570" w:rsidRPr="00613198" w:rsidRDefault="00FA6570" w:rsidP="00FA6570">
      <w:pPr>
        <w:spacing w:line="360" w:lineRule="auto"/>
        <w:ind w:firstLine="709"/>
        <w:jc w:val="both"/>
        <w:rPr>
          <w:rFonts w:ascii="Times New Roman" w:hAnsi="Times New Roman" w:cs="Times New Roman"/>
          <w:sz w:val="24"/>
          <w:szCs w:val="24"/>
        </w:rPr>
      </w:pPr>
      <w:r w:rsidRPr="00613198">
        <w:rPr>
          <w:rFonts w:ascii="Times New Roman" w:hAnsi="Times New Roman" w:cs="Times New Roman"/>
          <w:sz w:val="24"/>
          <w:szCs w:val="24"/>
        </w:rPr>
        <w:t>Mając na uwadze art. 26 dyrektywy</w:t>
      </w:r>
      <w:r w:rsidR="00E607F8" w:rsidRPr="00613198">
        <w:rPr>
          <w:rFonts w:ascii="Times New Roman" w:hAnsi="Times New Roman" w:cs="Times New Roman"/>
          <w:sz w:val="24"/>
          <w:szCs w:val="24"/>
        </w:rPr>
        <w:t xml:space="preserve"> 2019/944</w:t>
      </w:r>
      <w:r w:rsidRPr="00613198">
        <w:rPr>
          <w:rFonts w:ascii="Times New Roman" w:hAnsi="Times New Roman" w:cs="Times New Roman"/>
          <w:sz w:val="24"/>
          <w:szCs w:val="24"/>
        </w:rPr>
        <w:t xml:space="preserve">, koniecznym jest wprowadzenie zmian w rozdziale 4a ustawy – </w:t>
      </w:r>
      <w:r w:rsidR="00BF79A7" w:rsidRPr="00613198">
        <w:rPr>
          <w:rFonts w:ascii="Times New Roman" w:hAnsi="Times New Roman" w:cs="Times New Roman"/>
          <w:sz w:val="24"/>
          <w:szCs w:val="24"/>
        </w:rPr>
        <w:t>Prawo energetyczne</w:t>
      </w:r>
      <w:r w:rsidRPr="00613198">
        <w:rPr>
          <w:rFonts w:ascii="Times New Roman" w:hAnsi="Times New Roman" w:cs="Times New Roman"/>
          <w:sz w:val="24"/>
          <w:szCs w:val="24"/>
        </w:rPr>
        <w:t>, dotyczących kwestii pozasądowego rozwiązywania sporów poprzez:</w:t>
      </w:r>
    </w:p>
    <w:p w14:paraId="2A1B5AE7" w14:textId="77777777" w:rsidR="00FA6570" w:rsidRPr="00613198" w:rsidRDefault="00FA6570" w:rsidP="00FA6570">
      <w:pPr>
        <w:spacing w:line="360" w:lineRule="auto"/>
        <w:ind w:firstLine="709"/>
        <w:jc w:val="both"/>
        <w:rPr>
          <w:rFonts w:ascii="Times New Roman" w:hAnsi="Times New Roman" w:cs="Times New Roman"/>
          <w:sz w:val="24"/>
          <w:szCs w:val="24"/>
        </w:rPr>
      </w:pPr>
      <w:r w:rsidRPr="00613198">
        <w:rPr>
          <w:rFonts w:ascii="Times New Roman" w:hAnsi="Times New Roman" w:cs="Times New Roman"/>
          <w:sz w:val="24"/>
          <w:szCs w:val="24"/>
        </w:rPr>
        <w:t>1) uwzględnienie agregatorów</w:t>
      </w:r>
      <w:r w:rsidR="002B5B90" w:rsidRPr="00613198">
        <w:rPr>
          <w:rFonts w:ascii="Times New Roman" w:hAnsi="Times New Roman" w:cs="Times New Roman"/>
          <w:sz w:val="24"/>
          <w:szCs w:val="24"/>
        </w:rPr>
        <w:t xml:space="preserve">, </w:t>
      </w:r>
      <w:r w:rsidRPr="00613198">
        <w:rPr>
          <w:rFonts w:ascii="Times New Roman" w:hAnsi="Times New Roman" w:cs="Times New Roman"/>
          <w:sz w:val="24"/>
          <w:szCs w:val="24"/>
        </w:rPr>
        <w:t>obywatelskich społeczności energetycznych oraz odbiorców aktywnych jako podmiotów pomiędzy którymi istnieje możliwość przeprowadzenia postępowania w sprawie pozasądowego rozwiązywania sporów;</w:t>
      </w:r>
    </w:p>
    <w:p w14:paraId="767B0ABC" w14:textId="3FA3187E" w:rsidR="00FA6570" w:rsidRPr="00613198" w:rsidRDefault="00FA6570" w:rsidP="00FA6570">
      <w:pPr>
        <w:spacing w:line="360" w:lineRule="auto"/>
        <w:ind w:firstLine="709"/>
        <w:jc w:val="both"/>
        <w:rPr>
          <w:rFonts w:ascii="Times New Roman" w:hAnsi="Times New Roman" w:cs="Times New Roman"/>
          <w:sz w:val="24"/>
          <w:szCs w:val="24"/>
        </w:rPr>
      </w:pPr>
      <w:r w:rsidRPr="00613198">
        <w:rPr>
          <w:rFonts w:ascii="Times New Roman" w:hAnsi="Times New Roman" w:cs="Times New Roman"/>
          <w:sz w:val="24"/>
          <w:szCs w:val="24"/>
        </w:rPr>
        <w:t>2) rozszerzenie katalogu umów, w wyniku których doszło do sporu, o umowę</w:t>
      </w:r>
      <w:r w:rsidR="001C209C" w:rsidRPr="00613198">
        <w:rPr>
          <w:rFonts w:ascii="Times New Roman" w:hAnsi="Times New Roman" w:cs="Times New Roman"/>
          <w:sz w:val="24"/>
          <w:szCs w:val="24"/>
        </w:rPr>
        <w:t xml:space="preserve"> o świadczenie usług</w:t>
      </w:r>
      <w:r w:rsidRPr="00613198">
        <w:rPr>
          <w:rFonts w:ascii="Times New Roman" w:hAnsi="Times New Roman" w:cs="Times New Roman"/>
          <w:sz w:val="24"/>
          <w:szCs w:val="24"/>
        </w:rPr>
        <w:t xml:space="preserve"> agregacji oraz o umowę o świadczenie usług magazynowania energii elektrycznej.</w:t>
      </w:r>
    </w:p>
    <w:p w14:paraId="6957BEB0" w14:textId="187E3965" w:rsidR="00FA6570" w:rsidRPr="00613198" w:rsidRDefault="00FA6570" w:rsidP="00FA6570">
      <w:pPr>
        <w:spacing w:line="360" w:lineRule="auto"/>
        <w:ind w:firstLine="709"/>
        <w:jc w:val="both"/>
        <w:rPr>
          <w:rFonts w:ascii="Times New Roman" w:hAnsi="Times New Roman" w:cs="Times New Roman"/>
          <w:sz w:val="24"/>
          <w:szCs w:val="24"/>
        </w:rPr>
      </w:pPr>
      <w:r w:rsidRPr="00613198">
        <w:rPr>
          <w:rFonts w:ascii="Times New Roman" w:hAnsi="Times New Roman" w:cs="Times New Roman"/>
          <w:sz w:val="24"/>
          <w:szCs w:val="24"/>
        </w:rPr>
        <w:t xml:space="preserve">Ponadto w związku z tym, że dyrektywa obliguje do zapewnienia udziału przedsiębiorstw energetycznych w postępowaniach w sprawie pozasądowego rozwiązywania sporów wprowadzono taki obowiązek w </w:t>
      </w:r>
      <w:r w:rsidR="002B5B90" w:rsidRPr="00613198">
        <w:rPr>
          <w:rFonts w:ascii="Times New Roman" w:hAnsi="Times New Roman" w:cs="Times New Roman"/>
          <w:sz w:val="24"/>
          <w:szCs w:val="24"/>
        </w:rPr>
        <w:t>dodawanym do art. 31d u</w:t>
      </w:r>
      <w:r w:rsidR="00E006C2" w:rsidRPr="00613198">
        <w:rPr>
          <w:rFonts w:ascii="Times New Roman" w:hAnsi="Times New Roman" w:cs="Times New Roman"/>
          <w:sz w:val="24"/>
          <w:szCs w:val="24"/>
        </w:rPr>
        <w:t xml:space="preserve">st. </w:t>
      </w:r>
      <w:r w:rsidR="002B5B90" w:rsidRPr="00613198">
        <w:rPr>
          <w:rFonts w:ascii="Times New Roman" w:hAnsi="Times New Roman" w:cs="Times New Roman"/>
          <w:sz w:val="24"/>
          <w:szCs w:val="24"/>
        </w:rPr>
        <w:t xml:space="preserve">7, </w:t>
      </w:r>
      <w:r w:rsidRPr="00613198">
        <w:rPr>
          <w:rFonts w:ascii="Times New Roman" w:hAnsi="Times New Roman" w:cs="Times New Roman"/>
          <w:sz w:val="24"/>
          <w:szCs w:val="24"/>
        </w:rPr>
        <w:t>pod groźbą kary w wysokości od 500 zł do 2000 zł nakładanej przez Prezesa URE (dodany pkt 5</w:t>
      </w:r>
      <w:r w:rsidR="0023215B">
        <w:rPr>
          <w:rFonts w:ascii="Times New Roman" w:hAnsi="Times New Roman" w:cs="Times New Roman"/>
          <w:sz w:val="24"/>
          <w:szCs w:val="24"/>
        </w:rPr>
        <w:t>6</w:t>
      </w:r>
      <w:r w:rsidRPr="00613198">
        <w:rPr>
          <w:rFonts w:ascii="Times New Roman" w:hAnsi="Times New Roman" w:cs="Times New Roman"/>
          <w:sz w:val="24"/>
          <w:szCs w:val="24"/>
        </w:rPr>
        <w:t xml:space="preserve"> do art. 56 ust. 1). </w:t>
      </w:r>
    </w:p>
    <w:p w14:paraId="663B5175" w14:textId="554034CA" w:rsidR="00B7242B" w:rsidRPr="00613198" w:rsidRDefault="00FA6570" w:rsidP="00FB4958">
      <w:pPr>
        <w:spacing w:line="360" w:lineRule="auto"/>
        <w:ind w:firstLine="709"/>
        <w:jc w:val="both"/>
        <w:rPr>
          <w:rFonts w:ascii="Times New Roman" w:hAnsi="Times New Roman" w:cs="Times New Roman"/>
          <w:sz w:val="24"/>
          <w:szCs w:val="24"/>
        </w:rPr>
      </w:pPr>
      <w:r w:rsidRPr="00613198">
        <w:rPr>
          <w:rFonts w:ascii="Times New Roman" w:hAnsi="Times New Roman" w:cs="Times New Roman"/>
          <w:sz w:val="24"/>
          <w:szCs w:val="24"/>
        </w:rPr>
        <w:t xml:space="preserve">Z wprowadzeniem powyższych zmian wiąże się również konieczność zmiany rozporządzenia Ministra Energii z dnia 1 sierpnia 2017 r. w sprawie prowadzenia przez Koordynatora do spraw negocjacji postępowania w zakresie pozasądowego rozwiązywania sporów, wydanego na podstawie art. 31f ust. 1 ustawy – </w:t>
      </w:r>
      <w:r w:rsidR="00BF79A7" w:rsidRPr="00613198">
        <w:rPr>
          <w:rFonts w:ascii="Times New Roman" w:hAnsi="Times New Roman" w:cs="Times New Roman"/>
          <w:sz w:val="24"/>
          <w:szCs w:val="24"/>
        </w:rPr>
        <w:t>Prawo energetyczne</w:t>
      </w:r>
      <w:r w:rsidR="006D060F" w:rsidRPr="00613198">
        <w:rPr>
          <w:rFonts w:ascii="Times New Roman" w:hAnsi="Times New Roman" w:cs="Times New Roman"/>
          <w:sz w:val="24"/>
          <w:szCs w:val="24"/>
        </w:rPr>
        <w:t xml:space="preserve"> oraz rozporządzenia Ministra Energii z dnia 1 sierpnia 2017 r. w sprawie określenia wysokości progów finansowych wartości przedmiotu sporu, których przekroczenie uprawnia do odmowy rozpatrzenia sporu.   </w:t>
      </w:r>
    </w:p>
    <w:p w14:paraId="387E929B" w14:textId="0E272037" w:rsidR="003F1C90" w:rsidRPr="00613198" w:rsidRDefault="003F1C90" w:rsidP="009317C2">
      <w:pPr>
        <w:spacing w:before="100" w:beforeAutospacing="1" w:line="360" w:lineRule="auto"/>
        <w:ind w:firstLine="709"/>
        <w:jc w:val="both"/>
        <w:rPr>
          <w:rFonts w:ascii="Times New Roman" w:hAnsi="Times New Roman" w:cs="Times New Roman"/>
          <w:b/>
          <w:sz w:val="24"/>
          <w:szCs w:val="24"/>
        </w:rPr>
      </w:pPr>
      <w:r w:rsidRPr="00613198">
        <w:rPr>
          <w:rFonts w:ascii="Times New Roman" w:hAnsi="Times New Roman" w:cs="Times New Roman"/>
          <w:b/>
          <w:sz w:val="24"/>
          <w:szCs w:val="24"/>
        </w:rPr>
        <w:t xml:space="preserve">Przepisy </w:t>
      </w:r>
      <w:r w:rsidR="000A2B2B" w:rsidRPr="00613198">
        <w:rPr>
          <w:rFonts w:ascii="Times New Roman" w:hAnsi="Times New Roman" w:cs="Times New Roman"/>
          <w:b/>
          <w:sz w:val="24"/>
          <w:szCs w:val="24"/>
        </w:rPr>
        <w:t>dotyczące regulacji cen energii elektrycznej</w:t>
      </w:r>
      <w:r w:rsidR="00101198" w:rsidRPr="00613198">
        <w:rPr>
          <w:rFonts w:ascii="Times New Roman" w:hAnsi="Times New Roman" w:cs="Times New Roman"/>
          <w:b/>
          <w:sz w:val="24"/>
          <w:szCs w:val="24"/>
        </w:rPr>
        <w:t xml:space="preserve"> </w:t>
      </w:r>
    </w:p>
    <w:p w14:paraId="3E8E1A77" w14:textId="0E0B8698" w:rsidR="000A2B2B" w:rsidRPr="00613198" w:rsidRDefault="000A2B2B" w:rsidP="000A2B2B">
      <w:pPr>
        <w:pStyle w:val="USTustnpkodeksu"/>
        <w:rPr>
          <w:color w:val="000000" w:themeColor="text1"/>
        </w:rPr>
      </w:pPr>
      <w:r w:rsidRPr="00613198">
        <w:rPr>
          <w:color w:val="000000" w:themeColor="text1"/>
        </w:rPr>
        <w:t xml:space="preserve">Zgodnie z art. 5 ust. 1 dyrektywy 2019/944 sprzedawcom energii elektrycznej należy zapewnić swobodę w ustalaniu cen energii elektrycznej a odbiorcom energii elektrycznej rynkowe ceny dostaw. Państwa członkowskie powinny podjąć wszelkie niezbędne działania w celu zapewnienia skutecznej konkurencji na rynku. </w:t>
      </w:r>
    </w:p>
    <w:p w14:paraId="19BB4511" w14:textId="405567A8" w:rsidR="000A2B2B" w:rsidRPr="00613198" w:rsidRDefault="000A2B2B" w:rsidP="000A2B2B">
      <w:pPr>
        <w:pStyle w:val="USTustnpkodeksu"/>
        <w:rPr>
          <w:color w:val="000000" w:themeColor="text1"/>
        </w:rPr>
      </w:pPr>
      <w:r w:rsidRPr="00613198">
        <w:t xml:space="preserve">Odstępstwo od powyższego stanowi art. 5 ust. 6 dyrektywy 2019/944, zgodnie z którym w okresie przejściowym, służącym wprowadzeniu skutecznej konkurencji, możliwe jest zastosowanie interwencji publicznych w zakresie ustalania cen dla odbiorców będących gospodarstwami domowymi i mikroprzedsiębiorców. </w:t>
      </w:r>
      <w:r w:rsidRPr="00613198">
        <w:rPr>
          <w:color w:val="000000" w:themeColor="text1"/>
        </w:rPr>
        <w:t xml:space="preserve">Powyższe odstępstwo wymaga </w:t>
      </w:r>
      <w:r w:rsidRPr="00613198">
        <w:rPr>
          <w:color w:val="000000" w:themeColor="text1"/>
        </w:rPr>
        <w:lastRenderedPageBreak/>
        <w:t>spełnienia przez państwo członkowskie przesłanek wskazanych w art. 5 ust. 4 i 7 dyrektywy 2019/944.</w:t>
      </w:r>
    </w:p>
    <w:p w14:paraId="489AF92F" w14:textId="21E62B9B" w:rsidR="000A2B2B" w:rsidRPr="00613198" w:rsidRDefault="000A2B2B" w:rsidP="000A2B2B">
      <w:pPr>
        <w:pStyle w:val="USTustnpkodeksu"/>
      </w:pPr>
      <w:r w:rsidRPr="00613198">
        <w:rPr>
          <w:color w:val="000000" w:themeColor="text1"/>
        </w:rPr>
        <w:t xml:space="preserve">W projekcie ustawy proponuje się zastosowanie ww. odstępstwa, które odzwierciedlało będzie aktualnie obowiązujący stan prawny, w którym Prezes URE zatwierdza taryfy </w:t>
      </w:r>
      <w:r w:rsidR="008610B1">
        <w:rPr>
          <w:color w:val="000000" w:themeColor="text1"/>
        </w:rPr>
        <w:t>stosowane wobec</w:t>
      </w:r>
      <w:r w:rsidR="008610B1" w:rsidRPr="00613198">
        <w:rPr>
          <w:color w:val="000000" w:themeColor="text1"/>
        </w:rPr>
        <w:t xml:space="preserve"> </w:t>
      </w:r>
      <w:r w:rsidRPr="00613198">
        <w:rPr>
          <w:color w:val="000000" w:themeColor="text1"/>
        </w:rPr>
        <w:t>odbiorców</w:t>
      </w:r>
      <w:r w:rsidR="008610B1">
        <w:rPr>
          <w:color w:val="000000" w:themeColor="text1"/>
        </w:rPr>
        <w:t xml:space="preserve"> energii elektrycznej</w:t>
      </w:r>
      <w:r w:rsidRPr="00613198">
        <w:rPr>
          <w:color w:val="000000" w:themeColor="text1"/>
        </w:rPr>
        <w:t xml:space="preserve"> w gospodarstwach domowych, którzy nie skorzystali z prawa do zmiany sprzedawcy energii elektrycznej, a więc nie skorzystali </w:t>
      </w:r>
      <w:r w:rsidRPr="00613198">
        <w:t>z ofert dostępnych na konkurencyjnym rynku energii elektrycznej, posiadając zawartą umowę ze sprzedawcą z urzędu.</w:t>
      </w:r>
    </w:p>
    <w:p w14:paraId="47AD7AB5" w14:textId="162396E7" w:rsidR="000A2B2B" w:rsidRPr="00613198" w:rsidRDefault="000A2B2B" w:rsidP="000A2B2B">
      <w:pPr>
        <w:pStyle w:val="USTustnpkodeksu"/>
        <w:rPr>
          <w:color w:val="000000" w:themeColor="text1"/>
        </w:rPr>
      </w:pPr>
      <w:r w:rsidRPr="00613198">
        <w:rPr>
          <w:color w:val="000000" w:themeColor="text1"/>
        </w:rPr>
        <w:t xml:space="preserve">Do uwolnienia cen w obrocie energią elektryczną w odniesieniu do odbiorców przemysłowych i biznesowych doszło w 2007 r. – sprzedawcy wykonujący zadania sprzedawców z urzędu oraz sprzedawcy funkcjonujący w przedsiębiorstwach zintegrowanych pionowo, niezobowiązani do rozdzielenia działalności, nie mają obowiązku przedkładania Prezesowi URE do zatwierdzenia taryfy w obrocie energią elektryczną dla odbiorców innych niż gospodarstwa domowe. Należy zaznaczyć, że sprzedawcy, którzy pełnią również funkcję sprzedawcy z urzędu, są uprawnieni do przedstawiania ofert rynkowych wszystkim odbiorcom, w tym odbiorcom grupy taryfowej G przyłączonym do sieci operatora, na obszarze którego sprzedawcy realizują zadania sprzedawcy z urzędu pod warunkiem, że sprzedawcy ci uprzednio poinformowali odbiorcę o wysokości cen energii elektrycznej określonej w aktualnie obowiązującej taryfie, a w odniesieniu do odbiorców w gospodarstwach domowych – także o obowiązku, o którym mowa w art. 5a ustawy – </w:t>
      </w:r>
      <w:r w:rsidR="00BF79A7" w:rsidRPr="00613198">
        <w:rPr>
          <w:color w:val="000000" w:themeColor="text1"/>
        </w:rPr>
        <w:t>Prawo energetyczne</w:t>
      </w:r>
      <w:r w:rsidRPr="00613198">
        <w:rPr>
          <w:color w:val="000000" w:themeColor="text1"/>
        </w:rPr>
        <w:t xml:space="preserve">. </w:t>
      </w:r>
    </w:p>
    <w:p w14:paraId="457613F4" w14:textId="4FC1E35E" w:rsidR="000A2B2B" w:rsidRPr="00613198" w:rsidRDefault="000A2B2B" w:rsidP="000A2B2B">
      <w:pPr>
        <w:pStyle w:val="USTustnpkodeksu"/>
        <w:rPr>
          <w:color w:val="000000" w:themeColor="text1"/>
        </w:rPr>
      </w:pPr>
      <w:r w:rsidRPr="00613198">
        <w:rPr>
          <w:color w:val="000000" w:themeColor="text1"/>
        </w:rPr>
        <w:t>Aktualnie obowiązujący zakres zwolnienia z obowiązku zatwierdzania taryf nie stanowi bariery dla sprzedawców energii ani dla odbiorców do korzystania z ofert rynkowych, gwarantując jednocześnie niezbędny zakres ochrony dla odbiorców najbardziej wrażliwych społecznie, bowiem w dużej mierze  to od aktywności sprzedawców zależy jak wielu odbiorców korzysta z oferty rynkowej.</w:t>
      </w:r>
    </w:p>
    <w:p w14:paraId="5DE85CF1" w14:textId="2F45E5F5" w:rsidR="000A2B2B" w:rsidRPr="00613198" w:rsidRDefault="000A2B2B" w:rsidP="000A2B2B">
      <w:pPr>
        <w:pStyle w:val="USTustnpkodeksu"/>
        <w:rPr>
          <w:color w:val="000000" w:themeColor="text1"/>
        </w:rPr>
      </w:pPr>
      <w:r w:rsidRPr="00613198">
        <w:rPr>
          <w:color w:val="000000" w:themeColor="text1"/>
        </w:rPr>
        <w:t>Z monitoringu prowadzonego przez Prezesa URE</w:t>
      </w:r>
      <w:r w:rsidRPr="00613198">
        <w:rPr>
          <w:rStyle w:val="Odwoanieprzypisudolnego"/>
          <w:color w:val="000000" w:themeColor="text1"/>
        </w:rPr>
        <w:footnoteReference w:id="1"/>
      </w:r>
      <w:r w:rsidRPr="00613198">
        <w:rPr>
          <w:color w:val="000000" w:themeColor="text1"/>
        </w:rPr>
        <w:t xml:space="preserve"> wynika, że systematycznie zwiększa się liczba odbiorców w gospodarstwach domowych, którzy korzystają z oferty rynkowej sprzedawcy z urzędu, po rezygnacji z taryfy zatwierdzonej przez Prezesa URE albo z oferty rynkowej innego sprzedawcy. W 2018 r. było to 34,64%, zaś na koniec 2019 r. – 36,05%. </w:t>
      </w:r>
    </w:p>
    <w:p w14:paraId="2F3E9EB9" w14:textId="0944235E" w:rsidR="000A2B2B" w:rsidRPr="00613198" w:rsidRDefault="000A2B2B" w:rsidP="000A2B2B">
      <w:pPr>
        <w:pStyle w:val="USTustnpkodeksu"/>
        <w:rPr>
          <w:color w:val="000000" w:themeColor="text1"/>
        </w:rPr>
      </w:pPr>
      <w:r w:rsidRPr="00613198">
        <w:rPr>
          <w:color w:val="000000" w:themeColor="text1"/>
        </w:rPr>
        <w:t xml:space="preserve">W ocenie projektodawców pełne uwolnienie cen energii elektrycznej poprzez zwolnienie z obowiązku przedkładania taryf przez sprzedawców z urzędu sprzedających energię </w:t>
      </w:r>
      <w:r w:rsidRPr="00613198">
        <w:rPr>
          <w:color w:val="000000" w:themeColor="text1"/>
        </w:rPr>
        <w:lastRenderedPageBreak/>
        <w:t>elektryczną dla gospodarstw domowych już od 2021 r.</w:t>
      </w:r>
      <w:r w:rsidR="008610B1">
        <w:rPr>
          <w:color w:val="000000" w:themeColor="text1"/>
        </w:rPr>
        <w:t>, to jest od momentu obowiązywania dyrektywy 2019/944.</w:t>
      </w:r>
      <w:r w:rsidRPr="00613198">
        <w:rPr>
          <w:color w:val="000000" w:themeColor="text1"/>
        </w:rPr>
        <w:t xml:space="preserve"> jest przedwczesne.</w:t>
      </w:r>
    </w:p>
    <w:p w14:paraId="54DB57E4" w14:textId="15C5B3B5" w:rsidR="00C001E1" w:rsidRPr="00613198" w:rsidRDefault="000A2B2B" w:rsidP="00C001E1">
      <w:pPr>
        <w:pStyle w:val="USTustnpkodeksu"/>
        <w:rPr>
          <w:color w:val="000000" w:themeColor="text1"/>
        </w:rPr>
      </w:pPr>
      <w:r w:rsidRPr="00613198">
        <w:rPr>
          <w:color w:val="000000" w:themeColor="text1"/>
        </w:rPr>
        <w:t xml:space="preserve"> Jednym z obowiązków państwa wobec obywateli jest zapewnienie ciągłości dostaw energii elektrycznej po cenach akceptowalnych dla odbiorców końcowych energii elektrycznej, zwłaszcza odbiorców szczególnie narażonych na negatywne skutki znaczącego wzrostu cen energii elektrycznej, tj. odbiorców indywidualnych.</w:t>
      </w:r>
    </w:p>
    <w:p w14:paraId="66D57177" w14:textId="5188DB7C" w:rsidR="000A2B2B" w:rsidRPr="00613198" w:rsidRDefault="000A2B2B" w:rsidP="000A2B2B">
      <w:pPr>
        <w:pStyle w:val="USTustnpkodeksu"/>
        <w:rPr>
          <w:color w:val="000000" w:themeColor="text1"/>
        </w:rPr>
      </w:pPr>
      <w:r w:rsidRPr="00613198">
        <w:rPr>
          <w:color w:val="000000" w:themeColor="text1"/>
        </w:rPr>
        <w:t xml:space="preserve">W celu pełnego uwolnienia cen na rynku energii elektrycznej konieczne jest więc podjęcie szeregu działań mających na celu w pierwszej kolejności identyfikację barier pełnej liberalizacji rynku. </w:t>
      </w:r>
    </w:p>
    <w:p w14:paraId="256EC583" w14:textId="77777777" w:rsidR="000A2B2B" w:rsidRPr="00613198" w:rsidRDefault="000A2B2B" w:rsidP="000A2B2B">
      <w:pPr>
        <w:pStyle w:val="USTustnpkodeksu"/>
        <w:rPr>
          <w:color w:val="000000" w:themeColor="text1"/>
        </w:rPr>
      </w:pPr>
      <w:r w:rsidRPr="00613198">
        <w:rPr>
          <w:color w:val="000000" w:themeColor="text1"/>
        </w:rPr>
        <w:t>Konieczne jest między innymi:</w:t>
      </w:r>
    </w:p>
    <w:p w14:paraId="259BFFEB" w14:textId="505A564C" w:rsidR="000A2B2B" w:rsidRPr="00613198" w:rsidRDefault="000A2B2B" w:rsidP="009317C2">
      <w:pPr>
        <w:pStyle w:val="USTustnpkodeksu"/>
        <w:tabs>
          <w:tab w:val="left" w:pos="709"/>
        </w:tabs>
        <w:ind w:left="709" w:hanging="425"/>
        <w:rPr>
          <w:color w:val="000000" w:themeColor="text1"/>
        </w:rPr>
      </w:pPr>
      <w:r w:rsidRPr="00613198">
        <w:rPr>
          <w:color w:val="000000" w:themeColor="text1"/>
        </w:rPr>
        <w:t>1)</w:t>
      </w:r>
      <w:r w:rsidR="009317C2" w:rsidRPr="00613198">
        <w:rPr>
          <w:color w:val="000000" w:themeColor="text1"/>
        </w:rPr>
        <w:tab/>
      </w:r>
      <w:r w:rsidRPr="00613198">
        <w:rPr>
          <w:color w:val="000000" w:themeColor="text1"/>
        </w:rPr>
        <w:t>zabezpieczenie odbiorcy wrażliwego energii elektrycznej;</w:t>
      </w:r>
    </w:p>
    <w:p w14:paraId="6CB59F3A" w14:textId="058AEF50" w:rsidR="000A2B2B" w:rsidRPr="00613198" w:rsidRDefault="000A2B2B" w:rsidP="009317C2">
      <w:pPr>
        <w:pStyle w:val="USTustnpkodeksu"/>
        <w:tabs>
          <w:tab w:val="left" w:pos="709"/>
        </w:tabs>
        <w:ind w:left="709" w:hanging="425"/>
        <w:rPr>
          <w:color w:val="000000" w:themeColor="text1"/>
        </w:rPr>
      </w:pPr>
      <w:r w:rsidRPr="00613198">
        <w:rPr>
          <w:color w:val="000000" w:themeColor="text1"/>
        </w:rPr>
        <w:t>2)</w:t>
      </w:r>
      <w:r w:rsidR="009317C2" w:rsidRPr="00613198">
        <w:rPr>
          <w:color w:val="000000" w:themeColor="text1"/>
        </w:rPr>
        <w:tab/>
      </w:r>
      <w:r w:rsidRPr="00613198">
        <w:rPr>
          <w:color w:val="000000" w:themeColor="text1"/>
        </w:rPr>
        <w:t>stworzenie niezależnego, obejmującego cały rynek narzędzia porównania ofert energii elektrycznej dla odbiorców w gospodarstwie domowym  - propozycję w tym zakresie zostały przedstawione w niniejszym projekcie;</w:t>
      </w:r>
    </w:p>
    <w:p w14:paraId="1FE547B4" w14:textId="29114C90" w:rsidR="00C84B3A" w:rsidRDefault="000A2B2B" w:rsidP="004C6617">
      <w:pPr>
        <w:pStyle w:val="USTustnpkodeksu"/>
        <w:tabs>
          <w:tab w:val="left" w:pos="709"/>
        </w:tabs>
        <w:ind w:left="709" w:hanging="425"/>
        <w:rPr>
          <w:color w:val="000000" w:themeColor="text1"/>
        </w:rPr>
      </w:pPr>
      <w:r w:rsidRPr="00613198">
        <w:rPr>
          <w:color w:val="000000" w:themeColor="text1"/>
        </w:rPr>
        <w:t>3)</w:t>
      </w:r>
      <w:r w:rsidR="009317C2" w:rsidRPr="00613198">
        <w:rPr>
          <w:color w:val="000000" w:themeColor="text1"/>
        </w:rPr>
        <w:tab/>
      </w:r>
      <w:r w:rsidRPr="00613198">
        <w:rPr>
          <w:color w:val="000000" w:themeColor="text1"/>
        </w:rPr>
        <w:t xml:space="preserve">zwiększenie ochrony odbiorców w gospodarstwie domowym – w projekcie przewiduje się wiele rozwiązań mających na celu wzmocnienie pozycji </w:t>
      </w:r>
      <w:r w:rsidR="004C6617" w:rsidRPr="004C6617">
        <w:rPr>
          <w:color w:val="000000" w:themeColor="text1"/>
        </w:rPr>
        <w:t>kontraktowej i świadomości o rynku energii odbiorcy energii elektrycznej</w:t>
      </w:r>
      <w:r w:rsidR="004C6617">
        <w:rPr>
          <w:color w:val="000000" w:themeColor="text1"/>
        </w:rPr>
        <w:t>.</w:t>
      </w:r>
      <w:r w:rsidR="00C84B3A">
        <w:rPr>
          <w:color w:val="000000" w:themeColor="text1"/>
        </w:rPr>
        <w:t xml:space="preserve"> </w:t>
      </w:r>
      <w:r w:rsidR="004C6617" w:rsidRPr="00613198">
        <w:rPr>
          <w:color w:val="000000" w:themeColor="text1"/>
        </w:rPr>
        <w:t xml:space="preserve">Dokonuje się m.in. </w:t>
      </w:r>
    </w:p>
    <w:p w14:paraId="3DE4B611" w14:textId="21C3D8C0" w:rsidR="004C6617" w:rsidRPr="004C6617" w:rsidRDefault="00C84B3A" w:rsidP="007F0A81">
      <w:pPr>
        <w:pStyle w:val="USTustnpkodeksu"/>
        <w:tabs>
          <w:tab w:val="left" w:pos="709"/>
        </w:tabs>
        <w:ind w:left="709" w:hanging="425"/>
        <w:rPr>
          <w:color w:val="000000" w:themeColor="text1"/>
        </w:rPr>
      </w:pPr>
      <w:r>
        <w:rPr>
          <w:color w:val="000000" w:themeColor="text1"/>
        </w:rPr>
        <w:tab/>
        <w:t xml:space="preserve">a) </w:t>
      </w:r>
      <w:r w:rsidR="004C6617" w:rsidRPr="00613198">
        <w:rPr>
          <w:color w:val="000000" w:themeColor="text1"/>
        </w:rPr>
        <w:t xml:space="preserve">zmiany delegacji ustawowej do wydania rozporządzenia taryfowego, mającej na celu implementację art. 18 dyrektywy 2019/944 i załącznika nr 1 do dyrektywy, co w znacznym stopniu wpłynie na </w:t>
      </w:r>
      <w:r w:rsidR="004C6617" w:rsidRPr="00613198">
        <w:t>dostęp odbiorców do jasnych i jednoznacznych informacji na temat ich praw w odniesieniu do sektora energetycznego</w:t>
      </w:r>
      <w:r w:rsidR="004C6617">
        <w:t>, poprzez m.in.</w:t>
      </w:r>
      <w:r>
        <w:rPr>
          <w:color w:val="000000" w:themeColor="text1"/>
        </w:rPr>
        <w:t xml:space="preserve"> umieszczenie </w:t>
      </w:r>
      <w:r w:rsidR="004C6617" w:rsidRPr="004C6617">
        <w:rPr>
          <w:color w:val="000000" w:themeColor="text1"/>
        </w:rPr>
        <w:t>now</w:t>
      </w:r>
      <w:r>
        <w:rPr>
          <w:color w:val="000000" w:themeColor="text1"/>
        </w:rPr>
        <w:t>ych</w:t>
      </w:r>
      <w:r w:rsidR="004C6617" w:rsidRPr="004C6617">
        <w:rPr>
          <w:color w:val="000000" w:themeColor="text1"/>
        </w:rPr>
        <w:t xml:space="preserve"> pozycj</w:t>
      </w:r>
      <w:r>
        <w:rPr>
          <w:color w:val="000000" w:themeColor="text1"/>
        </w:rPr>
        <w:t>i</w:t>
      </w:r>
      <w:r w:rsidR="004C6617" w:rsidRPr="004C6617">
        <w:rPr>
          <w:color w:val="000000" w:themeColor="text1"/>
        </w:rPr>
        <w:t xml:space="preserve"> na rachunkach odbiorców końcowych </w:t>
      </w:r>
      <w:r>
        <w:rPr>
          <w:color w:val="000000" w:themeColor="text1"/>
        </w:rPr>
        <w:t>tj.</w:t>
      </w:r>
    </w:p>
    <w:p w14:paraId="0A296E5D" w14:textId="77777777" w:rsidR="004C6617" w:rsidRPr="004C6617" w:rsidRDefault="004C6617" w:rsidP="004C6617">
      <w:pPr>
        <w:pStyle w:val="USTustnpkodeksu"/>
        <w:tabs>
          <w:tab w:val="left" w:pos="709"/>
        </w:tabs>
        <w:ind w:left="709" w:hanging="425"/>
        <w:rPr>
          <w:color w:val="000000" w:themeColor="text1"/>
        </w:rPr>
      </w:pPr>
      <w:r w:rsidRPr="004C6617">
        <w:rPr>
          <w:color w:val="000000" w:themeColor="text1"/>
        </w:rPr>
        <w:t>-</w:t>
      </w:r>
      <w:r w:rsidRPr="004C6617">
        <w:rPr>
          <w:color w:val="000000" w:themeColor="text1"/>
        </w:rPr>
        <w:tab/>
        <w:t xml:space="preserve">dane kontaktowe sprzedawcy, </w:t>
      </w:r>
    </w:p>
    <w:p w14:paraId="727BA47F" w14:textId="77777777" w:rsidR="004C6617" w:rsidRPr="004C6617" w:rsidRDefault="004C6617" w:rsidP="004C6617">
      <w:pPr>
        <w:pStyle w:val="USTustnpkodeksu"/>
        <w:tabs>
          <w:tab w:val="left" w:pos="709"/>
        </w:tabs>
        <w:ind w:left="709" w:hanging="425"/>
        <w:rPr>
          <w:color w:val="000000" w:themeColor="text1"/>
        </w:rPr>
      </w:pPr>
      <w:r w:rsidRPr="004C6617">
        <w:rPr>
          <w:color w:val="000000" w:themeColor="text1"/>
        </w:rPr>
        <w:t>-</w:t>
      </w:r>
      <w:r w:rsidRPr="004C6617">
        <w:rPr>
          <w:color w:val="000000" w:themeColor="text1"/>
        </w:rPr>
        <w:tab/>
        <w:t>informacje na temat dostępności i korzyści płynących ze zmiany sprzedawcy,</w:t>
      </w:r>
    </w:p>
    <w:p w14:paraId="0C629D9E" w14:textId="77777777" w:rsidR="004C6617" w:rsidRPr="004C6617" w:rsidRDefault="004C6617" w:rsidP="004C6617">
      <w:pPr>
        <w:pStyle w:val="USTustnpkodeksu"/>
        <w:tabs>
          <w:tab w:val="left" w:pos="709"/>
        </w:tabs>
        <w:ind w:left="709" w:hanging="425"/>
        <w:rPr>
          <w:color w:val="000000" w:themeColor="text1"/>
        </w:rPr>
      </w:pPr>
      <w:r w:rsidRPr="004C6617">
        <w:rPr>
          <w:color w:val="000000" w:themeColor="text1"/>
        </w:rPr>
        <w:t>-</w:t>
      </w:r>
      <w:r w:rsidRPr="004C6617">
        <w:rPr>
          <w:color w:val="000000" w:themeColor="text1"/>
        </w:rPr>
        <w:tab/>
        <w:t xml:space="preserve">informacje na temat praw odbiorców końcowych w odniesieniu do pozasądowego rozstrzygania sporów, </w:t>
      </w:r>
    </w:p>
    <w:p w14:paraId="3E456514" w14:textId="77777777" w:rsidR="004C6617" w:rsidRPr="004C6617" w:rsidRDefault="004C6617" w:rsidP="004C6617">
      <w:pPr>
        <w:pStyle w:val="USTustnpkodeksu"/>
        <w:tabs>
          <w:tab w:val="left" w:pos="709"/>
        </w:tabs>
        <w:ind w:left="709" w:hanging="425"/>
        <w:rPr>
          <w:color w:val="000000" w:themeColor="text1"/>
        </w:rPr>
      </w:pPr>
      <w:r w:rsidRPr="004C6617">
        <w:rPr>
          <w:color w:val="000000" w:themeColor="text1"/>
        </w:rPr>
        <w:t>-</w:t>
      </w:r>
      <w:r w:rsidRPr="004C6617">
        <w:rPr>
          <w:color w:val="000000" w:themeColor="text1"/>
        </w:rPr>
        <w:tab/>
        <w:t>link do narzędzia porównywania ofert,</w:t>
      </w:r>
    </w:p>
    <w:p w14:paraId="07439054" w14:textId="77777777" w:rsidR="004C6617" w:rsidRPr="004C6617" w:rsidRDefault="004C6617" w:rsidP="004C6617">
      <w:pPr>
        <w:pStyle w:val="USTustnpkodeksu"/>
        <w:tabs>
          <w:tab w:val="left" w:pos="709"/>
        </w:tabs>
        <w:ind w:left="709" w:hanging="425"/>
        <w:rPr>
          <w:color w:val="000000" w:themeColor="text1"/>
        </w:rPr>
      </w:pPr>
      <w:r w:rsidRPr="004C6617">
        <w:rPr>
          <w:color w:val="000000" w:themeColor="text1"/>
        </w:rPr>
        <w:t>-</w:t>
      </w:r>
      <w:r w:rsidRPr="004C6617">
        <w:rPr>
          <w:color w:val="000000" w:themeColor="text1"/>
        </w:rPr>
        <w:tab/>
        <w:t>porównanie bieżącego zużycia energii elektrycznej przez odbiorcę końcowego ze zużyciem w takim samym okresie w roku poprzednim, przedstawione w formie graficznej,</w:t>
      </w:r>
    </w:p>
    <w:p w14:paraId="460494BF" w14:textId="77777777" w:rsidR="004C6617" w:rsidRPr="004C6617" w:rsidRDefault="004C6617" w:rsidP="004C6617">
      <w:pPr>
        <w:pStyle w:val="USTustnpkodeksu"/>
        <w:tabs>
          <w:tab w:val="left" w:pos="709"/>
        </w:tabs>
        <w:ind w:left="709" w:hanging="425"/>
        <w:rPr>
          <w:color w:val="000000" w:themeColor="text1"/>
        </w:rPr>
      </w:pPr>
      <w:r w:rsidRPr="004C6617">
        <w:rPr>
          <w:color w:val="000000" w:themeColor="text1"/>
        </w:rPr>
        <w:t>-</w:t>
      </w:r>
      <w:r w:rsidRPr="004C6617">
        <w:rPr>
          <w:color w:val="000000" w:themeColor="text1"/>
        </w:rPr>
        <w:tab/>
        <w:t>informację o przyszłej zmianie produktu lub ceny bądź rabacie, jeżeli umowa to przewiduje, wraz z datą wprowadzenia zmiany,</w:t>
      </w:r>
    </w:p>
    <w:p w14:paraId="38CB4000" w14:textId="77777777" w:rsidR="004C6617" w:rsidRPr="004C6617" w:rsidRDefault="004C6617" w:rsidP="004C6617">
      <w:pPr>
        <w:pStyle w:val="USTustnpkodeksu"/>
        <w:tabs>
          <w:tab w:val="left" w:pos="709"/>
        </w:tabs>
        <w:ind w:left="709" w:hanging="425"/>
        <w:rPr>
          <w:color w:val="000000" w:themeColor="text1"/>
        </w:rPr>
      </w:pPr>
      <w:r w:rsidRPr="004C6617">
        <w:rPr>
          <w:color w:val="000000" w:themeColor="text1"/>
        </w:rPr>
        <w:tab/>
        <w:t xml:space="preserve">b) obowiązek sprzedawców do przedkładania odbiorcy końcowemu streszczenia kluczowych warunków umowy, </w:t>
      </w:r>
    </w:p>
    <w:p w14:paraId="686306F4" w14:textId="77777777" w:rsidR="004C6617" w:rsidRPr="004C6617" w:rsidRDefault="004C6617" w:rsidP="004C6617">
      <w:pPr>
        <w:pStyle w:val="USTustnpkodeksu"/>
        <w:tabs>
          <w:tab w:val="left" w:pos="709"/>
        </w:tabs>
        <w:ind w:left="709" w:hanging="425"/>
        <w:rPr>
          <w:color w:val="000000" w:themeColor="text1"/>
        </w:rPr>
      </w:pPr>
      <w:r w:rsidRPr="004C6617">
        <w:rPr>
          <w:color w:val="000000" w:themeColor="text1"/>
        </w:rPr>
        <w:lastRenderedPageBreak/>
        <w:tab/>
        <w:t xml:space="preserve">c) informowanie odbiorców, którym grozi odłączenie, o alternatywnych metodach odłączenia  stosowanych przez sprzedawcę, które mogą odnosić się do źródeł wsparcia w celu uniknięcia wstrzymania dostarczania energii elektrycznej, systemów przedpłat, audytów energetycznych, usług doradztwa w zakresie energii elektrycznej, alternatywnych planów płatności, doradztwa w zakresie zarządzania długiem lub wstrzymania odłączenia energii elektrycznej na wskazany okres i nie mogą generować dodatkowych kosztów dla odbiorców. </w:t>
      </w:r>
    </w:p>
    <w:p w14:paraId="001B2B36" w14:textId="58D295A6" w:rsidR="00C84B3A" w:rsidRPr="00A77025" w:rsidRDefault="004C6617" w:rsidP="00C84B3A">
      <w:pPr>
        <w:pStyle w:val="USTustnpkodeksu"/>
        <w:tabs>
          <w:tab w:val="left" w:pos="709"/>
        </w:tabs>
        <w:ind w:left="709" w:hanging="425"/>
        <w:rPr>
          <w:color w:val="000000" w:themeColor="text1"/>
          <w:sz w:val="10"/>
          <w:szCs w:val="6"/>
        </w:rPr>
      </w:pPr>
      <w:r w:rsidRPr="004C6617">
        <w:rPr>
          <w:color w:val="000000" w:themeColor="text1"/>
        </w:rPr>
        <w:tab/>
      </w:r>
      <w:r w:rsidR="00C055FE" w:rsidRPr="00613198">
        <w:rPr>
          <w:color w:val="000000" w:themeColor="text1"/>
        </w:rPr>
        <w:t xml:space="preserve"> </w:t>
      </w:r>
    </w:p>
    <w:p w14:paraId="5EA798AB" w14:textId="4B68CACA" w:rsidR="000A2B2B" w:rsidRPr="00613198" w:rsidRDefault="00C84B3A" w:rsidP="007F0A81">
      <w:pPr>
        <w:pStyle w:val="USTustnpkodeksu"/>
        <w:tabs>
          <w:tab w:val="left" w:pos="709"/>
        </w:tabs>
        <w:ind w:left="709" w:hanging="425"/>
        <w:rPr>
          <w:color w:val="000000" w:themeColor="text1"/>
        </w:rPr>
      </w:pPr>
      <w:r>
        <w:rPr>
          <w:color w:val="000000" w:themeColor="text1"/>
        </w:rPr>
        <w:tab/>
      </w:r>
      <w:r w:rsidR="00C055FE" w:rsidRPr="00613198">
        <w:rPr>
          <w:color w:val="000000" w:themeColor="text1"/>
        </w:rPr>
        <w:t xml:space="preserve">W dodawanym do ustawy – </w:t>
      </w:r>
      <w:r w:rsidR="00BF79A7" w:rsidRPr="00613198">
        <w:rPr>
          <w:color w:val="000000" w:themeColor="text1"/>
        </w:rPr>
        <w:t>Prawo energetyczne</w:t>
      </w:r>
      <w:r w:rsidR="00C055FE" w:rsidRPr="00613198">
        <w:rPr>
          <w:color w:val="000000" w:themeColor="text1"/>
        </w:rPr>
        <w:t xml:space="preserve"> art. 5 ust. 6ca zobowiązuje się ponadto sp</w:t>
      </w:r>
      <w:r w:rsidR="000A2B2B" w:rsidRPr="00613198">
        <w:rPr>
          <w:color w:val="000000" w:themeColor="text1"/>
        </w:rPr>
        <w:t>rzedawc</w:t>
      </w:r>
      <w:r w:rsidR="00C055FE" w:rsidRPr="00613198">
        <w:rPr>
          <w:color w:val="000000" w:themeColor="text1"/>
        </w:rPr>
        <w:t>ę</w:t>
      </w:r>
      <w:r w:rsidR="000A2B2B" w:rsidRPr="00613198">
        <w:rPr>
          <w:color w:val="000000" w:themeColor="text1"/>
        </w:rPr>
        <w:t xml:space="preserve"> energii elektrycznej, stosując</w:t>
      </w:r>
      <w:r w:rsidR="00C055FE" w:rsidRPr="00613198">
        <w:rPr>
          <w:color w:val="000000" w:themeColor="text1"/>
        </w:rPr>
        <w:t>ego</w:t>
      </w:r>
      <w:r w:rsidR="000A2B2B" w:rsidRPr="00613198">
        <w:rPr>
          <w:color w:val="000000" w:themeColor="text1"/>
        </w:rPr>
        <w:t xml:space="preserve"> taryfę zatwierdzoną przez Prezesa URE, </w:t>
      </w:r>
      <w:r w:rsidR="00C055FE" w:rsidRPr="00613198">
        <w:rPr>
          <w:color w:val="000000" w:themeColor="text1"/>
        </w:rPr>
        <w:t xml:space="preserve">do </w:t>
      </w:r>
      <w:r w:rsidR="000A2B2B" w:rsidRPr="00613198">
        <w:rPr>
          <w:color w:val="000000" w:themeColor="text1"/>
        </w:rPr>
        <w:t xml:space="preserve"> inform</w:t>
      </w:r>
      <w:r w:rsidR="00C055FE" w:rsidRPr="00613198">
        <w:rPr>
          <w:color w:val="000000" w:themeColor="text1"/>
        </w:rPr>
        <w:t xml:space="preserve">owania </w:t>
      </w:r>
      <w:r w:rsidR="000A2B2B" w:rsidRPr="00613198">
        <w:rPr>
          <w:color w:val="000000" w:themeColor="text1"/>
        </w:rPr>
        <w:t>odbiorc</w:t>
      </w:r>
      <w:r w:rsidR="00C055FE" w:rsidRPr="00613198">
        <w:rPr>
          <w:color w:val="000000" w:themeColor="text1"/>
        </w:rPr>
        <w:t>y</w:t>
      </w:r>
      <w:r w:rsidR="000A2B2B" w:rsidRPr="00613198">
        <w:rPr>
          <w:color w:val="000000" w:themeColor="text1"/>
        </w:rPr>
        <w:t xml:space="preserve"> końcowego, co najmniej raz na kwartał, o możliwości zakupu przez tego odbiorcę energii elektrycznej od wybranego przez niego sprzedawcy, dostępności ofert sprzedaży energii elektrycznej w porównywarce ofert i możliwości oszczędności na konkurencyjnym rynku energii elektrycznej, w szczególności o umowach z cenami dyn</w:t>
      </w:r>
      <w:r w:rsidR="00C055FE" w:rsidRPr="00613198">
        <w:rPr>
          <w:color w:val="000000" w:themeColor="text1"/>
        </w:rPr>
        <w:t xml:space="preserve">amicznymi energii elektrycznej - </w:t>
      </w:r>
      <w:r w:rsidR="000A2B2B" w:rsidRPr="00613198">
        <w:rPr>
          <w:color w:val="000000" w:themeColor="text1"/>
        </w:rPr>
        <w:t>dzięki planowanym rozwiązaniom, mającym na celu wzmocnienie pozycji i roli konsumenta na rynku energii, wypełniony zostanie tak</w:t>
      </w:r>
      <w:r w:rsidR="00C055FE" w:rsidRPr="00613198">
        <w:rPr>
          <w:color w:val="000000" w:themeColor="text1"/>
        </w:rPr>
        <w:t>że powyższy postulat;</w:t>
      </w:r>
    </w:p>
    <w:p w14:paraId="22D8FD13" w14:textId="78DC0F1C" w:rsidR="000A2B2B" w:rsidRPr="00613198" w:rsidRDefault="000A2B2B" w:rsidP="009317C2">
      <w:pPr>
        <w:pStyle w:val="USTustnpkodeksu"/>
        <w:tabs>
          <w:tab w:val="left" w:pos="709"/>
        </w:tabs>
        <w:ind w:left="709" w:hanging="425"/>
        <w:rPr>
          <w:color w:val="000000" w:themeColor="text1"/>
        </w:rPr>
      </w:pPr>
      <w:r w:rsidRPr="00613198">
        <w:rPr>
          <w:color w:val="000000" w:themeColor="text1"/>
        </w:rPr>
        <w:t>4)</w:t>
      </w:r>
      <w:r w:rsidR="009317C2" w:rsidRPr="00613198">
        <w:rPr>
          <w:color w:val="000000" w:themeColor="text1"/>
        </w:rPr>
        <w:tab/>
      </w:r>
      <w:r w:rsidR="00101198" w:rsidRPr="00613198">
        <w:rPr>
          <w:color w:val="000000" w:themeColor="text1"/>
        </w:rPr>
        <w:t>u</w:t>
      </w:r>
      <w:r w:rsidRPr="00613198">
        <w:rPr>
          <w:color w:val="000000" w:themeColor="text1"/>
        </w:rPr>
        <w:t>ruchomienie centralnego systemu informacji rynku energii</w:t>
      </w:r>
      <w:r w:rsidR="00ED54C8" w:rsidRPr="00613198">
        <w:rPr>
          <w:color w:val="000000" w:themeColor="text1"/>
        </w:rPr>
        <w:t>;</w:t>
      </w:r>
    </w:p>
    <w:p w14:paraId="5F50D795" w14:textId="78580D99" w:rsidR="000A2B2B" w:rsidRPr="00613198" w:rsidRDefault="000A2B2B" w:rsidP="009317C2">
      <w:pPr>
        <w:pStyle w:val="USTustnpkodeksu"/>
        <w:tabs>
          <w:tab w:val="left" w:pos="709"/>
        </w:tabs>
        <w:ind w:left="709" w:hanging="425"/>
        <w:rPr>
          <w:color w:val="000000" w:themeColor="text1"/>
        </w:rPr>
      </w:pPr>
      <w:r w:rsidRPr="00613198">
        <w:rPr>
          <w:color w:val="000000" w:themeColor="text1"/>
        </w:rPr>
        <w:t>5)</w:t>
      </w:r>
      <w:r w:rsidR="009317C2" w:rsidRPr="00613198">
        <w:rPr>
          <w:color w:val="000000" w:themeColor="text1"/>
        </w:rPr>
        <w:tab/>
      </w:r>
      <w:r w:rsidR="00101198" w:rsidRPr="00613198">
        <w:rPr>
          <w:color w:val="000000" w:themeColor="text1"/>
        </w:rPr>
        <w:t>s</w:t>
      </w:r>
      <w:r w:rsidRPr="00613198">
        <w:rPr>
          <w:color w:val="000000" w:themeColor="text1"/>
        </w:rPr>
        <w:t xml:space="preserve">tworzenie warunków dla funkcjonowania energetyki lokalnej – w projekcie proponuje się  wprowadzenie usług elastyczności, przewiduje rozwiązania dla odbiorcy aktywnego i obywatelskich społeczności energetycznych, wprowadza </w:t>
      </w:r>
      <w:r w:rsidR="00C055FE" w:rsidRPr="00613198">
        <w:rPr>
          <w:color w:val="000000" w:themeColor="text1"/>
        </w:rPr>
        <w:t>podstawy prawne do działania agregacji.</w:t>
      </w:r>
    </w:p>
    <w:p w14:paraId="7DCF6920" w14:textId="732E80A0" w:rsidR="00C001E1" w:rsidRPr="00613198" w:rsidRDefault="00ED54C8" w:rsidP="00101198">
      <w:pPr>
        <w:pStyle w:val="USTustnpkodeksu"/>
        <w:rPr>
          <w:color w:val="000000" w:themeColor="text1"/>
        </w:rPr>
      </w:pPr>
      <w:r w:rsidRPr="00613198">
        <w:rPr>
          <w:color w:val="000000" w:themeColor="text1"/>
        </w:rPr>
        <w:t>W celu oceny wpływu m.in.</w:t>
      </w:r>
      <w:r w:rsidR="000A2B2B" w:rsidRPr="00613198">
        <w:rPr>
          <w:color w:val="000000" w:themeColor="text1"/>
        </w:rPr>
        <w:t xml:space="preserve"> nowych regulacji na rynek energii elektrycznej, minister właściwy do spraw energii, po zasięgnięciu opinii Prezesa Urzędu Regulacji Energetyki, opracuje sprawozdanie dotyczące stosowania art. 47 ust. 1 ustawy - </w:t>
      </w:r>
      <w:r w:rsidR="00BF79A7" w:rsidRPr="00613198">
        <w:rPr>
          <w:color w:val="000000" w:themeColor="text1"/>
        </w:rPr>
        <w:t>Prawo energetyczne</w:t>
      </w:r>
      <w:r w:rsidR="000A2B2B" w:rsidRPr="00613198">
        <w:rPr>
          <w:color w:val="000000" w:themeColor="text1"/>
        </w:rPr>
        <w:t>, w stosunku do przedsiębiorstw energetycznych posiadających koncesję na obrót energią elektryczną, zawierające w szczególności informacje o konieczności dalszego stosowania art. 47 us</w:t>
      </w:r>
      <w:r w:rsidR="00C055FE" w:rsidRPr="00613198">
        <w:rPr>
          <w:color w:val="000000" w:themeColor="text1"/>
        </w:rPr>
        <w:t xml:space="preserve">t. 1 </w:t>
      </w:r>
      <w:r w:rsidR="008610B1">
        <w:rPr>
          <w:color w:val="000000" w:themeColor="text1"/>
        </w:rPr>
        <w:t xml:space="preserve">ustawy – Prawo energetyczne </w:t>
      </w:r>
      <w:r w:rsidR="00C055FE" w:rsidRPr="00613198">
        <w:rPr>
          <w:color w:val="000000" w:themeColor="text1"/>
        </w:rPr>
        <w:t>w obowiązującym kształcie,</w:t>
      </w:r>
      <w:r w:rsidR="000A2B2B" w:rsidRPr="00613198">
        <w:rPr>
          <w:color w:val="000000" w:themeColor="text1"/>
        </w:rPr>
        <w:t xml:space="preserve"> ocenę postępów we wprowadzaniu skutecznej konkurencji między sprzedawcami energii elektrycznej i w przechodzeniu na ceny rynkowe, informację o sposobie wykonywania przez sprzedawców energii elektrycznej obowiązku, o którym mowa w art. 47 ust. 1 i wpływie tych regulacji na sytuację finansową tych sprzedawców. </w:t>
      </w:r>
    </w:p>
    <w:p w14:paraId="6258A019" w14:textId="1E2F369C" w:rsidR="00095AFC" w:rsidRDefault="00095AFC" w:rsidP="00A77025">
      <w:pPr>
        <w:pStyle w:val="USTustnpkodeksu"/>
        <w:rPr>
          <w:bCs w:val="0"/>
          <w:sz w:val="8"/>
          <w:szCs w:val="4"/>
        </w:rPr>
      </w:pPr>
    </w:p>
    <w:p w14:paraId="144EB956" w14:textId="77777777" w:rsidR="009E0E0A" w:rsidRPr="00A77025" w:rsidRDefault="009E0E0A" w:rsidP="00A77025">
      <w:pPr>
        <w:pStyle w:val="USTustnpkodeksu"/>
        <w:rPr>
          <w:bCs w:val="0"/>
          <w:sz w:val="8"/>
          <w:szCs w:val="4"/>
        </w:rPr>
      </w:pPr>
    </w:p>
    <w:p w14:paraId="13069993" w14:textId="34AD8437" w:rsidR="00095AFC" w:rsidRPr="00613198" w:rsidRDefault="00095AFC" w:rsidP="00095AFC">
      <w:pPr>
        <w:spacing w:line="360" w:lineRule="auto"/>
        <w:ind w:firstLine="510"/>
        <w:jc w:val="both"/>
        <w:rPr>
          <w:rFonts w:ascii="Times New Roman" w:hAnsi="Times New Roman" w:cs="Times New Roman"/>
          <w:b/>
          <w:bCs/>
          <w:sz w:val="24"/>
          <w:szCs w:val="24"/>
        </w:rPr>
      </w:pPr>
      <w:r w:rsidRPr="00613198">
        <w:rPr>
          <w:rFonts w:ascii="Times New Roman" w:hAnsi="Times New Roman" w:cs="Times New Roman"/>
          <w:b/>
          <w:bCs/>
          <w:sz w:val="24"/>
          <w:szCs w:val="24"/>
        </w:rPr>
        <w:t xml:space="preserve">Ad </w:t>
      </w:r>
      <w:r w:rsidR="00925345" w:rsidRPr="00613198">
        <w:rPr>
          <w:rFonts w:ascii="Times New Roman" w:hAnsi="Times New Roman" w:cs="Times New Roman"/>
          <w:b/>
          <w:bCs/>
          <w:sz w:val="24"/>
          <w:szCs w:val="24"/>
        </w:rPr>
        <w:t>1</w:t>
      </w:r>
      <w:r w:rsidR="00925345">
        <w:rPr>
          <w:rFonts w:ascii="Times New Roman" w:hAnsi="Times New Roman" w:cs="Times New Roman"/>
          <w:b/>
          <w:bCs/>
          <w:sz w:val="24"/>
          <w:szCs w:val="24"/>
        </w:rPr>
        <w:t>2</w:t>
      </w:r>
      <w:r w:rsidRPr="00613198">
        <w:rPr>
          <w:rFonts w:ascii="Times New Roman" w:hAnsi="Times New Roman" w:cs="Times New Roman"/>
          <w:b/>
          <w:bCs/>
          <w:sz w:val="24"/>
          <w:szCs w:val="24"/>
        </w:rPr>
        <w:t>. Wdrożenie mechanizmu nierynkowego ograniczania (</w:t>
      </w:r>
      <w:proofErr w:type="spellStart"/>
      <w:r w:rsidRPr="00613198">
        <w:rPr>
          <w:rFonts w:ascii="Times New Roman" w:hAnsi="Times New Roman" w:cs="Times New Roman"/>
          <w:b/>
          <w:bCs/>
          <w:sz w:val="24"/>
          <w:szCs w:val="24"/>
        </w:rPr>
        <w:t>redysponowania</w:t>
      </w:r>
      <w:proofErr w:type="spellEnd"/>
      <w:r w:rsidRPr="00613198">
        <w:rPr>
          <w:rFonts w:ascii="Times New Roman" w:hAnsi="Times New Roman" w:cs="Times New Roman"/>
          <w:b/>
          <w:bCs/>
          <w:sz w:val="24"/>
          <w:szCs w:val="24"/>
        </w:rPr>
        <w:t xml:space="preserve"> lub redukcji) w wytwarzaniu </w:t>
      </w:r>
      <w:r w:rsidR="0098461E" w:rsidRPr="00613198">
        <w:rPr>
          <w:rFonts w:ascii="Times New Roman" w:hAnsi="Times New Roman" w:cs="Times New Roman"/>
          <w:b/>
          <w:bCs/>
          <w:sz w:val="24"/>
          <w:szCs w:val="24"/>
        </w:rPr>
        <w:t xml:space="preserve">z </w:t>
      </w:r>
      <w:r w:rsidRPr="00613198">
        <w:rPr>
          <w:rFonts w:ascii="Times New Roman" w:hAnsi="Times New Roman" w:cs="Times New Roman"/>
          <w:b/>
          <w:bCs/>
          <w:sz w:val="24"/>
          <w:szCs w:val="24"/>
        </w:rPr>
        <w:t xml:space="preserve">odnawialnych źródeł energii </w:t>
      </w:r>
    </w:p>
    <w:p w14:paraId="71F63F39" w14:textId="5A096F9C" w:rsidR="00823825" w:rsidRPr="00613198" w:rsidRDefault="00823825" w:rsidP="00B36147">
      <w:pPr>
        <w:spacing w:after="120" w:line="360" w:lineRule="auto"/>
        <w:ind w:firstLine="510"/>
        <w:jc w:val="both"/>
        <w:rPr>
          <w:rStyle w:val="Pogrubienie"/>
          <w:rFonts w:ascii="Times" w:hAnsi="Times" w:cs="Times"/>
          <w:b w:val="0"/>
          <w:bCs w:val="0"/>
          <w:color w:val="000000"/>
          <w:sz w:val="24"/>
          <w:szCs w:val="24"/>
        </w:rPr>
      </w:pPr>
      <w:r w:rsidRPr="00613198">
        <w:rPr>
          <w:rFonts w:ascii="Times" w:hAnsi="Times" w:cs="Times"/>
          <w:sz w:val="24"/>
          <w:szCs w:val="24"/>
        </w:rPr>
        <w:lastRenderedPageBreak/>
        <w:t xml:space="preserve">Zmiany otoczenia rynku energii o charakterze strukturalnym związane m.in. z rosnącą decentralizacją w sektorze wytwarzania, przyspieszonym rozwojem niestabilnych odnawialnych źródeł energii (w szczególności farm wiatrowych – FW oraz instalacji fotowoltaicznych – PV), w tym planami budowy morskiej energetyki wiatrowej, jak również </w:t>
      </w:r>
      <w:r w:rsidRPr="00613198">
        <w:rPr>
          <w:rFonts w:ascii="Times" w:hAnsi="Times" w:cs="Times"/>
          <w:color w:val="000000"/>
          <w:sz w:val="24"/>
          <w:szCs w:val="24"/>
        </w:rPr>
        <w:t>wynikającej z europejskiej polityki klimatycznej tendencji odstawiania źródeł konwencjonalnych</w:t>
      </w:r>
      <w:r w:rsidRPr="00613198">
        <w:rPr>
          <w:rFonts w:ascii="Times" w:hAnsi="Times" w:cs="Times"/>
          <w:sz w:val="24"/>
          <w:szCs w:val="24"/>
        </w:rPr>
        <w:t xml:space="preserve">, rodzą wyzwania, które wymagają </w:t>
      </w:r>
      <w:bookmarkStart w:id="10" w:name="_Hlk55221993"/>
      <w:r w:rsidRPr="00613198">
        <w:rPr>
          <w:rFonts w:ascii="Times" w:hAnsi="Times" w:cs="Times"/>
          <w:sz w:val="24"/>
          <w:szCs w:val="24"/>
        </w:rPr>
        <w:t xml:space="preserve">wdrożenia mechanizmu nierynkowego ograniczania </w:t>
      </w:r>
      <w:bookmarkStart w:id="11" w:name="_Hlk55222459"/>
      <w:r w:rsidRPr="00613198">
        <w:rPr>
          <w:rFonts w:ascii="Times" w:hAnsi="Times" w:cs="Times"/>
          <w:sz w:val="24"/>
          <w:szCs w:val="24"/>
        </w:rPr>
        <w:t>(</w:t>
      </w:r>
      <w:proofErr w:type="spellStart"/>
      <w:r w:rsidRPr="00613198">
        <w:rPr>
          <w:rFonts w:ascii="Times" w:hAnsi="Times" w:cs="Times"/>
          <w:sz w:val="24"/>
          <w:szCs w:val="24"/>
        </w:rPr>
        <w:t>redysponowania</w:t>
      </w:r>
      <w:proofErr w:type="spellEnd"/>
      <w:r w:rsidRPr="00613198">
        <w:rPr>
          <w:rFonts w:ascii="Times" w:hAnsi="Times" w:cs="Times"/>
          <w:sz w:val="24"/>
          <w:szCs w:val="24"/>
        </w:rPr>
        <w:t xml:space="preserve"> lub redukcji) </w:t>
      </w:r>
      <w:bookmarkEnd w:id="11"/>
      <w:r w:rsidRPr="00613198">
        <w:rPr>
          <w:rFonts w:ascii="Times" w:hAnsi="Times" w:cs="Times"/>
          <w:sz w:val="24"/>
          <w:szCs w:val="24"/>
        </w:rPr>
        <w:t>przez operatorów systemu elek</w:t>
      </w:r>
      <w:r w:rsidR="00090592" w:rsidRPr="00613198">
        <w:rPr>
          <w:rFonts w:ascii="Times" w:hAnsi="Times" w:cs="Times"/>
          <w:sz w:val="24"/>
          <w:szCs w:val="24"/>
        </w:rPr>
        <w:t>troenergetycznych</w:t>
      </w:r>
      <w:r w:rsidRPr="00613198">
        <w:rPr>
          <w:rFonts w:ascii="Times" w:hAnsi="Times" w:cs="Times"/>
          <w:sz w:val="24"/>
          <w:szCs w:val="24"/>
        </w:rPr>
        <w:t xml:space="preserve"> w wytwarzaniu </w:t>
      </w:r>
      <w:r w:rsidR="00C001E1">
        <w:rPr>
          <w:rFonts w:ascii="Times" w:hAnsi="Times" w:cs="Times"/>
          <w:sz w:val="24"/>
          <w:szCs w:val="24"/>
        </w:rPr>
        <w:t>z</w:t>
      </w:r>
      <w:r w:rsidR="00C001E1" w:rsidRPr="00613198">
        <w:rPr>
          <w:rFonts w:ascii="Times" w:hAnsi="Times" w:cs="Times"/>
          <w:sz w:val="24"/>
          <w:szCs w:val="24"/>
        </w:rPr>
        <w:t xml:space="preserve"> </w:t>
      </w:r>
      <w:r w:rsidRPr="00613198">
        <w:rPr>
          <w:rFonts w:ascii="Times" w:hAnsi="Times" w:cs="Times"/>
          <w:sz w:val="24"/>
          <w:szCs w:val="24"/>
        </w:rPr>
        <w:t xml:space="preserve">odnawialnych źródeł energii. </w:t>
      </w:r>
    </w:p>
    <w:bookmarkEnd w:id="10"/>
    <w:p w14:paraId="0EE4661F" w14:textId="54982C55" w:rsidR="00823825" w:rsidRPr="00613198" w:rsidRDefault="00823825" w:rsidP="00B36147">
      <w:pPr>
        <w:spacing w:after="120" w:line="360" w:lineRule="auto"/>
        <w:ind w:firstLine="510"/>
        <w:jc w:val="both"/>
        <w:rPr>
          <w:rFonts w:ascii="Times" w:hAnsi="Times" w:cs="Times"/>
          <w:color w:val="000000"/>
          <w:sz w:val="24"/>
          <w:szCs w:val="24"/>
        </w:rPr>
      </w:pPr>
      <w:r w:rsidRPr="00613198">
        <w:rPr>
          <w:rFonts w:ascii="Times" w:hAnsi="Times" w:cs="Times"/>
          <w:color w:val="000000"/>
          <w:sz w:val="24"/>
          <w:szCs w:val="24"/>
        </w:rPr>
        <w:t>Powyższe zjawiska stwarzają ryzyko występowania problemów po stronie OSP w równoważeniu zapotrzebowania na energię elektryczną z zapotrzebowaniem na nią (bilansowanie) – również od strony nadmiaru generacji w stosunku do zapotrzebowania, co w konsekwencji prowadzić będzie do konieczności redukowania generacji, w tym generacji z farm wiatrowych oraz instalacji fotowoltaicznych przy jednoczesnym wyzwaniu polegającym na zachowaniu zdolności technicznych do sterowania pracą systemu elektroenergetycznego.  Operatorzy systemów elektroenergetycznych będą z czasem coraz bardziej narażeni na ryzyka występowania potencjalnych przeciążeń elementów sieci elektroenergetycznej oraz pogorszenia parametrów jakościowych energii elektrycznej</w:t>
      </w:r>
      <w:r w:rsidR="00090592" w:rsidRPr="00613198">
        <w:rPr>
          <w:rFonts w:ascii="Times" w:hAnsi="Times" w:cs="Times"/>
          <w:color w:val="000000"/>
          <w:sz w:val="24"/>
          <w:szCs w:val="24"/>
        </w:rPr>
        <w:t>,</w:t>
      </w:r>
      <w:r w:rsidRPr="00613198">
        <w:rPr>
          <w:rFonts w:ascii="Times" w:hAnsi="Times" w:cs="Times"/>
          <w:color w:val="000000"/>
          <w:sz w:val="24"/>
          <w:szCs w:val="24"/>
        </w:rPr>
        <w:t xml:space="preserve"> </w:t>
      </w:r>
      <w:r w:rsidR="00090592" w:rsidRPr="00613198">
        <w:rPr>
          <w:rFonts w:ascii="Times" w:hAnsi="Times" w:cs="Times"/>
          <w:color w:val="000000"/>
          <w:sz w:val="24"/>
          <w:szCs w:val="24"/>
        </w:rPr>
        <w:t>w których to</w:t>
      </w:r>
      <w:r w:rsidRPr="00613198">
        <w:rPr>
          <w:rFonts w:ascii="Times" w:hAnsi="Times" w:cs="Times"/>
          <w:color w:val="000000"/>
          <w:sz w:val="24"/>
          <w:szCs w:val="24"/>
        </w:rPr>
        <w:t xml:space="preserve"> przypadkach mogą być zmuszeni do wprowadzania ograniczeń w wytwarzaniu energii elektrycznej w szczególności na farmach wiatrowych oraz instalacjach fotowoltaicznych jako źródłach niestabilnych (posiadających mniejszą zdolność regulacyjną użyteczną w sterowaniu pracą systemu). </w:t>
      </w:r>
    </w:p>
    <w:p w14:paraId="6B2E62D7" w14:textId="51E822AE" w:rsidR="00823825" w:rsidRPr="00613198" w:rsidRDefault="00823825" w:rsidP="00B36147">
      <w:pPr>
        <w:spacing w:after="120" w:line="360" w:lineRule="auto"/>
        <w:ind w:firstLine="510"/>
        <w:jc w:val="both"/>
        <w:rPr>
          <w:rFonts w:ascii="Times" w:hAnsi="Times" w:cs="Times"/>
          <w:color w:val="000000"/>
          <w:sz w:val="24"/>
          <w:szCs w:val="24"/>
        </w:rPr>
      </w:pPr>
      <w:r w:rsidRPr="00613198">
        <w:rPr>
          <w:rFonts w:ascii="Times" w:hAnsi="Times" w:cs="Times"/>
          <w:color w:val="000000"/>
          <w:sz w:val="24"/>
          <w:szCs w:val="24"/>
        </w:rPr>
        <w:t xml:space="preserve">Z technicznego punktu widzenia operatorzy systemów elektroenergetycznych mają pewien zakres możliwości zarządzania pracą FW oraz PV, jednakże ze względu na wciąż obecne gwarancje dostępu do sieci elektroenergetycznej dla energii elektrycznej wytworzonej z OZE mechanizmy te mogą opierać </w:t>
      </w:r>
      <w:r w:rsidR="00090592" w:rsidRPr="00613198">
        <w:rPr>
          <w:rFonts w:ascii="Times" w:hAnsi="Times" w:cs="Times"/>
          <w:color w:val="000000"/>
          <w:sz w:val="24"/>
          <w:szCs w:val="24"/>
        </w:rPr>
        <w:t xml:space="preserve">się </w:t>
      </w:r>
      <w:r w:rsidRPr="00613198">
        <w:rPr>
          <w:rFonts w:ascii="Times" w:hAnsi="Times" w:cs="Times"/>
          <w:color w:val="000000"/>
          <w:sz w:val="24"/>
          <w:szCs w:val="24"/>
        </w:rPr>
        <w:t xml:space="preserve">wyłącznie na dobrowolnym przystąpieniu wytwórców do mechanizmów zarządzania pracą. </w:t>
      </w:r>
      <w:r w:rsidR="00090592" w:rsidRPr="00613198">
        <w:rPr>
          <w:rFonts w:ascii="Times" w:hAnsi="Times" w:cs="Times"/>
          <w:color w:val="000000"/>
          <w:sz w:val="24"/>
          <w:szCs w:val="24"/>
        </w:rPr>
        <w:t>Powyższe d</w:t>
      </w:r>
      <w:r w:rsidRPr="00613198">
        <w:rPr>
          <w:rFonts w:ascii="Times" w:hAnsi="Times" w:cs="Times"/>
          <w:color w:val="000000"/>
          <w:sz w:val="24"/>
          <w:szCs w:val="24"/>
        </w:rPr>
        <w:t xml:space="preserve">ostrzegł ustawodawca europejski projektując mechanizm tzw. nierynkowego </w:t>
      </w:r>
      <w:proofErr w:type="spellStart"/>
      <w:r w:rsidRPr="00613198">
        <w:rPr>
          <w:rFonts w:ascii="Times" w:hAnsi="Times" w:cs="Times"/>
          <w:color w:val="000000"/>
          <w:sz w:val="24"/>
          <w:szCs w:val="24"/>
        </w:rPr>
        <w:t>redysponowania</w:t>
      </w:r>
      <w:proofErr w:type="spellEnd"/>
      <w:r w:rsidRPr="00613198">
        <w:rPr>
          <w:rFonts w:ascii="Times" w:hAnsi="Times" w:cs="Times"/>
          <w:color w:val="000000"/>
          <w:sz w:val="24"/>
          <w:szCs w:val="24"/>
        </w:rPr>
        <w:t xml:space="preserve">, na wypadek gdyby impulsy mechanizmów rynkowych nie były dostatecznie skuteczne. </w:t>
      </w:r>
    </w:p>
    <w:p w14:paraId="6D92B90E" w14:textId="638E6CC7" w:rsidR="00823825" w:rsidRPr="00613198" w:rsidRDefault="00823825" w:rsidP="00B36147">
      <w:pPr>
        <w:spacing w:after="120" w:line="360" w:lineRule="auto"/>
        <w:ind w:firstLine="510"/>
        <w:jc w:val="both"/>
        <w:rPr>
          <w:rFonts w:ascii="Times" w:hAnsi="Times" w:cs="Times"/>
          <w:sz w:val="24"/>
          <w:szCs w:val="24"/>
        </w:rPr>
      </w:pPr>
      <w:r w:rsidRPr="00613198">
        <w:rPr>
          <w:rFonts w:ascii="Times" w:hAnsi="Times" w:cs="Times"/>
          <w:sz w:val="24"/>
          <w:szCs w:val="24"/>
        </w:rPr>
        <w:t xml:space="preserve">Przepisy ustawy – </w:t>
      </w:r>
      <w:r w:rsidR="00BF79A7" w:rsidRPr="00613198">
        <w:rPr>
          <w:rFonts w:ascii="Times" w:hAnsi="Times" w:cs="Times"/>
          <w:sz w:val="24"/>
          <w:szCs w:val="24"/>
        </w:rPr>
        <w:t>Prawo energetyczne</w:t>
      </w:r>
      <w:r w:rsidRPr="00613198">
        <w:rPr>
          <w:rFonts w:ascii="Times" w:hAnsi="Times" w:cs="Times"/>
          <w:sz w:val="24"/>
          <w:szCs w:val="24"/>
        </w:rPr>
        <w:t xml:space="preserve"> nie odnoszą się bezpośrednio do pojęcia </w:t>
      </w:r>
      <w:proofErr w:type="spellStart"/>
      <w:r w:rsidRPr="00613198">
        <w:rPr>
          <w:rFonts w:ascii="Times" w:hAnsi="Times" w:cs="Times"/>
          <w:sz w:val="24"/>
          <w:szCs w:val="24"/>
        </w:rPr>
        <w:t>redysponowania</w:t>
      </w:r>
      <w:proofErr w:type="spellEnd"/>
      <w:r w:rsidRPr="00613198">
        <w:rPr>
          <w:rFonts w:ascii="Times" w:hAnsi="Times" w:cs="Times"/>
          <w:sz w:val="24"/>
          <w:szCs w:val="24"/>
        </w:rPr>
        <w:t xml:space="preserve">. Istnieją co prawda przepisy, które wprost upoważniają operatorów do wydawania wytwórcom poleceń w zakresie odstawienia, zmiany obciążenia lub odłączenia od sieci, tj. art. 11d ustawy - </w:t>
      </w:r>
      <w:r w:rsidR="00BF79A7" w:rsidRPr="00613198">
        <w:rPr>
          <w:rFonts w:ascii="Times" w:hAnsi="Times" w:cs="Times"/>
          <w:sz w:val="24"/>
          <w:szCs w:val="24"/>
        </w:rPr>
        <w:t>Prawo energetyczne</w:t>
      </w:r>
      <w:r w:rsidRPr="00613198">
        <w:rPr>
          <w:rFonts w:ascii="Times" w:hAnsi="Times" w:cs="Times"/>
          <w:sz w:val="24"/>
          <w:szCs w:val="24"/>
        </w:rPr>
        <w:t xml:space="preserve">, jednak nie sposób przyjąć, że są one wystarczające dla sprawnego bilansowania przy wzmożonym udziale farm wiatrowych oraz </w:t>
      </w:r>
      <w:r w:rsidRPr="00613198">
        <w:rPr>
          <w:rFonts w:ascii="Times" w:hAnsi="Times" w:cs="Times"/>
          <w:sz w:val="24"/>
          <w:szCs w:val="24"/>
        </w:rPr>
        <w:lastRenderedPageBreak/>
        <w:t>instalacji fotowoltaicznych.</w:t>
      </w:r>
    </w:p>
    <w:p w14:paraId="30D23E1B" w14:textId="69EFF4F1" w:rsidR="00823825" w:rsidRPr="00613198" w:rsidRDefault="00823825" w:rsidP="00B36147">
      <w:pPr>
        <w:spacing w:after="120" w:line="360" w:lineRule="auto"/>
        <w:ind w:firstLine="510"/>
        <w:jc w:val="both"/>
        <w:rPr>
          <w:rFonts w:ascii="Times" w:hAnsi="Times" w:cs="Times"/>
          <w:sz w:val="24"/>
          <w:szCs w:val="24"/>
        </w:rPr>
      </w:pPr>
      <w:r w:rsidRPr="00613198">
        <w:rPr>
          <w:rFonts w:ascii="Times" w:hAnsi="Times" w:cs="Times"/>
          <w:sz w:val="24"/>
          <w:szCs w:val="24"/>
        </w:rPr>
        <w:t xml:space="preserve">Zgodnie z art. 11d ustawy - </w:t>
      </w:r>
      <w:r w:rsidR="00BF79A7" w:rsidRPr="00613198">
        <w:rPr>
          <w:rFonts w:ascii="Times" w:hAnsi="Times" w:cs="Times"/>
          <w:sz w:val="24"/>
          <w:szCs w:val="24"/>
        </w:rPr>
        <w:t>Prawo energetyczne</w:t>
      </w:r>
      <w:r w:rsidRPr="00613198">
        <w:rPr>
          <w:rFonts w:ascii="Times" w:hAnsi="Times" w:cs="Times"/>
          <w:sz w:val="24"/>
          <w:szCs w:val="24"/>
        </w:rPr>
        <w:t xml:space="preserve">, OSP ma prawo podjąć szczególne działania zaradcze w razie wystąpienia zagrożenia bezpieczeństwa dostaw energii elektrycznej, tj.: wprowadzenie stanu nadzwyczajnego, katastrofa naturalna albo bezpośredniego zagrożenia wystąpienia awarii technicznej, wprowadzenia embarga, blokady, ograniczenia lub braku dostaw paliw lub energii elektrycznej z innego kraju na terytorium Rzeczypospolitej Polskiej, lub zakłóceń w funkcjonowaniu systemów elektroenergetycznych połączonych z krajowym systemem elektroenergetycznym, strajku lub niepokojów społecznych oraz obniżenia dostępnych rezerw zdolności wytwórczych poniżej niezbędnych wielkości, określonych w </w:t>
      </w:r>
      <w:proofErr w:type="spellStart"/>
      <w:r w:rsidRPr="00613198">
        <w:rPr>
          <w:rFonts w:ascii="Times" w:hAnsi="Times" w:cs="Times"/>
          <w:sz w:val="24"/>
          <w:szCs w:val="24"/>
        </w:rPr>
        <w:t>IRiESP</w:t>
      </w:r>
      <w:proofErr w:type="spellEnd"/>
      <w:r w:rsidRPr="00613198">
        <w:rPr>
          <w:rFonts w:ascii="Times" w:hAnsi="Times" w:cs="Times"/>
          <w:sz w:val="24"/>
          <w:szCs w:val="24"/>
        </w:rPr>
        <w:t xml:space="preserve"> lub braku możliwości ich wykorzystania.</w:t>
      </w:r>
    </w:p>
    <w:p w14:paraId="0CA55A91" w14:textId="3594BBE9" w:rsidR="00823825" w:rsidRPr="00613198" w:rsidRDefault="00823825" w:rsidP="00B36147">
      <w:pPr>
        <w:spacing w:after="120" w:line="360" w:lineRule="auto"/>
        <w:ind w:firstLine="510"/>
        <w:jc w:val="both"/>
        <w:rPr>
          <w:rFonts w:ascii="Times" w:hAnsi="Times" w:cs="Times"/>
          <w:sz w:val="24"/>
          <w:szCs w:val="24"/>
        </w:rPr>
      </w:pPr>
      <w:r w:rsidRPr="00613198">
        <w:rPr>
          <w:rFonts w:ascii="Times" w:hAnsi="Times" w:cs="Times"/>
          <w:sz w:val="24"/>
          <w:szCs w:val="24"/>
        </w:rPr>
        <w:t xml:space="preserve">Równocześnie zgodnie z art. 11f ustawy - </w:t>
      </w:r>
      <w:r w:rsidR="00BF79A7" w:rsidRPr="00613198">
        <w:rPr>
          <w:rFonts w:ascii="Times" w:hAnsi="Times" w:cs="Times"/>
          <w:sz w:val="24"/>
          <w:szCs w:val="24"/>
        </w:rPr>
        <w:t>Prawo energetyczne</w:t>
      </w:r>
      <w:r w:rsidRPr="00613198">
        <w:rPr>
          <w:rFonts w:ascii="Times" w:hAnsi="Times" w:cs="Times"/>
          <w:sz w:val="24"/>
          <w:szCs w:val="24"/>
        </w:rPr>
        <w:t xml:space="preserve"> podjęcie działań i środków na podstawie art. 11d tej ustawy, obarczone jest pewnymi ograniczeniami i możliwe jest w zakresie niezbędnym do przywrócenia prawidłowego funkcjonowania systemu elektroenergetycznego, na podstawie kryteriów przyjętych dla bieżącego bilansowania systemu elektroenergetycznego i zarządzania ograniczeniami systemowymi i </w:t>
      </w:r>
      <w:r w:rsidR="00BD2EB7" w:rsidRPr="00613198">
        <w:rPr>
          <w:rFonts w:ascii="Times" w:hAnsi="Times" w:cs="Times"/>
          <w:sz w:val="24"/>
          <w:szCs w:val="24"/>
        </w:rPr>
        <w:t xml:space="preserve">może </w:t>
      </w:r>
      <w:r w:rsidRPr="00613198">
        <w:rPr>
          <w:rFonts w:ascii="Times" w:hAnsi="Times" w:cs="Times"/>
          <w:sz w:val="24"/>
          <w:szCs w:val="24"/>
        </w:rPr>
        <w:t>być podejmowane w uzgodnieniu z właściwymi OSP.</w:t>
      </w:r>
    </w:p>
    <w:p w14:paraId="3E902E77" w14:textId="7536E6EF" w:rsidR="00823825" w:rsidRPr="00613198" w:rsidRDefault="00823825" w:rsidP="00B36147">
      <w:pPr>
        <w:spacing w:after="120" w:line="360" w:lineRule="auto"/>
        <w:ind w:firstLine="510"/>
        <w:jc w:val="both"/>
        <w:rPr>
          <w:rFonts w:ascii="Times" w:hAnsi="Times" w:cs="Times"/>
          <w:sz w:val="24"/>
          <w:szCs w:val="24"/>
        </w:rPr>
      </w:pPr>
      <w:r w:rsidRPr="00613198">
        <w:rPr>
          <w:rFonts w:ascii="Times" w:hAnsi="Times" w:cs="Times"/>
          <w:sz w:val="24"/>
          <w:szCs w:val="24"/>
        </w:rPr>
        <w:t xml:space="preserve">Kolejnym ograniczeniem dla </w:t>
      </w:r>
      <w:proofErr w:type="spellStart"/>
      <w:r w:rsidRPr="00613198">
        <w:rPr>
          <w:rFonts w:ascii="Times" w:hAnsi="Times" w:cs="Times"/>
          <w:sz w:val="24"/>
          <w:szCs w:val="24"/>
        </w:rPr>
        <w:t>redysponowania</w:t>
      </w:r>
      <w:proofErr w:type="spellEnd"/>
      <w:r w:rsidRPr="00613198">
        <w:rPr>
          <w:rFonts w:ascii="Times" w:hAnsi="Times" w:cs="Times"/>
          <w:sz w:val="24"/>
          <w:szCs w:val="24"/>
        </w:rPr>
        <w:t xml:space="preserve"> farm wiatrowych z powołaniem się na środki określone w art. 11d ustawy - </w:t>
      </w:r>
      <w:r w:rsidR="00BF79A7" w:rsidRPr="00613198">
        <w:rPr>
          <w:rFonts w:ascii="Times" w:hAnsi="Times" w:cs="Times"/>
          <w:sz w:val="24"/>
          <w:szCs w:val="24"/>
        </w:rPr>
        <w:t>Prawo energetyczne</w:t>
      </w:r>
      <w:r w:rsidRPr="00613198">
        <w:rPr>
          <w:rFonts w:ascii="Times" w:hAnsi="Times" w:cs="Times"/>
          <w:sz w:val="24"/>
          <w:szCs w:val="24"/>
        </w:rPr>
        <w:t xml:space="preserve">, jest konieczność wystąpienia stanu zagrożenia bezpieczeństwa dostaw i zachowania koniecznej procedury. W przypadku powstania stanu zagrożenia, OSP ma obowiązek niezwłocznie powiadomić ministra właściwego do spraw energii i Prezesa URE, wskazując na podjęte działania i środki w celu usunięcia tego zagrożenia i zapobieżenia jego negatywnym skutkom oraz zgłoszenia konieczności wprowadzenia ograniczeń (art. 11c ust. 3 ustawy - </w:t>
      </w:r>
      <w:r w:rsidR="00BF79A7" w:rsidRPr="00613198">
        <w:rPr>
          <w:rFonts w:ascii="Times" w:hAnsi="Times" w:cs="Times"/>
          <w:sz w:val="24"/>
          <w:szCs w:val="24"/>
        </w:rPr>
        <w:t>Prawo energetyczne</w:t>
      </w:r>
      <w:r w:rsidRPr="00613198">
        <w:rPr>
          <w:rFonts w:ascii="Times" w:hAnsi="Times" w:cs="Times"/>
          <w:sz w:val="24"/>
          <w:szCs w:val="24"/>
        </w:rPr>
        <w:t xml:space="preserve">). </w:t>
      </w:r>
    </w:p>
    <w:p w14:paraId="3C535124" w14:textId="56465C8E" w:rsidR="00823825" w:rsidRPr="00613198" w:rsidRDefault="00823825" w:rsidP="00B36147">
      <w:pPr>
        <w:spacing w:after="120" w:line="360" w:lineRule="auto"/>
        <w:ind w:firstLine="510"/>
        <w:jc w:val="both"/>
        <w:rPr>
          <w:rFonts w:ascii="Times" w:hAnsi="Times" w:cs="Times"/>
          <w:sz w:val="24"/>
          <w:szCs w:val="24"/>
        </w:rPr>
      </w:pPr>
      <w:r w:rsidRPr="00613198">
        <w:rPr>
          <w:rFonts w:ascii="Times" w:hAnsi="Times" w:cs="Times"/>
          <w:sz w:val="24"/>
          <w:szCs w:val="24"/>
        </w:rPr>
        <w:t xml:space="preserve">Ponadto, w razie wprowadzenia ograniczeń w dostarczaniu i poborze energii elektrycznej, OSP jest zobowiązany do przedstawienia raportu ministrowi właściwemu do spraw energii (art. 11c ust. 4). Zatem ww. mechanizmy zawarte w ustawie – </w:t>
      </w:r>
      <w:r w:rsidR="00BF79A7" w:rsidRPr="00613198">
        <w:rPr>
          <w:rFonts w:ascii="Times" w:hAnsi="Times" w:cs="Times"/>
          <w:sz w:val="24"/>
          <w:szCs w:val="24"/>
        </w:rPr>
        <w:t>Prawo energetyczne</w:t>
      </w:r>
      <w:r w:rsidRPr="00613198">
        <w:rPr>
          <w:rFonts w:ascii="Times" w:hAnsi="Times" w:cs="Times"/>
          <w:sz w:val="24"/>
          <w:szCs w:val="24"/>
        </w:rPr>
        <w:t xml:space="preserve"> nie przewidują interwencji skierowanej do wytwórców wytwarzających energię elektryczną z OZE w sytuacji, która destabilizuje system elektroenergetyczny, lecz nie stanowi podstawy uznania za stan zagrożenia bezpieczeństwa dostaw energii elektrycznej. </w:t>
      </w:r>
    </w:p>
    <w:p w14:paraId="635C979C" w14:textId="6B857E62" w:rsidR="00823825" w:rsidRPr="00613198" w:rsidRDefault="00823825" w:rsidP="00B36147">
      <w:pPr>
        <w:spacing w:after="120" w:line="360" w:lineRule="auto"/>
        <w:ind w:firstLine="510"/>
        <w:jc w:val="both"/>
        <w:rPr>
          <w:rFonts w:ascii="Times" w:hAnsi="Times" w:cs="Times"/>
          <w:color w:val="000000"/>
          <w:sz w:val="24"/>
          <w:szCs w:val="24"/>
        </w:rPr>
      </w:pPr>
      <w:r w:rsidRPr="00613198">
        <w:rPr>
          <w:rFonts w:ascii="Times" w:hAnsi="Times" w:cs="Times"/>
          <w:color w:val="000000"/>
          <w:sz w:val="24"/>
          <w:szCs w:val="24"/>
        </w:rPr>
        <w:t xml:space="preserve">Niezależnie od obowiązków OSP w zakresie podejmowania działań zaradczych w razie wystąpienia zagrożenia bezpieczeństwa dostaw, przepisy ustawy </w:t>
      </w:r>
      <w:r w:rsidR="00E873E5" w:rsidRPr="00613198">
        <w:rPr>
          <w:rFonts w:ascii="Times" w:hAnsi="Times" w:cs="Times"/>
          <w:color w:val="000000"/>
          <w:sz w:val="24"/>
          <w:szCs w:val="24"/>
        </w:rPr>
        <w:t xml:space="preserve">- </w:t>
      </w:r>
      <w:r w:rsidR="00BF79A7" w:rsidRPr="00613198">
        <w:rPr>
          <w:rFonts w:ascii="Times" w:hAnsi="Times" w:cs="Times"/>
          <w:color w:val="000000"/>
          <w:sz w:val="24"/>
          <w:szCs w:val="24"/>
        </w:rPr>
        <w:t>Prawo energetyczne</w:t>
      </w:r>
      <w:r w:rsidRPr="00613198">
        <w:rPr>
          <w:rFonts w:ascii="Times" w:hAnsi="Times" w:cs="Times"/>
          <w:color w:val="000000"/>
          <w:sz w:val="24"/>
          <w:szCs w:val="24"/>
        </w:rPr>
        <w:t xml:space="preserve"> nakładają na OSP i OSD obowiązki w zakresie zarządzania ograniczeniami systemowymi (OSP</w:t>
      </w:r>
      <w:r w:rsidR="00DA3FFB">
        <w:rPr>
          <w:rFonts w:ascii="Times" w:hAnsi="Times" w:cs="Times"/>
          <w:color w:val="000000"/>
          <w:sz w:val="24"/>
          <w:szCs w:val="24"/>
        </w:rPr>
        <w:t xml:space="preserve"> </w:t>
      </w:r>
      <w:r w:rsidR="00DA3FFB">
        <w:rPr>
          <w:rFonts w:ascii="Times" w:hAnsi="Times" w:cs="Times"/>
          <w:color w:val="000000"/>
          <w:sz w:val="24"/>
          <w:szCs w:val="24"/>
        </w:rPr>
        <w:lastRenderedPageBreak/>
        <w:t>-</w:t>
      </w:r>
      <w:r w:rsidR="00DA3FFB" w:rsidRPr="00613198">
        <w:rPr>
          <w:rFonts w:ascii="Times" w:hAnsi="Times" w:cs="Times"/>
          <w:color w:val="000000"/>
          <w:sz w:val="24"/>
          <w:szCs w:val="24"/>
        </w:rPr>
        <w:t xml:space="preserve"> </w:t>
      </w:r>
      <w:r w:rsidRPr="00613198">
        <w:rPr>
          <w:rFonts w:ascii="Times" w:hAnsi="Times" w:cs="Times"/>
          <w:color w:val="000000"/>
          <w:sz w:val="24"/>
          <w:szCs w:val="24"/>
        </w:rPr>
        <w:t xml:space="preserve">art. 9c ust. 2 pkt 6, 9, 10, 14 i 18 ustawy - </w:t>
      </w:r>
      <w:r w:rsidR="00BF79A7" w:rsidRPr="00613198">
        <w:rPr>
          <w:rFonts w:ascii="Times" w:hAnsi="Times" w:cs="Times"/>
          <w:color w:val="000000"/>
          <w:sz w:val="24"/>
          <w:szCs w:val="24"/>
        </w:rPr>
        <w:t>Prawo energetyczne</w:t>
      </w:r>
      <w:r w:rsidR="00DA3FFB">
        <w:rPr>
          <w:rFonts w:ascii="Times" w:hAnsi="Times" w:cs="Times"/>
          <w:color w:val="000000"/>
          <w:sz w:val="24"/>
          <w:szCs w:val="24"/>
        </w:rPr>
        <w:t xml:space="preserve">, </w:t>
      </w:r>
      <w:r w:rsidR="00DA3FFB" w:rsidRPr="00613198">
        <w:rPr>
          <w:rFonts w:ascii="Times" w:hAnsi="Times" w:cs="Times"/>
          <w:color w:val="000000"/>
          <w:sz w:val="24"/>
          <w:szCs w:val="24"/>
        </w:rPr>
        <w:t xml:space="preserve"> </w:t>
      </w:r>
      <w:r w:rsidRPr="00613198">
        <w:rPr>
          <w:rFonts w:ascii="Times" w:hAnsi="Times" w:cs="Times"/>
          <w:color w:val="000000"/>
          <w:sz w:val="24"/>
          <w:szCs w:val="24"/>
        </w:rPr>
        <w:t>OSD</w:t>
      </w:r>
      <w:r w:rsidR="00DA3FFB">
        <w:rPr>
          <w:rFonts w:ascii="Times" w:hAnsi="Times" w:cs="Times"/>
          <w:color w:val="000000"/>
          <w:sz w:val="24"/>
          <w:szCs w:val="24"/>
        </w:rPr>
        <w:t xml:space="preserve"> -</w:t>
      </w:r>
      <w:r w:rsidR="00C02739">
        <w:rPr>
          <w:rFonts w:ascii="Times" w:hAnsi="Times" w:cs="Times"/>
          <w:color w:val="000000"/>
          <w:sz w:val="24"/>
          <w:szCs w:val="24"/>
        </w:rPr>
        <w:t xml:space="preserve"> </w:t>
      </w:r>
      <w:r w:rsidRPr="00613198">
        <w:rPr>
          <w:rFonts w:ascii="Times" w:hAnsi="Times" w:cs="Times"/>
          <w:color w:val="000000"/>
          <w:sz w:val="24"/>
          <w:szCs w:val="24"/>
        </w:rPr>
        <w:t xml:space="preserve">art. 9c ust. 3 pkt 5, 6, 7 i 14 ustawy - </w:t>
      </w:r>
      <w:r w:rsidR="00BF79A7" w:rsidRPr="00613198">
        <w:rPr>
          <w:rFonts w:ascii="Times" w:hAnsi="Times" w:cs="Times"/>
          <w:color w:val="000000"/>
          <w:sz w:val="24"/>
          <w:szCs w:val="24"/>
        </w:rPr>
        <w:t>Prawo energetyczne</w:t>
      </w:r>
      <w:r w:rsidRPr="00613198">
        <w:rPr>
          <w:rFonts w:ascii="Times" w:hAnsi="Times" w:cs="Times"/>
          <w:color w:val="000000"/>
          <w:sz w:val="24"/>
          <w:szCs w:val="24"/>
        </w:rPr>
        <w:t>).</w:t>
      </w:r>
    </w:p>
    <w:p w14:paraId="72312B16" w14:textId="7B4E6E88" w:rsidR="00823825" w:rsidRPr="00613198" w:rsidRDefault="00823825" w:rsidP="00B36147">
      <w:pPr>
        <w:spacing w:after="120" w:line="360" w:lineRule="auto"/>
        <w:ind w:firstLine="510"/>
        <w:jc w:val="both"/>
        <w:rPr>
          <w:rFonts w:ascii="Times" w:hAnsi="Times" w:cs="Times"/>
          <w:color w:val="000000"/>
          <w:sz w:val="24"/>
          <w:szCs w:val="24"/>
        </w:rPr>
      </w:pPr>
      <w:r w:rsidRPr="00613198">
        <w:rPr>
          <w:rFonts w:ascii="Times" w:hAnsi="Times" w:cs="Times"/>
          <w:color w:val="000000"/>
          <w:sz w:val="24"/>
          <w:szCs w:val="24"/>
        </w:rPr>
        <w:t xml:space="preserve">Odpowiednikiem uprawnień OSP i OSD są obowiązki wytwórcy, określone w art. 9j ustawy - </w:t>
      </w:r>
      <w:r w:rsidR="00BF79A7" w:rsidRPr="00613198">
        <w:rPr>
          <w:rFonts w:ascii="Times" w:hAnsi="Times" w:cs="Times"/>
          <w:color w:val="000000"/>
          <w:sz w:val="24"/>
          <w:szCs w:val="24"/>
        </w:rPr>
        <w:t>Prawo energetyczne</w:t>
      </w:r>
      <w:r w:rsidRPr="00613198">
        <w:rPr>
          <w:rFonts w:ascii="Times" w:hAnsi="Times" w:cs="Times"/>
          <w:color w:val="000000"/>
          <w:sz w:val="24"/>
          <w:szCs w:val="24"/>
        </w:rPr>
        <w:t xml:space="preserve">. Zgodnie z art. 9j ust. 1 pkt 4 ustawy - </w:t>
      </w:r>
      <w:r w:rsidR="00BF79A7" w:rsidRPr="00613198">
        <w:rPr>
          <w:rFonts w:ascii="Times" w:hAnsi="Times" w:cs="Times"/>
          <w:color w:val="000000"/>
          <w:sz w:val="24"/>
          <w:szCs w:val="24"/>
        </w:rPr>
        <w:t>Prawo energetyczne</w:t>
      </w:r>
      <w:r w:rsidRPr="00613198">
        <w:rPr>
          <w:rFonts w:ascii="Times" w:hAnsi="Times" w:cs="Times"/>
          <w:color w:val="000000"/>
          <w:sz w:val="24"/>
          <w:szCs w:val="24"/>
        </w:rPr>
        <w:t xml:space="preserve">, wytwórca zobowiązany jest do współpracy z operatorem, do którego sieci źródło jest przyłączone, w szczególności do przekazywania temu operatorowi niezbędnych informacji o stanie urządzeń wytwórczych i wykonywania jego poleceń, na zasadach i warunkach określonych w ustawie, rozporządzeniu systemowym, </w:t>
      </w:r>
      <w:proofErr w:type="spellStart"/>
      <w:r w:rsidRPr="00613198">
        <w:rPr>
          <w:rFonts w:ascii="Times" w:hAnsi="Times" w:cs="Times"/>
          <w:color w:val="000000"/>
          <w:sz w:val="24"/>
          <w:szCs w:val="24"/>
        </w:rPr>
        <w:t>IRiESP</w:t>
      </w:r>
      <w:proofErr w:type="spellEnd"/>
      <w:r w:rsidRPr="00613198">
        <w:rPr>
          <w:rFonts w:ascii="Times" w:hAnsi="Times" w:cs="Times"/>
          <w:color w:val="000000"/>
          <w:sz w:val="24"/>
          <w:szCs w:val="24"/>
        </w:rPr>
        <w:t xml:space="preserve"> lub </w:t>
      </w:r>
      <w:proofErr w:type="spellStart"/>
      <w:r w:rsidRPr="00613198">
        <w:rPr>
          <w:rFonts w:ascii="Times" w:hAnsi="Times" w:cs="Times"/>
          <w:color w:val="000000"/>
          <w:sz w:val="24"/>
          <w:szCs w:val="24"/>
        </w:rPr>
        <w:t>IRiESD</w:t>
      </w:r>
      <w:proofErr w:type="spellEnd"/>
      <w:r w:rsidRPr="00613198">
        <w:rPr>
          <w:rFonts w:ascii="Times" w:hAnsi="Times" w:cs="Times"/>
          <w:color w:val="000000"/>
          <w:sz w:val="24"/>
          <w:szCs w:val="24"/>
        </w:rPr>
        <w:t xml:space="preserve"> oraz umowie zawartej z operatorem systemu elektroenergetycznego. Z kolei zgodnie z art. 9j ust. 2 ustawy </w:t>
      </w:r>
      <w:r w:rsidR="00C02739">
        <w:rPr>
          <w:rFonts w:ascii="Times" w:hAnsi="Times" w:cs="Times"/>
          <w:color w:val="000000"/>
          <w:sz w:val="24"/>
          <w:szCs w:val="24"/>
        </w:rPr>
        <w:t>-</w:t>
      </w:r>
      <w:r w:rsidR="00E873E5" w:rsidRPr="00613198">
        <w:rPr>
          <w:rFonts w:ascii="Times" w:hAnsi="Times" w:cs="Times"/>
          <w:color w:val="000000"/>
          <w:sz w:val="24"/>
          <w:szCs w:val="24"/>
        </w:rPr>
        <w:t>Prawo energ</w:t>
      </w:r>
      <w:r w:rsidR="00E607F8" w:rsidRPr="00613198">
        <w:rPr>
          <w:rFonts w:ascii="Times" w:hAnsi="Times" w:cs="Times"/>
          <w:color w:val="000000"/>
          <w:sz w:val="24"/>
          <w:szCs w:val="24"/>
        </w:rPr>
        <w:t>e</w:t>
      </w:r>
      <w:r w:rsidR="00E873E5" w:rsidRPr="00613198">
        <w:rPr>
          <w:rFonts w:ascii="Times" w:hAnsi="Times" w:cs="Times"/>
          <w:color w:val="000000"/>
          <w:sz w:val="24"/>
          <w:szCs w:val="24"/>
        </w:rPr>
        <w:t>tyczne</w:t>
      </w:r>
      <w:r w:rsidRPr="00613198">
        <w:rPr>
          <w:rFonts w:ascii="Times" w:hAnsi="Times" w:cs="Times"/>
          <w:color w:val="000000"/>
          <w:sz w:val="24"/>
          <w:szCs w:val="24"/>
        </w:rPr>
        <w:t xml:space="preserve">, w celu zapewnienia bezpieczeństwa dostaw energii elektrycznej, OSP wydaje, stosownie do planów działania, procedur i planów wprowadzania ograniczeń, o których mowa w rozporządzeniu systemowym i rozporządzeniu o ograniczeniach oraz </w:t>
      </w:r>
      <w:proofErr w:type="spellStart"/>
      <w:r w:rsidRPr="00613198">
        <w:rPr>
          <w:rFonts w:ascii="Times" w:hAnsi="Times" w:cs="Times"/>
          <w:color w:val="000000"/>
          <w:sz w:val="24"/>
          <w:szCs w:val="24"/>
        </w:rPr>
        <w:t>IRiESP</w:t>
      </w:r>
      <w:proofErr w:type="spellEnd"/>
      <w:r w:rsidRPr="00613198">
        <w:rPr>
          <w:rFonts w:ascii="Times" w:hAnsi="Times" w:cs="Times"/>
          <w:color w:val="000000"/>
          <w:sz w:val="24"/>
          <w:szCs w:val="24"/>
        </w:rPr>
        <w:t xml:space="preserve"> oraz postanowień umów o świadczenie usług przesyłania energii elektrycznej zawartych z użytkownikami systemu, w tym z odbiorcami, polecenia dyspozytorskie wytwórcy, OSD oraz odbiorcom.</w:t>
      </w:r>
    </w:p>
    <w:p w14:paraId="634EEF04" w14:textId="10AD57D5" w:rsidR="00823825" w:rsidRPr="00613198" w:rsidRDefault="00823825" w:rsidP="00B36147">
      <w:pPr>
        <w:spacing w:after="120" w:line="360" w:lineRule="auto"/>
        <w:ind w:firstLine="510"/>
        <w:jc w:val="both"/>
        <w:rPr>
          <w:rFonts w:ascii="Times" w:hAnsi="Times" w:cs="Times"/>
          <w:color w:val="000000"/>
          <w:sz w:val="24"/>
          <w:szCs w:val="24"/>
        </w:rPr>
      </w:pPr>
      <w:r w:rsidRPr="00613198">
        <w:rPr>
          <w:rFonts w:ascii="Times" w:hAnsi="Times" w:cs="Times"/>
          <w:color w:val="000000"/>
          <w:sz w:val="24"/>
          <w:szCs w:val="24"/>
        </w:rPr>
        <w:t xml:space="preserve">Wobec powyższego, nie powinno budzić wątpliwości, że OSP i  OSD mają ogólne mechanizmy do </w:t>
      </w:r>
      <w:proofErr w:type="spellStart"/>
      <w:r w:rsidRPr="00613198">
        <w:rPr>
          <w:rFonts w:ascii="Times" w:hAnsi="Times" w:cs="Times"/>
          <w:color w:val="000000"/>
          <w:sz w:val="24"/>
          <w:szCs w:val="24"/>
        </w:rPr>
        <w:t>redysponowania</w:t>
      </w:r>
      <w:proofErr w:type="spellEnd"/>
      <w:r w:rsidRPr="00613198">
        <w:rPr>
          <w:rFonts w:ascii="Times" w:hAnsi="Times" w:cs="Times"/>
          <w:color w:val="000000"/>
          <w:sz w:val="24"/>
          <w:szCs w:val="24"/>
        </w:rPr>
        <w:t xml:space="preserve"> jednostkami wytwórczymi, w celu zapewnienia bezpieczeństwa dostaw energii elektrycznej. Trudno jednak przy tym uznać, że art. 9j ust. 1 pkt 4 ustawy - </w:t>
      </w:r>
      <w:r w:rsidR="00BF79A7" w:rsidRPr="00613198">
        <w:rPr>
          <w:rFonts w:ascii="Times" w:hAnsi="Times" w:cs="Times"/>
          <w:color w:val="000000"/>
          <w:sz w:val="24"/>
          <w:szCs w:val="24"/>
        </w:rPr>
        <w:t>Prawo energetyczne</w:t>
      </w:r>
      <w:r w:rsidRPr="00613198">
        <w:rPr>
          <w:rFonts w:ascii="Times" w:hAnsi="Times" w:cs="Times"/>
          <w:color w:val="000000"/>
          <w:sz w:val="24"/>
          <w:szCs w:val="24"/>
        </w:rPr>
        <w:t xml:space="preserve"> jest przepisem dającym OSP czy OSD bezpośrednią kompetencję do wprowadzania poleceń dyspozytorskich. Należy natomiast uznać, że potwierdzają one możliwość wprowadzenia takiej kompetencji w umowie. Stanowi o tym również art. 5 ust. 2 pkt 2 ustawy - </w:t>
      </w:r>
      <w:r w:rsidR="00BF79A7" w:rsidRPr="00613198">
        <w:rPr>
          <w:rFonts w:ascii="Times" w:hAnsi="Times" w:cs="Times"/>
          <w:color w:val="000000"/>
          <w:sz w:val="24"/>
          <w:szCs w:val="24"/>
        </w:rPr>
        <w:t>Prawo energetyczne</w:t>
      </w:r>
      <w:r w:rsidRPr="00613198">
        <w:rPr>
          <w:rFonts w:ascii="Times" w:hAnsi="Times" w:cs="Times"/>
          <w:color w:val="000000"/>
          <w:sz w:val="24"/>
          <w:szCs w:val="24"/>
        </w:rPr>
        <w:t>, zgodnie z którym umowa o świadczenie usług przesyłania</w:t>
      </w:r>
      <w:r w:rsidR="00E873E5" w:rsidRPr="00613198">
        <w:rPr>
          <w:rFonts w:ascii="Times" w:hAnsi="Times" w:cs="Times"/>
          <w:color w:val="000000"/>
          <w:sz w:val="24"/>
          <w:szCs w:val="24"/>
        </w:rPr>
        <w:t xml:space="preserve"> lub </w:t>
      </w:r>
      <w:r w:rsidRPr="00613198">
        <w:rPr>
          <w:rFonts w:ascii="Times" w:hAnsi="Times" w:cs="Times"/>
          <w:color w:val="000000"/>
          <w:sz w:val="24"/>
          <w:szCs w:val="24"/>
        </w:rPr>
        <w:t xml:space="preserve">dystrybucji określa warunki zapewnienia niezawodności i ciągłości dostarczania paliw gazowych lub energii. </w:t>
      </w:r>
    </w:p>
    <w:p w14:paraId="66344863" w14:textId="51873EF5" w:rsidR="00823825" w:rsidRPr="00613198" w:rsidRDefault="00823825" w:rsidP="00B36147">
      <w:pPr>
        <w:spacing w:after="120" w:line="360" w:lineRule="auto"/>
        <w:ind w:firstLine="510"/>
        <w:jc w:val="both"/>
        <w:rPr>
          <w:rFonts w:ascii="Times" w:hAnsi="Times" w:cs="Times"/>
          <w:color w:val="000000"/>
          <w:sz w:val="24"/>
          <w:szCs w:val="24"/>
        </w:rPr>
      </w:pPr>
      <w:r w:rsidRPr="00613198">
        <w:rPr>
          <w:rFonts w:ascii="Times" w:hAnsi="Times" w:cs="Times"/>
          <w:color w:val="000000"/>
          <w:sz w:val="24"/>
          <w:szCs w:val="24"/>
        </w:rPr>
        <w:t xml:space="preserve">Z powyższych względów, sytuacja prawna na gruncie przepisów ustawy - </w:t>
      </w:r>
      <w:r w:rsidR="00BF79A7" w:rsidRPr="00613198">
        <w:rPr>
          <w:rFonts w:ascii="Times" w:hAnsi="Times" w:cs="Times"/>
          <w:color w:val="000000"/>
          <w:sz w:val="24"/>
          <w:szCs w:val="24"/>
        </w:rPr>
        <w:t>Prawo energetyczne</w:t>
      </w:r>
      <w:r w:rsidRPr="00613198">
        <w:rPr>
          <w:rFonts w:ascii="Times" w:hAnsi="Times" w:cs="Times"/>
          <w:color w:val="000000"/>
          <w:sz w:val="24"/>
          <w:szCs w:val="24"/>
        </w:rPr>
        <w:t xml:space="preserve"> i przepisów wykonawczych, nie jest dostosowana do aktualnego stanu prawnego wynikającego z rozporządzenia 2019/943, tj. krajowe regulacje prawne nie dają możliwości stosowania  jednoznacznie norm rangi europejskiej stanowiących, że wytwórca energii OZE (w tym z FW oraz PV) ma obowiązek podporządkować się poleceniu ruchowemu OSP w zakresie ograniczenia generacji w sytuacji gdy sygnały rynkowe nie dostarczają odpowiednich bodźców. Dodatkowo, brak </w:t>
      </w:r>
      <w:r w:rsidR="00C02739">
        <w:rPr>
          <w:rFonts w:ascii="Times" w:hAnsi="Times" w:cs="Times"/>
          <w:color w:val="000000"/>
          <w:sz w:val="24"/>
          <w:szCs w:val="24"/>
        </w:rPr>
        <w:t xml:space="preserve">jest </w:t>
      </w:r>
      <w:r w:rsidRPr="00613198">
        <w:rPr>
          <w:rFonts w:ascii="Times" w:hAnsi="Times" w:cs="Times"/>
          <w:color w:val="000000"/>
          <w:sz w:val="24"/>
          <w:szCs w:val="24"/>
        </w:rPr>
        <w:t xml:space="preserve">w polskim porządku prawnym uregulowania przesądzającego, że operator ma obowiązek zapłaty rekompensaty z tego tytułu, </w:t>
      </w:r>
      <w:r w:rsidR="00C02739">
        <w:rPr>
          <w:rFonts w:ascii="Times" w:hAnsi="Times" w:cs="Times"/>
          <w:color w:val="000000"/>
          <w:sz w:val="24"/>
          <w:szCs w:val="24"/>
        </w:rPr>
        <w:t xml:space="preserve">co </w:t>
      </w:r>
      <w:r w:rsidRPr="00613198">
        <w:rPr>
          <w:rFonts w:ascii="Times" w:hAnsi="Times" w:cs="Times"/>
          <w:color w:val="000000"/>
          <w:sz w:val="24"/>
          <w:szCs w:val="24"/>
        </w:rPr>
        <w:t xml:space="preserve">umożliwi również uwzględnienie tych rekompensat przez Prezesa URE zatwierdzającego taryfy, tak by </w:t>
      </w:r>
      <w:r w:rsidRPr="00613198">
        <w:rPr>
          <w:rFonts w:ascii="Times" w:hAnsi="Times" w:cs="Times"/>
          <w:color w:val="000000"/>
          <w:sz w:val="24"/>
          <w:szCs w:val="24"/>
        </w:rPr>
        <w:lastRenderedPageBreak/>
        <w:t>zagwarantować operatorom systemu elektroenergetycznego odpowiednie przychody na pokrycie tych kosztów działalności operatorskiej.</w:t>
      </w:r>
    </w:p>
    <w:p w14:paraId="7EC9F94B" w14:textId="7BD8138D" w:rsidR="00823825" w:rsidRPr="00613198" w:rsidRDefault="00823825" w:rsidP="00B36147">
      <w:pPr>
        <w:spacing w:after="120" w:line="360" w:lineRule="auto"/>
        <w:ind w:firstLine="357"/>
        <w:jc w:val="both"/>
        <w:rPr>
          <w:rFonts w:ascii="Times" w:hAnsi="Times" w:cs="Times"/>
          <w:color w:val="000000"/>
          <w:spacing w:val="-2"/>
          <w:sz w:val="24"/>
          <w:szCs w:val="24"/>
        </w:rPr>
      </w:pPr>
      <w:bookmarkStart w:id="12" w:name="_Hlk46134791"/>
      <w:r w:rsidRPr="00613198">
        <w:rPr>
          <w:rFonts w:ascii="Times" w:hAnsi="Times" w:cs="Times"/>
          <w:color w:val="000000"/>
          <w:spacing w:val="-2"/>
          <w:sz w:val="24"/>
          <w:szCs w:val="24"/>
        </w:rPr>
        <w:t>Mechanizm nierynkowego ograniczania generacji z FW i PV będzie wykorzystywany przez OSP jako ostateczny środek zaradczy</w:t>
      </w:r>
      <w:r w:rsidRPr="00613198">
        <w:rPr>
          <w:rFonts w:ascii="Times" w:hAnsi="Times" w:cs="Times"/>
          <w:color w:val="000000"/>
          <w:sz w:val="24"/>
          <w:szCs w:val="24"/>
        </w:rPr>
        <w:t xml:space="preserve"> dla zbilansowania zapotrzebowania z generacją w K</w:t>
      </w:r>
      <w:r w:rsidR="00FD099E" w:rsidRPr="00613198">
        <w:rPr>
          <w:rFonts w:ascii="Times" w:hAnsi="Times" w:cs="Times"/>
          <w:color w:val="000000"/>
          <w:sz w:val="24"/>
          <w:szCs w:val="24"/>
        </w:rPr>
        <w:t xml:space="preserve">rajowym </w:t>
      </w:r>
      <w:r w:rsidRPr="00613198">
        <w:rPr>
          <w:rFonts w:ascii="Times" w:hAnsi="Times" w:cs="Times"/>
          <w:color w:val="000000"/>
          <w:sz w:val="24"/>
          <w:szCs w:val="24"/>
        </w:rPr>
        <w:t>S</w:t>
      </w:r>
      <w:r w:rsidR="00FD099E" w:rsidRPr="00613198">
        <w:rPr>
          <w:rFonts w:ascii="Times" w:hAnsi="Times" w:cs="Times"/>
          <w:color w:val="000000"/>
          <w:sz w:val="24"/>
          <w:szCs w:val="24"/>
        </w:rPr>
        <w:t>ystemie Elektroenergetycznym (KSE)</w:t>
      </w:r>
      <w:r w:rsidRPr="00613198">
        <w:rPr>
          <w:rFonts w:ascii="Times" w:hAnsi="Times" w:cs="Times"/>
          <w:color w:val="000000"/>
          <w:sz w:val="24"/>
          <w:szCs w:val="24"/>
        </w:rPr>
        <w:t xml:space="preserve">, w tym dla utrzymania niezbędnych poziomów regulacyjności w systemie (tzw. problem bilansowy).  </w:t>
      </w:r>
      <w:r w:rsidRPr="00613198">
        <w:rPr>
          <w:rFonts w:ascii="Times" w:hAnsi="Times" w:cs="Times"/>
          <w:color w:val="000000"/>
          <w:spacing w:val="-2"/>
          <w:sz w:val="24"/>
          <w:szCs w:val="24"/>
        </w:rPr>
        <w:t xml:space="preserve">Poniżej zostały przedstawione wszystkie środki zaradcze w </w:t>
      </w:r>
      <w:bookmarkEnd w:id="12"/>
      <w:r w:rsidRPr="00613198">
        <w:rPr>
          <w:rFonts w:ascii="Times" w:hAnsi="Times" w:cs="Times"/>
          <w:color w:val="000000"/>
          <w:spacing w:val="-2"/>
          <w:sz w:val="24"/>
          <w:szCs w:val="24"/>
        </w:rPr>
        <w:t xml:space="preserve">kolejności ich stosowania, które zostaną podjęte przez OSP przed wprowadzeniem nierynkowej redukcji generacji z FW i PV: </w:t>
      </w:r>
    </w:p>
    <w:p w14:paraId="256DB1B3" w14:textId="77777777" w:rsidR="00823825" w:rsidRPr="00613198" w:rsidRDefault="00823825" w:rsidP="00B36147">
      <w:pPr>
        <w:pStyle w:val="Akapitzlist"/>
        <w:widowControl/>
        <w:numPr>
          <w:ilvl w:val="0"/>
          <w:numId w:val="6"/>
        </w:numPr>
        <w:autoSpaceDE/>
        <w:autoSpaceDN/>
        <w:adjustRightInd/>
        <w:spacing w:after="120" w:line="360" w:lineRule="auto"/>
        <w:ind w:left="714" w:hanging="357"/>
        <w:jc w:val="both"/>
        <w:rPr>
          <w:rFonts w:ascii="Times" w:hAnsi="Times" w:cs="Times"/>
          <w:color w:val="000000"/>
          <w:spacing w:val="-2"/>
          <w:sz w:val="24"/>
          <w:szCs w:val="24"/>
        </w:rPr>
      </w:pPr>
      <w:r w:rsidRPr="00613198">
        <w:rPr>
          <w:rFonts w:ascii="Times" w:hAnsi="Times" w:cs="Times"/>
          <w:color w:val="000000"/>
          <w:spacing w:val="-2"/>
          <w:sz w:val="24"/>
          <w:szCs w:val="24"/>
        </w:rPr>
        <w:t xml:space="preserve">blokowanie zdolności importowych w trybie </w:t>
      </w:r>
      <w:proofErr w:type="spellStart"/>
      <w:r w:rsidRPr="00613198">
        <w:rPr>
          <w:rFonts w:ascii="Times" w:hAnsi="Times" w:cs="Times"/>
          <w:color w:val="000000"/>
          <w:spacing w:val="-2"/>
          <w:sz w:val="24"/>
          <w:szCs w:val="24"/>
        </w:rPr>
        <w:t>day-ahead</w:t>
      </w:r>
      <w:proofErr w:type="spellEnd"/>
      <w:r w:rsidRPr="00613198">
        <w:rPr>
          <w:rFonts w:ascii="Times" w:hAnsi="Times" w:cs="Times"/>
          <w:color w:val="000000"/>
          <w:spacing w:val="-2"/>
          <w:sz w:val="24"/>
          <w:szCs w:val="24"/>
        </w:rPr>
        <w:t xml:space="preserve"> i </w:t>
      </w:r>
      <w:proofErr w:type="spellStart"/>
      <w:r w:rsidRPr="00613198">
        <w:rPr>
          <w:rFonts w:ascii="Times" w:hAnsi="Times" w:cs="Times"/>
          <w:color w:val="000000"/>
          <w:spacing w:val="-2"/>
          <w:sz w:val="24"/>
          <w:szCs w:val="24"/>
        </w:rPr>
        <w:t>intraday</w:t>
      </w:r>
      <w:proofErr w:type="spellEnd"/>
      <w:r w:rsidRPr="00613198">
        <w:rPr>
          <w:rFonts w:ascii="Times" w:hAnsi="Times" w:cs="Times"/>
          <w:color w:val="000000"/>
          <w:spacing w:val="-2"/>
          <w:sz w:val="24"/>
          <w:szCs w:val="24"/>
        </w:rPr>
        <w:t xml:space="preserve">, </w:t>
      </w:r>
    </w:p>
    <w:p w14:paraId="7C46F8D0" w14:textId="77777777" w:rsidR="00823825" w:rsidRPr="00613198" w:rsidRDefault="00823825" w:rsidP="00B36147">
      <w:pPr>
        <w:pStyle w:val="Akapitzlist"/>
        <w:widowControl/>
        <w:numPr>
          <w:ilvl w:val="0"/>
          <w:numId w:val="6"/>
        </w:numPr>
        <w:autoSpaceDE/>
        <w:autoSpaceDN/>
        <w:adjustRightInd/>
        <w:spacing w:after="120" w:line="360" w:lineRule="auto"/>
        <w:ind w:left="714" w:hanging="357"/>
        <w:jc w:val="both"/>
        <w:rPr>
          <w:rFonts w:ascii="Times" w:hAnsi="Times" w:cs="Times"/>
          <w:color w:val="000000"/>
          <w:spacing w:val="-2"/>
          <w:sz w:val="24"/>
          <w:szCs w:val="24"/>
        </w:rPr>
      </w:pPr>
      <w:r w:rsidRPr="00613198">
        <w:rPr>
          <w:rFonts w:ascii="Times" w:hAnsi="Times" w:cs="Times"/>
          <w:color w:val="000000"/>
          <w:spacing w:val="-2"/>
          <w:sz w:val="24"/>
          <w:szCs w:val="24"/>
        </w:rPr>
        <w:t>rynkowe zmniejszenie generacji w KSE w ramach rynku bilansującego,</w:t>
      </w:r>
    </w:p>
    <w:p w14:paraId="49C44D21" w14:textId="77777777" w:rsidR="00823825" w:rsidRPr="00613198" w:rsidRDefault="00823825" w:rsidP="00B36147">
      <w:pPr>
        <w:pStyle w:val="Akapitzlist"/>
        <w:widowControl/>
        <w:numPr>
          <w:ilvl w:val="0"/>
          <w:numId w:val="6"/>
        </w:numPr>
        <w:autoSpaceDE/>
        <w:autoSpaceDN/>
        <w:adjustRightInd/>
        <w:spacing w:after="120" w:line="360" w:lineRule="auto"/>
        <w:ind w:left="714" w:hanging="357"/>
        <w:jc w:val="both"/>
        <w:rPr>
          <w:rFonts w:ascii="Times" w:hAnsi="Times" w:cs="Times"/>
          <w:color w:val="000000"/>
          <w:spacing w:val="-2"/>
          <w:sz w:val="24"/>
          <w:szCs w:val="24"/>
        </w:rPr>
      </w:pPr>
      <w:r w:rsidRPr="00613198">
        <w:rPr>
          <w:rFonts w:ascii="Times" w:hAnsi="Times" w:cs="Times"/>
          <w:color w:val="000000"/>
          <w:spacing w:val="-2"/>
          <w:sz w:val="24"/>
          <w:szCs w:val="24"/>
        </w:rPr>
        <w:t>wymuszenie pracy pompowej w elektrowniach szczytowo-pompowych,</w:t>
      </w:r>
    </w:p>
    <w:p w14:paraId="0ACFD7B6" w14:textId="77777777" w:rsidR="00823825" w:rsidRPr="00613198" w:rsidRDefault="00823825" w:rsidP="00B36147">
      <w:pPr>
        <w:pStyle w:val="Akapitzlist"/>
        <w:widowControl/>
        <w:numPr>
          <w:ilvl w:val="0"/>
          <w:numId w:val="6"/>
        </w:numPr>
        <w:autoSpaceDE/>
        <w:autoSpaceDN/>
        <w:adjustRightInd/>
        <w:spacing w:after="120" w:line="360" w:lineRule="auto"/>
        <w:ind w:left="714" w:hanging="357"/>
        <w:jc w:val="both"/>
        <w:rPr>
          <w:rFonts w:ascii="Times" w:hAnsi="Times" w:cs="Times"/>
          <w:color w:val="000000"/>
          <w:spacing w:val="-2"/>
          <w:sz w:val="24"/>
          <w:szCs w:val="24"/>
        </w:rPr>
      </w:pPr>
      <w:r w:rsidRPr="00613198">
        <w:rPr>
          <w:rFonts w:ascii="Times" w:hAnsi="Times" w:cs="Times"/>
          <w:color w:val="000000"/>
          <w:spacing w:val="-2"/>
          <w:sz w:val="24"/>
          <w:szCs w:val="24"/>
        </w:rPr>
        <w:t xml:space="preserve">udostępnianie zdolności eksportowych w trybie </w:t>
      </w:r>
      <w:proofErr w:type="spellStart"/>
      <w:r w:rsidRPr="00613198">
        <w:rPr>
          <w:rFonts w:ascii="Times" w:hAnsi="Times" w:cs="Times"/>
          <w:color w:val="000000"/>
          <w:spacing w:val="-2"/>
          <w:sz w:val="24"/>
          <w:szCs w:val="24"/>
        </w:rPr>
        <w:t>IntraDay</w:t>
      </w:r>
      <w:proofErr w:type="spellEnd"/>
      <w:r w:rsidRPr="00613198">
        <w:rPr>
          <w:rFonts w:ascii="Times" w:hAnsi="Times" w:cs="Times"/>
          <w:color w:val="000000"/>
          <w:spacing w:val="-2"/>
          <w:sz w:val="24"/>
          <w:szCs w:val="24"/>
        </w:rPr>
        <w:t>,</w:t>
      </w:r>
    </w:p>
    <w:p w14:paraId="62932A18" w14:textId="77777777" w:rsidR="00823825" w:rsidRPr="00613198" w:rsidRDefault="00823825" w:rsidP="00B36147">
      <w:pPr>
        <w:pStyle w:val="Akapitzlist"/>
        <w:widowControl/>
        <w:numPr>
          <w:ilvl w:val="0"/>
          <w:numId w:val="6"/>
        </w:numPr>
        <w:autoSpaceDE/>
        <w:autoSpaceDN/>
        <w:adjustRightInd/>
        <w:spacing w:after="120" w:line="360" w:lineRule="auto"/>
        <w:ind w:left="714" w:hanging="357"/>
        <w:jc w:val="both"/>
        <w:rPr>
          <w:rFonts w:ascii="Times" w:hAnsi="Times" w:cs="Times"/>
          <w:color w:val="000000"/>
          <w:spacing w:val="-2"/>
          <w:sz w:val="24"/>
          <w:szCs w:val="24"/>
        </w:rPr>
      </w:pPr>
      <w:r w:rsidRPr="00613198">
        <w:rPr>
          <w:rFonts w:ascii="Times" w:hAnsi="Times" w:cs="Times"/>
          <w:color w:val="000000"/>
          <w:spacing w:val="-2"/>
          <w:sz w:val="24"/>
          <w:szCs w:val="24"/>
        </w:rPr>
        <w:t>zaniżanie generacji w elektrociepłowniach w ramach usługi GWS,</w:t>
      </w:r>
    </w:p>
    <w:p w14:paraId="42C2D7C6" w14:textId="77777777" w:rsidR="00823825" w:rsidRPr="00613198" w:rsidRDefault="00823825" w:rsidP="00B36147">
      <w:pPr>
        <w:pStyle w:val="Akapitzlist"/>
        <w:widowControl/>
        <w:numPr>
          <w:ilvl w:val="0"/>
          <w:numId w:val="6"/>
        </w:numPr>
        <w:autoSpaceDE/>
        <w:autoSpaceDN/>
        <w:adjustRightInd/>
        <w:spacing w:after="120" w:line="360" w:lineRule="auto"/>
        <w:ind w:left="714" w:hanging="357"/>
        <w:jc w:val="both"/>
        <w:rPr>
          <w:rFonts w:ascii="Times" w:hAnsi="Times" w:cs="Times"/>
          <w:color w:val="000000"/>
          <w:spacing w:val="-2"/>
          <w:sz w:val="24"/>
          <w:szCs w:val="24"/>
        </w:rPr>
      </w:pPr>
      <w:r w:rsidRPr="00613198">
        <w:rPr>
          <w:rFonts w:ascii="Times" w:hAnsi="Times" w:cs="Times"/>
          <w:color w:val="000000"/>
          <w:spacing w:val="-2"/>
          <w:sz w:val="24"/>
          <w:szCs w:val="24"/>
        </w:rPr>
        <w:t>eksport energii w formie operatywnej pomocy awaryjnej,</w:t>
      </w:r>
    </w:p>
    <w:p w14:paraId="47DCA6D6" w14:textId="77777777" w:rsidR="00823825" w:rsidRPr="00613198" w:rsidRDefault="00823825" w:rsidP="00B36147">
      <w:pPr>
        <w:pStyle w:val="Akapitzlist"/>
        <w:widowControl/>
        <w:numPr>
          <w:ilvl w:val="0"/>
          <w:numId w:val="6"/>
        </w:numPr>
        <w:autoSpaceDE/>
        <w:autoSpaceDN/>
        <w:adjustRightInd/>
        <w:spacing w:after="120" w:line="360" w:lineRule="auto"/>
        <w:ind w:left="714" w:hanging="357"/>
        <w:jc w:val="both"/>
        <w:rPr>
          <w:rFonts w:ascii="Times" w:hAnsi="Times" w:cs="Times"/>
          <w:color w:val="000000"/>
          <w:spacing w:val="-2"/>
          <w:sz w:val="24"/>
          <w:szCs w:val="24"/>
        </w:rPr>
      </w:pPr>
      <w:r w:rsidRPr="00613198">
        <w:rPr>
          <w:rFonts w:ascii="Times" w:hAnsi="Times" w:cs="Times"/>
          <w:color w:val="000000"/>
          <w:spacing w:val="-2"/>
          <w:sz w:val="24"/>
          <w:szCs w:val="24"/>
        </w:rPr>
        <w:t>nierynkowe ograniczanie generacji z FW i PV.</w:t>
      </w:r>
    </w:p>
    <w:p w14:paraId="76F94CC3" w14:textId="4C871D5C" w:rsidR="00823825" w:rsidRPr="00613198" w:rsidRDefault="00823825" w:rsidP="00B36147">
      <w:pPr>
        <w:spacing w:after="120" w:line="360" w:lineRule="auto"/>
        <w:ind w:firstLine="357"/>
        <w:jc w:val="both"/>
        <w:rPr>
          <w:rFonts w:ascii="Times" w:hAnsi="Times" w:cs="Times"/>
          <w:color w:val="000000"/>
          <w:spacing w:val="-2"/>
          <w:sz w:val="24"/>
          <w:szCs w:val="24"/>
        </w:rPr>
      </w:pPr>
      <w:r w:rsidRPr="00613198">
        <w:rPr>
          <w:rFonts w:ascii="Times" w:hAnsi="Times" w:cs="Times"/>
          <w:color w:val="000000"/>
          <w:spacing w:val="-2"/>
          <w:sz w:val="24"/>
          <w:szCs w:val="24"/>
        </w:rPr>
        <w:t xml:space="preserve">Potrzeba wykorzystania powyższych środków zaradczych będzie wstępnie identyfikowana  w ramach planowania pracy na dzień następny, tj. na podstawie prognozy przebiegu dobowego zapotrzebowania na moc elektryczną oraz na podstawie prognoz generacji FW i PV. Ponieważ tylko koincydencja niskiego zapotrzebowania na moc elektryczną z wysoką generacją OZE stwarza możliwość wystąpienia problemów bilansowych, ryzyko wykorzystania powyższych środków zaradczych może zaistnieć jedynie kilkukrotnie i krótkotrwale w ciągu roku, tj. w okresach świątecznych, głównie w nocy. W przypadku gdy w ramach planowania pracy KSE na dzień następny zostaną zidentyfikowane warunki opisane wyżej (tj. bardzo wysoka generacja z FW i PV oraz bardzo niskie zapotrzebowanie), to w pierwszej kolejności będą blokowane zdolności importowe w trybie </w:t>
      </w:r>
      <w:proofErr w:type="spellStart"/>
      <w:r w:rsidRPr="00613198">
        <w:rPr>
          <w:rFonts w:ascii="Times" w:hAnsi="Times" w:cs="Times"/>
          <w:color w:val="000000"/>
          <w:spacing w:val="-2"/>
          <w:sz w:val="24"/>
          <w:szCs w:val="24"/>
        </w:rPr>
        <w:t>day-ahead</w:t>
      </w:r>
      <w:proofErr w:type="spellEnd"/>
      <w:r w:rsidRPr="00613198">
        <w:rPr>
          <w:rFonts w:ascii="Times" w:hAnsi="Times" w:cs="Times"/>
          <w:color w:val="000000"/>
          <w:spacing w:val="-2"/>
          <w:sz w:val="24"/>
          <w:szCs w:val="24"/>
        </w:rPr>
        <w:t>, a następnie w dniu bieżącym w trybie intra-</w:t>
      </w:r>
      <w:proofErr w:type="spellStart"/>
      <w:r w:rsidRPr="00613198">
        <w:rPr>
          <w:rFonts w:ascii="Times" w:hAnsi="Times" w:cs="Times"/>
          <w:color w:val="000000"/>
          <w:spacing w:val="-2"/>
          <w:sz w:val="24"/>
          <w:szCs w:val="24"/>
        </w:rPr>
        <w:t>day</w:t>
      </w:r>
      <w:proofErr w:type="spellEnd"/>
      <w:r w:rsidRPr="00613198">
        <w:rPr>
          <w:rFonts w:ascii="Times" w:hAnsi="Times" w:cs="Times"/>
          <w:color w:val="000000"/>
          <w:spacing w:val="-2"/>
          <w:sz w:val="24"/>
          <w:szCs w:val="24"/>
        </w:rPr>
        <w:t>. Decyzje dotyczące faktycznego stopnia wykorzystania pozostałych środków, tj. kolejno od pkt 2 do pkt 6, będą podejmowane na bieżąco, na podstawie aktualnego stanu generacji z FW i PV oraz aktualnego zapotrzebowanie na moc elektryczną w KSE.</w:t>
      </w:r>
      <w:r w:rsidRPr="00613198">
        <w:rPr>
          <w:rFonts w:ascii="Times" w:hAnsi="Times" w:cs="Times"/>
          <w:b/>
          <w:color w:val="000000"/>
          <w:spacing w:val="-2"/>
          <w:sz w:val="24"/>
          <w:szCs w:val="24"/>
        </w:rPr>
        <w:t xml:space="preserve"> </w:t>
      </w:r>
      <w:r w:rsidRPr="00613198">
        <w:rPr>
          <w:rFonts w:ascii="Times" w:hAnsi="Times" w:cs="Times"/>
          <w:color w:val="000000"/>
          <w:spacing w:val="-2"/>
          <w:sz w:val="24"/>
          <w:szCs w:val="24"/>
        </w:rPr>
        <w:t xml:space="preserve">W przypadku gdy wykorzystanie tych środków zaradczych okaże się niewystarczające, to użycie nierynkowego ograniczania generacji z FW i PV ze względów bilansowych odbędzie się w oparciu o wspólną listę rankingową dla FW i PV. Lista ta będzie wskazywać kolejność redukcji FW i PV tak aby zminimalizować  całkowity koszt rekompensat finansowych jakie będzie trzeba pokryć. Lista ta będzie aktualizowana codziennie, ze względu na m.in. zmieniające się ceny zielonych </w:t>
      </w:r>
      <w:r w:rsidRPr="00613198">
        <w:rPr>
          <w:rFonts w:ascii="Times" w:hAnsi="Times" w:cs="Times"/>
          <w:color w:val="000000"/>
          <w:spacing w:val="-2"/>
          <w:sz w:val="24"/>
          <w:szCs w:val="24"/>
        </w:rPr>
        <w:lastRenderedPageBreak/>
        <w:t>certyfikatów oraz średnioważoną dobową cenę energii elektrycznej na rynku dnia następnego. Należy zwrócić uwagę, że w procesie bilansowania KSE, przed nierynkowym mechanizmem ograniczania generacji z FW i PV</w:t>
      </w:r>
      <w:r w:rsidR="00C02739">
        <w:rPr>
          <w:rFonts w:ascii="Times" w:hAnsi="Times" w:cs="Times"/>
          <w:color w:val="000000"/>
          <w:spacing w:val="-2"/>
          <w:sz w:val="24"/>
          <w:szCs w:val="24"/>
        </w:rPr>
        <w:t xml:space="preserve">, </w:t>
      </w:r>
      <w:r w:rsidRPr="00613198">
        <w:rPr>
          <w:rFonts w:ascii="Times" w:hAnsi="Times" w:cs="Times"/>
          <w:color w:val="000000"/>
          <w:spacing w:val="-2"/>
          <w:sz w:val="24"/>
          <w:szCs w:val="24"/>
        </w:rPr>
        <w:t xml:space="preserve">w pierwszej kolejności OSP będzie wykorzystywał mechanizm rynkowy (pozycja nr 2 powyżej), w ramach którego będą wyłaniane zasoby </w:t>
      </w:r>
      <w:proofErr w:type="spellStart"/>
      <w:r w:rsidRPr="00613198">
        <w:rPr>
          <w:rFonts w:ascii="Times" w:hAnsi="Times" w:cs="Times"/>
          <w:color w:val="000000"/>
          <w:spacing w:val="-2"/>
          <w:sz w:val="24"/>
          <w:szCs w:val="24"/>
        </w:rPr>
        <w:t>redysponowania</w:t>
      </w:r>
      <w:proofErr w:type="spellEnd"/>
      <w:r w:rsidRPr="00613198">
        <w:rPr>
          <w:rFonts w:ascii="Times" w:hAnsi="Times" w:cs="Times"/>
          <w:color w:val="000000"/>
          <w:spacing w:val="-2"/>
          <w:sz w:val="24"/>
          <w:szCs w:val="24"/>
        </w:rPr>
        <w:t xml:space="preserve"> poprzez zintegrowany proces </w:t>
      </w:r>
      <w:proofErr w:type="spellStart"/>
      <w:r w:rsidRPr="00613198">
        <w:rPr>
          <w:rFonts w:ascii="Times" w:hAnsi="Times" w:cs="Times"/>
          <w:color w:val="000000"/>
          <w:spacing w:val="-2"/>
          <w:sz w:val="24"/>
          <w:szCs w:val="24"/>
        </w:rPr>
        <w:t>grafikowania</w:t>
      </w:r>
      <w:proofErr w:type="spellEnd"/>
      <w:r w:rsidRPr="00613198">
        <w:rPr>
          <w:rFonts w:ascii="Times" w:hAnsi="Times" w:cs="Times"/>
          <w:color w:val="000000"/>
          <w:spacing w:val="-2"/>
          <w:sz w:val="24"/>
          <w:szCs w:val="24"/>
        </w:rPr>
        <w:t>. Nierynkowy mechanizm redukcji farm wiatrowych oraz instalacji fotowoltaicznych będzie stosowany jako ostateczny środek zaradczy.</w:t>
      </w:r>
    </w:p>
    <w:p w14:paraId="5502B9B1" w14:textId="05FA2C08" w:rsidR="00823825" w:rsidRPr="00613198" w:rsidRDefault="00823825" w:rsidP="00B36147">
      <w:pPr>
        <w:spacing w:after="120" w:line="360" w:lineRule="auto"/>
        <w:ind w:firstLine="357"/>
        <w:jc w:val="both"/>
        <w:rPr>
          <w:rFonts w:ascii="Times" w:hAnsi="Times" w:cs="Times"/>
          <w:color w:val="000000"/>
          <w:spacing w:val="-2"/>
          <w:sz w:val="24"/>
          <w:szCs w:val="24"/>
        </w:rPr>
      </w:pPr>
      <w:r w:rsidRPr="00613198">
        <w:rPr>
          <w:rFonts w:ascii="Times" w:hAnsi="Times" w:cs="Times"/>
          <w:color w:val="000000"/>
          <w:spacing w:val="-2"/>
          <w:sz w:val="24"/>
          <w:szCs w:val="24"/>
        </w:rPr>
        <w:t xml:space="preserve">Podobnie jak w przypadku Polski, rynkowy mechanizm wyznaczania zasobów do </w:t>
      </w:r>
      <w:proofErr w:type="spellStart"/>
      <w:r w:rsidRPr="00613198">
        <w:rPr>
          <w:rFonts w:ascii="Times" w:hAnsi="Times" w:cs="Times"/>
          <w:color w:val="000000"/>
          <w:spacing w:val="-2"/>
          <w:sz w:val="24"/>
          <w:szCs w:val="24"/>
        </w:rPr>
        <w:t>redysponowania</w:t>
      </w:r>
      <w:proofErr w:type="spellEnd"/>
      <w:r w:rsidRPr="00613198">
        <w:rPr>
          <w:rFonts w:ascii="Times" w:hAnsi="Times" w:cs="Times"/>
          <w:color w:val="000000"/>
          <w:spacing w:val="-2"/>
          <w:sz w:val="24"/>
          <w:szCs w:val="24"/>
        </w:rPr>
        <w:t xml:space="preserve"> ze względów bilansowanych będzie stosowany również w innych krajach, m.in. w Hiszpanii, Szwecji, Holandii oraz Grecji. Przykładem rynkowego </w:t>
      </w:r>
      <w:proofErr w:type="spellStart"/>
      <w:r w:rsidRPr="00613198">
        <w:rPr>
          <w:rFonts w:ascii="Times" w:hAnsi="Times" w:cs="Times"/>
          <w:color w:val="000000"/>
          <w:spacing w:val="-2"/>
          <w:sz w:val="24"/>
          <w:szCs w:val="24"/>
        </w:rPr>
        <w:t>redysponowania</w:t>
      </w:r>
      <w:proofErr w:type="spellEnd"/>
      <w:r w:rsidRPr="00613198">
        <w:rPr>
          <w:rFonts w:ascii="Times" w:hAnsi="Times" w:cs="Times"/>
          <w:color w:val="000000"/>
          <w:spacing w:val="-2"/>
          <w:sz w:val="24"/>
          <w:szCs w:val="24"/>
        </w:rPr>
        <w:t xml:space="preserve"> jest również Wielka Brytania, gdzie wytwórcy otrzymywali premie za ograniczenia, które były wyższe od potencjalnych strat. Jednak premie uzyskiwane przez wytwórców były historycznie tak duże, że zostały wprowadzone nowe warunki, które pod groźbą kary zabraniały składania zbyt wysokich ofert w razie ograniczeń. Takie rozwiązanie w istocie oznacza próbę zbliżenia do formuły ceny regulowanej. Wysokość rekompensat budzi do dziś w Wielkiej Brytanii publiczne kontrowersje. </w:t>
      </w:r>
      <w:r w:rsidR="00533D51" w:rsidRPr="00613198">
        <w:rPr>
          <w:rFonts w:ascii="Times" w:hAnsi="Times" w:cs="Times"/>
          <w:color w:val="000000"/>
          <w:spacing w:val="-2"/>
          <w:sz w:val="24"/>
          <w:szCs w:val="24"/>
        </w:rPr>
        <w:t>Należy zauważyć, że z</w:t>
      </w:r>
      <w:r w:rsidRPr="00613198">
        <w:rPr>
          <w:rFonts w:ascii="Times" w:hAnsi="Times" w:cs="Times"/>
          <w:color w:val="000000"/>
          <w:spacing w:val="-2"/>
          <w:sz w:val="24"/>
          <w:szCs w:val="24"/>
        </w:rPr>
        <w:t xml:space="preserve"> powodu potencjalnie wysokich kosztów rekompensat i ryzyka nadużycia pozycji rynkowej przez wytwórców występują również przypadki, gdy państwa członkowskie zrezygnowały w całości ze stosowania mechanizmu rynkowego. Niemcy zdecydowały o odstąpieniu od stosowania modelu rynkowego w oparciu o dwie z wymienionych w art. 13 ust. 3 rozporządzenia 2019/943 przesłanek, tj. zbyt niską liczbę jednostek wytwarzania energii, aby zapewnić skuteczną konkurencję, oraz stan sieci, który prowadziłby do składania ofert strategicznych. Na podobnym stanowisku kwestionującym zasadność stosowania rynkowego </w:t>
      </w:r>
      <w:proofErr w:type="spellStart"/>
      <w:r w:rsidRPr="00613198">
        <w:rPr>
          <w:rFonts w:ascii="Times" w:hAnsi="Times" w:cs="Times"/>
          <w:color w:val="000000"/>
          <w:spacing w:val="-2"/>
          <w:sz w:val="24"/>
          <w:szCs w:val="24"/>
        </w:rPr>
        <w:t>redysponowania</w:t>
      </w:r>
      <w:proofErr w:type="spellEnd"/>
      <w:r w:rsidRPr="00613198">
        <w:rPr>
          <w:rFonts w:ascii="Times" w:hAnsi="Times" w:cs="Times"/>
          <w:color w:val="000000"/>
          <w:spacing w:val="-2"/>
          <w:sz w:val="24"/>
          <w:szCs w:val="24"/>
        </w:rPr>
        <w:t xml:space="preserve"> stanął również belgijski regulator energetyki. W konsekwencji, belgijski OSP zamierza korzystać z wyłączenia przewidzianego w wyżej wspomnianym art. 13 ust. 3 rozporządzenia 2019/943. Ma to na celu uniemożliwienie działań polegających na nadużyciu pozycji wynikającej z ograniczeń rynkowych. Należy przy tym jednak zauważyć, że w zasadniczej części mechanizm belgijski opiera się o oferty uczestników rynku. W Irlandii i Irlandii Północnej przygotowany został przez łączoną Komisję ds. jednolitego rynku (SEM) szczegółowy raport na temat implementacji rozporządzenia 2019/943 w zakresie dysponowania i </w:t>
      </w:r>
      <w:proofErr w:type="spellStart"/>
      <w:r w:rsidRPr="00613198">
        <w:rPr>
          <w:rFonts w:ascii="Times" w:hAnsi="Times" w:cs="Times"/>
          <w:color w:val="000000"/>
          <w:spacing w:val="-2"/>
          <w:sz w:val="24"/>
          <w:szCs w:val="24"/>
        </w:rPr>
        <w:t>redysponowania</w:t>
      </w:r>
      <w:proofErr w:type="spellEnd"/>
      <w:r w:rsidRPr="00613198">
        <w:rPr>
          <w:rFonts w:ascii="Times" w:hAnsi="Times" w:cs="Times"/>
          <w:color w:val="000000"/>
          <w:spacing w:val="-2"/>
          <w:sz w:val="24"/>
          <w:szCs w:val="24"/>
        </w:rPr>
        <w:t>. SEM uznała w nim rynek bilansujący za mechanizm rynkowy.</w:t>
      </w:r>
    </w:p>
    <w:p w14:paraId="1C2CB72A" w14:textId="2D3C98A3" w:rsidR="00823825" w:rsidRPr="00613198" w:rsidRDefault="00823825" w:rsidP="00B36147">
      <w:pPr>
        <w:spacing w:after="120" w:line="360" w:lineRule="auto"/>
        <w:ind w:firstLine="357"/>
        <w:jc w:val="both"/>
        <w:rPr>
          <w:rFonts w:ascii="Times" w:hAnsi="Times" w:cs="Times"/>
          <w:color w:val="000000"/>
          <w:spacing w:val="-2"/>
          <w:sz w:val="24"/>
          <w:szCs w:val="24"/>
        </w:rPr>
      </w:pPr>
      <w:r w:rsidRPr="00613198">
        <w:rPr>
          <w:rFonts w:ascii="Times" w:hAnsi="Times" w:cs="Times"/>
          <w:color w:val="000000"/>
          <w:spacing w:val="-2"/>
          <w:sz w:val="24"/>
          <w:szCs w:val="24"/>
        </w:rPr>
        <w:t xml:space="preserve">Biorąc pod uwagę stosowane przez inne europejskie kraje rozwiązania oraz </w:t>
      </w:r>
      <w:r w:rsidR="00C02739">
        <w:rPr>
          <w:rFonts w:ascii="Times" w:hAnsi="Times" w:cs="Times"/>
          <w:color w:val="000000"/>
          <w:spacing w:val="-2"/>
          <w:sz w:val="24"/>
          <w:szCs w:val="24"/>
        </w:rPr>
        <w:t xml:space="preserve">przepisy </w:t>
      </w:r>
      <w:r w:rsidRPr="00613198">
        <w:rPr>
          <w:rFonts w:ascii="Times" w:hAnsi="Times" w:cs="Times"/>
          <w:color w:val="000000"/>
          <w:spacing w:val="-2"/>
          <w:sz w:val="24"/>
          <w:szCs w:val="24"/>
        </w:rPr>
        <w:t xml:space="preserve">rozporządzenia 2019/943 można założyć, że proponowane rozwiązanie jest poprawne i bezpieczne zarówno dla operatorów systemów elektroenergetycznych jak również dla sektora </w:t>
      </w:r>
      <w:r w:rsidRPr="00613198">
        <w:rPr>
          <w:rFonts w:ascii="Times" w:hAnsi="Times" w:cs="Times"/>
          <w:color w:val="000000"/>
          <w:spacing w:val="-2"/>
          <w:sz w:val="24"/>
          <w:szCs w:val="24"/>
        </w:rPr>
        <w:lastRenderedPageBreak/>
        <w:t xml:space="preserve">wytwórczego. </w:t>
      </w:r>
      <w:r w:rsidRPr="00613198">
        <w:rPr>
          <w:rFonts w:ascii="Times" w:hAnsi="Times" w:cs="Times"/>
          <w:color w:val="000000"/>
          <w:sz w:val="24"/>
          <w:szCs w:val="24"/>
        </w:rPr>
        <w:t xml:space="preserve">Nadanie operatorom systemów elektroenergetycznych prawa do </w:t>
      </w:r>
      <w:proofErr w:type="spellStart"/>
      <w:r w:rsidRPr="00613198">
        <w:rPr>
          <w:rFonts w:ascii="Times" w:hAnsi="Times" w:cs="Times"/>
          <w:color w:val="000000"/>
          <w:sz w:val="24"/>
          <w:szCs w:val="24"/>
        </w:rPr>
        <w:t>redysponowania</w:t>
      </w:r>
      <w:proofErr w:type="spellEnd"/>
      <w:r w:rsidRPr="00613198">
        <w:rPr>
          <w:rFonts w:ascii="Times" w:hAnsi="Times" w:cs="Times"/>
          <w:color w:val="000000"/>
          <w:sz w:val="24"/>
          <w:szCs w:val="24"/>
        </w:rPr>
        <w:t xml:space="preserve"> FW i PV na potrzeby zapewnienia bezpieczeństwa pracy sieci elektroenergetycznej oraz równoważenia dostaw energii elektrycznej z zapotrzebowaniem na tę energię umożliwi dalszy rozwój FW i PV przy zapewnieniu bezpiecznej pracy systemu elektroenergetycznego oraz będzie stanowił istotny środek zaradczy do utrzymania bezpiecznej pracy systemu elektroenergetycznego. </w:t>
      </w:r>
      <w:r w:rsidRPr="00613198">
        <w:rPr>
          <w:rFonts w:ascii="Times" w:hAnsi="Times" w:cs="Times"/>
          <w:color w:val="000000"/>
          <w:spacing w:val="-2"/>
          <w:sz w:val="24"/>
          <w:szCs w:val="24"/>
        </w:rPr>
        <w:t xml:space="preserve">Po wdrożeniu proponowanych zmian do ustawy </w:t>
      </w:r>
      <w:r w:rsidR="00533D51" w:rsidRPr="00613198">
        <w:rPr>
          <w:rFonts w:ascii="Times" w:hAnsi="Times" w:cs="Times"/>
          <w:color w:val="000000"/>
          <w:spacing w:val="-2"/>
          <w:sz w:val="24"/>
          <w:szCs w:val="24"/>
        </w:rPr>
        <w:t xml:space="preserve">- </w:t>
      </w:r>
      <w:r w:rsidR="00BF79A7" w:rsidRPr="00613198">
        <w:rPr>
          <w:rFonts w:ascii="Times" w:hAnsi="Times" w:cs="Times"/>
          <w:color w:val="000000"/>
          <w:spacing w:val="-2"/>
          <w:sz w:val="24"/>
          <w:szCs w:val="24"/>
        </w:rPr>
        <w:t>Prawo energetyczne</w:t>
      </w:r>
      <w:r w:rsidRPr="00613198">
        <w:rPr>
          <w:rFonts w:ascii="Times" w:hAnsi="Times" w:cs="Times"/>
          <w:color w:val="000000"/>
          <w:spacing w:val="-2"/>
          <w:sz w:val="24"/>
          <w:szCs w:val="24"/>
        </w:rPr>
        <w:t xml:space="preserve"> oraz </w:t>
      </w:r>
      <w:r w:rsidR="00C02739">
        <w:rPr>
          <w:rFonts w:ascii="Times" w:hAnsi="Times" w:cs="Times"/>
          <w:color w:val="000000"/>
          <w:spacing w:val="-2"/>
          <w:sz w:val="24"/>
          <w:szCs w:val="24"/>
        </w:rPr>
        <w:t xml:space="preserve">do </w:t>
      </w:r>
      <w:r w:rsidRPr="00613198">
        <w:rPr>
          <w:rFonts w:ascii="Times" w:hAnsi="Times" w:cs="Times"/>
          <w:color w:val="000000"/>
          <w:spacing w:val="-2"/>
          <w:sz w:val="24"/>
          <w:szCs w:val="24"/>
        </w:rPr>
        <w:t xml:space="preserve">ustawy o </w:t>
      </w:r>
      <w:proofErr w:type="spellStart"/>
      <w:r w:rsidR="00E3420A">
        <w:rPr>
          <w:rFonts w:ascii="Times" w:hAnsi="Times" w:cs="Times"/>
          <w:color w:val="000000"/>
          <w:spacing w:val="-2"/>
          <w:sz w:val="24"/>
          <w:szCs w:val="24"/>
        </w:rPr>
        <w:t>oze</w:t>
      </w:r>
      <w:proofErr w:type="spellEnd"/>
      <w:r w:rsidR="00E3420A">
        <w:rPr>
          <w:rFonts w:ascii="Times" w:hAnsi="Times" w:cs="Times"/>
          <w:color w:val="000000"/>
          <w:spacing w:val="-2"/>
          <w:sz w:val="24"/>
          <w:szCs w:val="24"/>
        </w:rPr>
        <w:t xml:space="preserve"> </w:t>
      </w:r>
      <w:r w:rsidRPr="00613198">
        <w:rPr>
          <w:rFonts w:ascii="Times" w:hAnsi="Times" w:cs="Times"/>
          <w:color w:val="000000"/>
          <w:spacing w:val="-2"/>
          <w:sz w:val="24"/>
          <w:szCs w:val="24"/>
        </w:rPr>
        <w:t xml:space="preserve">szczegółowy mechanizm nierynkowej redukcji zostanie zawarty w </w:t>
      </w:r>
      <w:proofErr w:type="spellStart"/>
      <w:r w:rsidRPr="00613198">
        <w:rPr>
          <w:rFonts w:ascii="Times" w:hAnsi="Times" w:cs="Times"/>
          <w:color w:val="000000"/>
          <w:spacing w:val="-2"/>
          <w:sz w:val="24"/>
          <w:szCs w:val="24"/>
        </w:rPr>
        <w:t>IRiESP</w:t>
      </w:r>
      <w:proofErr w:type="spellEnd"/>
      <w:r w:rsidRPr="00613198">
        <w:rPr>
          <w:rFonts w:ascii="Times" w:hAnsi="Times" w:cs="Times"/>
          <w:color w:val="000000"/>
          <w:spacing w:val="-2"/>
          <w:sz w:val="24"/>
          <w:szCs w:val="24"/>
        </w:rPr>
        <w:t xml:space="preserve"> oraz </w:t>
      </w:r>
      <w:proofErr w:type="spellStart"/>
      <w:r w:rsidRPr="00613198">
        <w:rPr>
          <w:rFonts w:ascii="Times" w:hAnsi="Times" w:cs="Times"/>
          <w:color w:val="000000"/>
          <w:spacing w:val="-2"/>
          <w:sz w:val="24"/>
          <w:szCs w:val="24"/>
        </w:rPr>
        <w:t>IRiESD</w:t>
      </w:r>
      <w:proofErr w:type="spellEnd"/>
      <w:r w:rsidRPr="00613198">
        <w:rPr>
          <w:rFonts w:ascii="Times" w:hAnsi="Times" w:cs="Times"/>
          <w:color w:val="000000"/>
          <w:spacing w:val="-2"/>
          <w:sz w:val="24"/>
          <w:szCs w:val="24"/>
        </w:rPr>
        <w:t>.</w:t>
      </w:r>
      <w:r w:rsidRPr="00613198">
        <w:rPr>
          <w:rFonts w:ascii="Times" w:hAnsi="Times" w:cs="Times"/>
          <w:color w:val="000000"/>
          <w:sz w:val="24"/>
          <w:szCs w:val="24"/>
        </w:rPr>
        <w:t xml:space="preserve"> </w:t>
      </w:r>
      <w:r w:rsidRPr="00613198">
        <w:rPr>
          <w:rFonts w:ascii="Times" w:hAnsi="Times" w:cs="Times"/>
          <w:color w:val="000000"/>
          <w:spacing w:val="-2"/>
          <w:sz w:val="24"/>
          <w:szCs w:val="24"/>
        </w:rPr>
        <w:t xml:space="preserve">    </w:t>
      </w:r>
    </w:p>
    <w:p w14:paraId="7A7B7695" w14:textId="560ADE5A" w:rsidR="00823825" w:rsidRPr="00613198" w:rsidRDefault="00823825" w:rsidP="00B36147">
      <w:pPr>
        <w:pStyle w:val="Akapitzlist"/>
        <w:widowControl/>
        <w:numPr>
          <w:ilvl w:val="0"/>
          <w:numId w:val="12"/>
        </w:numPr>
        <w:autoSpaceDE/>
        <w:autoSpaceDN/>
        <w:adjustRightInd/>
        <w:spacing w:after="160" w:line="360" w:lineRule="auto"/>
        <w:rPr>
          <w:rStyle w:val="Pogrubienie"/>
          <w:rFonts w:ascii="Times" w:hAnsi="Times" w:cs="Times"/>
          <w:sz w:val="24"/>
          <w:szCs w:val="24"/>
          <w:u w:val="single"/>
        </w:rPr>
      </w:pPr>
      <w:r w:rsidRPr="00613198">
        <w:rPr>
          <w:rStyle w:val="Pogrubienie"/>
          <w:rFonts w:ascii="Times" w:hAnsi="Times" w:cs="Times"/>
          <w:sz w:val="24"/>
          <w:szCs w:val="24"/>
          <w:u w:val="single"/>
        </w:rPr>
        <w:t xml:space="preserve">zmiany w ustawie – </w:t>
      </w:r>
      <w:r w:rsidR="00BF79A7" w:rsidRPr="00613198">
        <w:rPr>
          <w:rStyle w:val="Pogrubienie"/>
          <w:rFonts w:ascii="Times" w:hAnsi="Times" w:cs="Times"/>
          <w:sz w:val="24"/>
          <w:szCs w:val="24"/>
          <w:u w:val="single"/>
        </w:rPr>
        <w:t>Prawo energetyczne</w:t>
      </w:r>
      <w:r w:rsidRPr="00613198">
        <w:rPr>
          <w:rStyle w:val="Pogrubienie"/>
          <w:rFonts w:ascii="Times" w:hAnsi="Times" w:cs="Times"/>
          <w:sz w:val="24"/>
          <w:szCs w:val="24"/>
          <w:u w:val="single"/>
        </w:rPr>
        <w:t xml:space="preserve"> </w:t>
      </w:r>
    </w:p>
    <w:p w14:paraId="115D8E14" w14:textId="4BC5C3F8" w:rsidR="00823825" w:rsidRPr="00613198" w:rsidRDefault="00823825" w:rsidP="00B36147">
      <w:pPr>
        <w:pStyle w:val="Akapitzlist"/>
        <w:widowControl/>
        <w:numPr>
          <w:ilvl w:val="0"/>
          <w:numId w:val="8"/>
        </w:numPr>
        <w:autoSpaceDE/>
        <w:autoSpaceDN/>
        <w:adjustRightInd/>
        <w:spacing w:after="160" w:line="360" w:lineRule="auto"/>
        <w:rPr>
          <w:rStyle w:val="Pogrubienie"/>
          <w:rFonts w:ascii="Times" w:hAnsi="Times" w:cs="Times"/>
          <w:sz w:val="24"/>
          <w:szCs w:val="24"/>
        </w:rPr>
      </w:pPr>
      <w:r w:rsidRPr="00613198">
        <w:rPr>
          <w:rStyle w:val="Pogrubienie"/>
          <w:rFonts w:ascii="Times" w:hAnsi="Times" w:cs="Times"/>
          <w:sz w:val="24"/>
          <w:szCs w:val="24"/>
        </w:rPr>
        <w:t>dodanie ust. 7a -7</w:t>
      </w:r>
      <w:r w:rsidR="00783D03">
        <w:rPr>
          <w:rStyle w:val="Pogrubienie"/>
          <w:rFonts w:ascii="Times" w:hAnsi="Times" w:cs="Times"/>
          <w:sz w:val="24"/>
          <w:szCs w:val="24"/>
        </w:rPr>
        <w:t>n</w:t>
      </w:r>
      <w:r w:rsidRPr="00613198">
        <w:rPr>
          <w:rStyle w:val="Pogrubienie"/>
          <w:rFonts w:ascii="Times" w:hAnsi="Times" w:cs="Times"/>
          <w:sz w:val="24"/>
          <w:szCs w:val="24"/>
        </w:rPr>
        <w:t xml:space="preserve"> do art. 9c </w:t>
      </w:r>
    </w:p>
    <w:p w14:paraId="4D2053D5" w14:textId="77777777" w:rsidR="00823825" w:rsidRPr="00613198" w:rsidRDefault="00823825" w:rsidP="00C04055">
      <w:pPr>
        <w:spacing w:after="120" w:line="360" w:lineRule="auto"/>
        <w:jc w:val="both"/>
        <w:rPr>
          <w:rFonts w:ascii="Times" w:hAnsi="Times" w:cs="Times"/>
          <w:sz w:val="24"/>
          <w:szCs w:val="24"/>
        </w:rPr>
      </w:pPr>
      <w:r w:rsidRPr="00613198">
        <w:rPr>
          <w:rStyle w:val="Pogrubienie"/>
          <w:rFonts w:ascii="Times" w:hAnsi="Times" w:cs="Times"/>
          <w:b w:val="0"/>
          <w:bCs w:val="0"/>
          <w:sz w:val="24"/>
          <w:szCs w:val="24"/>
        </w:rPr>
        <w:t xml:space="preserve">Art. 9c ust. 7a i 7b wprowadzają wprost ustawowe uprawnianie dla OSP i OSD zmniejszenia  wytwarzanej mocy przez wszystkie jednostki wytwórcze wykorzystujące energię wiatru lub słońca, jak również do ich wyłączenia </w:t>
      </w:r>
      <w:r w:rsidRPr="00613198">
        <w:rPr>
          <w:rFonts w:ascii="Times" w:hAnsi="Times" w:cs="Times"/>
          <w:color w:val="000000"/>
          <w:spacing w:val="-2"/>
          <w:sz w:val="24"/>
          <w:szCs w:val="24"/>
        </w:rPr>
        <w:t xml:space="preserve">w celu zapewnienia zrównoważenia dostaw energii elektrycznej z zapotrzebowaniem na tę energię oraz bezpieczeństwa pracy sieci elektroenergetycznej. Z tytułu ograniczenia w wytwarzaniu przyznaje się wytwórcy rekompensatę finansową. </w:t>
      </w:r>
      <w:r w:rsidRPr="00613198">
        <w:rPr>
          <w:rStyle w:val="Pogrubienie"/>
          <w:rFonts w:ascii="Times" w:hAnsi="Times" w:cs="Times"/>
          <w:b w:val="0"/>
          <w:bCs w:val="0"/>
          <w:sz w:val="24"/>
          <w:szCs w:val="24"/>
        </w:rPr>
        <w:t xml:space="preserve">Rozwiązanie to wynika z aktualnie obowiązujących przepisów prawa Unii Europejskiej i służy powiązaniu z krajowym porządkiem prawnym norm wynikających z rozporządzenia 2019/943, a konkretnie art. 13. Zgodnie z art. 13 ust. 2 i 3 rozporządzenia 2019/943 </w:t>
      </w:r>
      <w:proofErr w:type="spellStart"/>
      <w:r w:rsidRPr="00613198">
        <w:rPr>
          <w:rStyle w:val="Pogrubienie"/>
          <w:rFonts w:ascii="Times" w:hAnsi="Times" w:cs="Times"/>
          <w:b w:val="0"/>
          <w:bCs w:val="0"/>
          <w:sz w:val="24"/>
          <w:szCs w:val="24"/>
        </w:rPr>
        <w:t>redysponowanie</w:t>
      </w:r>
      <w:proofErr w:type="spellEnd"/>
      <w:r w:rsidRPr="00613198">
        <w:rPr>
          <w:rStyle w:val="Pogrubienie"/>
          <w:rFonts w:ascii="Times" w:hAnsi="Times" w:cs="Times"/>
          <w:b w:val="0"/>
          <w:bCs w:val="0"/>
          <w:sz w:val="24"/>
          <w:szCs w:val="24"/>
        </w:rPr>
        <w:t xml:space="preserve"> powinno w pierwszej kolejności odbywać się na zasadach rynkowych, tzn. w oparciu o oferty składane przez wytwórców energii. Takie rozwiązanie zostało uregulowane w Warunkach Dotyczących Bilansowania opracowanych na podstawie art. 18 Kodeksu Sieci EBGL i zatwierdzonych przez Prezesa URE. </w:t>
      </w:r>
    </w:p>
    <w:p w14:paraId="6C3CDF8D" w14:textId="77777777" w:rsidR="00823825" w:rsidRPr="00613198" w:rsidRDefault="00823825" w:rsidP="00C04055">
      <w:pPr>
        <w:spacing w:after="120" w:line="360" w:lineRule="auto"/>
        <w:jc w:val="both"/>
        <w:rPr>
          <w:rFonts w:ascii="Times" w:hAnsi="Times" w:cs="Times"/>
          <w:sz w:val="24"/>
          <w:szCs w:val="24"/>
        </w:rPr>
      </w:pPr>
      <w:r w:rsidRPr="00613198">
        <w:rPr>
          <w:rFonts w:ascii="Times" w:hAnsi="Times" w:cs="Times"/>
          <w:sz w:val="24"/>
          <w:szCs w:val="24"/>
        </w:rPr>
        <w:t>Co więcej, z uwagi na charakterystykę instalacji fotowoltaicznych oraz farm wiatrowych , które odznaczają się niestabilnością, ich wykorzystanie na potrzeby redukcji nierynkowej, w sytuacjach w których zasoby pozyskiwane w mechanizmach rynkowych okazałyby się niewystarczające albo wręcz w sytuacjach gdy brak innych instrumentów, należy uznać za najbardziej efektywne z punktu widzenia bezpieczeństwa systemu.</w:t>
      </w:r>
    </w:p>
    <w:p w14:paraId="765927DE" w14:textId="64D8F0F4" w:rsidR="00823825" w:rsidRPr="00613198" w:rsidRDefault="00823825" w:rsidP="00C04055">
      <w:pPr>
        <w:spacing w:after="120" w:line="360" w:lineRule="auto"/>
        <w:jc w:val="both"/>
        <w:rPr>
          <w:rFonts w:ascii="Times" w:hAnsi="Times" w:cs="Times"/>
          <w:sz w:val="24"/>
          <w:szCs w:val="24"/>
        </w:rPr>
      </w:pPr>
      <w:r w:rsidRPr="00613198">
        <w:rPr>
          <w:rFonts w:ascii="Times" w:hAnsi="Times" w:cs="Times"/>
          <w:sz w:val="24"/>
          <w:szCs w:val="24"/>
        </w:rPr>
        <w:t xml:space="preserve">Wskazana powyżej niestabilność, wymaga większej koordynacji ze strony OSP czy OSD niż w przypadku innych źródeł wytwórczych, tj. OSP i OSD powinny mieć zagwarantowane możliwości ograniczenia pracy instalacji fotowoltaicznych i farm wiatrowych, w sytuacjach gdy z powodu warunków atmosferycznych mogą one prowadzić do destabilizacji pracy sieci, a w przypadkach szczególnych, całego KSE i w konsekwencji zagrażać bezpieczeństwu dostaw </w:t>
      </w:r>
      <w:r w:rsidRPr="00613198">
        <w:rPr>
          <w:rFonts w:ascii="Times" w:hAnsi="Times" w:cs="Times"/>
          <w:sz w:val="24"/>
          <w:szCs w:val="24"/>
        </w:rPr>
        <w:lastRenderedPageBreak/>
        <w:t xml:space="preserve">energii elektrycznej. Wprowadzenie instrumentu pozwalającego na zarządzanie nadpodażą energii pochodzącej z farm wiatrowych oraz instalacji fotowoltaicznych, w okresach wietrznych lub słonecznych występujących wraz z niskim zapotrzebowaniem na energię,  pozwoli OSP na obniżenie ryzyka wystąpienia zagrożenia pracy systemu elektroenergetycznego, a także pozwoli na zwiększanie wolumenu mocy zainstalowanej w farmach wiatrowych oraz </w:t>
      </w:r>
      <w:r w:rsidR="00113DFC" w:rsidRPr="00613198">
        <w:rPr>
          <w:rFonts w:ascii="Times" w:hAnsi="Times" w:cs="Times"/>
          <w:sz w:val="24"/>
          <w:szCs w:val="24"/>
        </w:rPr>
        <w:t>instalacj</w:t>
      </w:r>
      <w:r w:rsidR="00113DFC">
        <w:rPr>
          <w:rFonts w:ascii="Times" w:hAnsi="Times" w:cs="Times"/>
          <w:sz w:val="24"/>
          <w:szCs w:val="24"/>
        </w:rPr>
        <w:t xml:space="preserve">ach </w:t>
      </w:r>
      <w:r w:rsidRPr="00613198">
        <w:rPr>
          <w:rFonts w:ascii="Times" w:hAnsi="Times" w:cs="Times"/>
          <w:sz w:val="24"/>
          <w:szCs w:val="24"/>
        </w:rPr>
        <w:t>fotowoltaicznych.</w:t>
      </w:r>
    </w:p>
    <w:p w14:paraId="30B38660" w14:textId="5632D6EA" w:rsidR="00823825" w:rsidRPr="00613198" w:rsidRDefault="00823825" w:rsidP="00B36147">
      <w:pPr>
        <w:spacing w:after="120" w:line="360" w:lineRule="auto"/>
        <w:jc w:val="both"/>
        <w:rPr>
          <w:rFonts w:ascii="Times" w:hAnsi="Times" w:cs="Times"/>
          <w:sz w:val="24"/>
          <w:szCs w:val="24"/>
        </w:rPr>
      </w:pPr>
      <w:r w:rsidRPr="00613198">
        <w:rPr>
          <w:rFonts w:ascii="Times" w:hAnsi="Times" w:cs="Times"/>
          <w:sz w:val="24"/>
          <w:szCs w:val="24"/>
        </w:rPr>
        <w:t>Art. 9c ust. 7</w:t>
      </w:r>
      <w:r w:rsidR="00783D03">
        <w:rPr>
          <w:rFonts w:ascii="Times" w:hAnsi="Times" w:cs="Times"/>
          <w:sz w:val="24"/>
          <w:szCs w:val="24"/>
        </w:rPr>
        <w:t>d</w:t>
      </w:r>
      <w:r w:rsidRPr="00613198">
        <w:rPr>
          <w:rFonts w:ascii="Times" w:hAnsi="Times" w:cs="Times"/>
          <w:sz w:val="24"/>
          <w:szCs w:val="24"/>
        </w:rPr>
        <w:t xml:space="preserve"> – przesądza o kryterium, jakim powinien kierować się OSP wydając polecenie </w:t>
      </w:r>
      <w:r w:rsidRPr="00613198">
        <w:rPr>
          <w:rStyle w:val="Pogrubienie"/>
          <w:rFonts w:ascii="Times" w:hAnsi="Times" w:cs="Times"/>
          <w:b w:val="0"/>
          <w:bCs w:val="0"/>
          <w:sz w:val="24"/>
          <w:szCs w:val="24"/>
        </w:rPr>
        <w:t>wyłączenia jednostki wytwórczej lub zmniejszenia mocy wytwarzanej przez tę jednostkę wytwórczą</w:t>
      </w:r>
      <w:r w:rsidRPr="00613198">
        <w:rPr>
          <w:rFonts w:ascii="Times" w:hAnsi="Times" w:cs="Times"/>
          <w:sz w:val="24"/>
          <w:szCs w:val="24"/>
        </w:rPr>
        <w:t xml:space="preserve"> w celu równoważenia dostaw energii elektrycznej z zapotrzebowaniem na tę energię, tj. minimalizację kosztu zmniejszenia wytwarzania mocy.</w:t>
      </w:r>
    </w:p>
    <w:p w14:paraId="7236CCD1" w14:textId="7AFC7EB0" w:rsidR="00823825" w:rsidRPr="00613198" w:rsidRDefault="00823825" w:rsidP="00B36147">
      <w:pPr>
        <w:spacing w:after="120" w:line="360" w:lineRule="auto"/>
        <w:jc w:val="both"/>
        <w:rPr>
          <w:rFonts w:ascii="Times" w:hAnsi="Times" w:cs="Times"/>
          <w:sz w:val="24"/>
          <w:szCs w:val="24"/>
        </w:rPr>
      </w:pPr>
      <w:r w:rsidRPr="00613198">
        <w:rPr>
          <w:rFonts w:ascii="Times" w:hAnsi="Times" w:cs="Times"/>
          <w:sz w:val="24"/>
          <w:szCs w:val="24"/>
        </w:rPr>
        <w:t>Art. 9c ust. 7</w:t>
      </w:r>
      <w:r w:rsidR="00783D03">
        <w:rPr>
          <w:rFonts w:ascii="Times" w:hAnsi="Times" w:cs="Times"/>
          <w:sz w:val="24"/>
          <w:szCs w:val="24"/>
        </w:rPr>
        <w:t>e</w:t>
      </w:r>
      <w:r w:rsidRPr="00613198">
        <w:rPr>
          <w:rFonts w:ascii="Times" w:hAnsi="Times" w:cs="Times"/>
          <w:sz w:val="24"/>
          <w:szCs w:val="24"/>
        </w:rPr>
        <w:t xml:space="preserve"> – przesądza o kryterium, jakim powinien kierować się operator systemu elektroenergetycznego wydając polecenie </w:t>
      </w:r>
      <w:r w:rsidRPr="00613198">
        <w:rPr>
          <w:rStyle w:val="Pogrubienie"/>
          <w:rFonts w:ascii="Times" w:hAnsi="Times" w:cs="Times"/>
          <w:b w:val="0"/>
          <w:bCs w:val="0"/>
          <w:sz w:val="24"/>
          <w:szCs w:val="24"/>
        </w:rPr>
        <w:t>wyłączenia jednostki wytwórczej lub zmniejszenia mocy wytwarzanej przez tę jednostkę wytwórczą</w:t>
      </w:r>
      <w:r w:rsidRPr="00613198">
        <w:rPr>
          <w:rFonts w:ascii="Times" w:hAnsi="Times" w:cs="Times"/>
          <w:sz w:val="24"/>
          <w:szCs w:val="24"/>
        </w:rPr>
        <w:t xml:space="preserve"> w celu zapewnienia bezpieczeństwa pracy sieci elektroenergetycznej tj. w pierwszej kolejności uwzględniane powinny być te jednostki wytwórcze, które w </w:t>
      </w:r>
      <w:r w:rsidRPr="00613198">
        <w:rPr>
          <w:rFonts w:ascii="Times" w:hAnsi="Times" w:cs="Times"/>
          <w:bCs/>
          <w:sz w:val="24"/>
          <w:szCs w:val="24"/>
        </w:rPr>
        <w:t>największym stopniu przyczynią się do spełnienia tego celu.</w:t>
      </w:r>
    </w:p>
    <w:p w14:paraId="3B5C53C1" w14:textId="496121CB" w:rsidR="00823825" w:rsidRPr="00613198" w:rsidRDefault="00823825" w:rsidP="00B36147">
      <w:pPr>
        <w:spacing w:after="120" w:line="360" w:lineRule="auto"/>
        <w:jc w:val="both"/>
        <w:rPr>
          <w:rFonts w:ascii="Times" w:hAnsi="Times" w:cs="Times"/>
          <w:sz w:val="24"/>
          <w:szCs w:val="24"/>
        </w:rPr>
      </w:pPr>
      <w:r w:rsidRPr="00613198">
        <w:rPr>
          <w:rFonts w:ascii="Times" w:hAnsi="Times" w:cs="Times"/>
          <w:sz w:val="24"/>
          <w:szCs w:val="24"/>
        </w:rPr>
        <w:t>Art. 9c ust. 7</w:t>
      </w:r>
      <w:r w:rsidR="00783D03">
        <w:rPr>
          <w:rFonts w:ascii="Times" w:hAnsi="Times" w:cs="Times"/>
          <w:sz w:val="24"/>
          <w:szCs w:val="24"/>
        </w:rPr>
        <w:t>f</w:t>
      </w:r>
      <w:r w:rsidRPr="00613198">
        <w:rPr>
          <w:rFonts w:ascii="Times" w:hAnsi="Times" w:cs="Times"/>
          <w:sz w:val="24"/>
          <w:szCs w:val="24"/>
        </w:rPr>
        <w:t xml:space="preserve"> – wyłącza stosowanie </w:t>
      </w:r>
      <w:proofErr w:type="spellStart"/>
      <w:r w:rsidRPr="00613198">
        <w:rPr>
          <w:rFonts w:ascii="Times" w:hAnsi="Times" w:cs="Times"/>
          <w:sz w:val="24"/>
          <w:szCs w:val="24"/>
        </w:rPr>
        <w:t>redysponowania</w:t>
      </w:r>
      <w:proofErr w:type="spellEnd"/>
      <w:r w:rsidRPr="00613198">
        <w:rPr>
          <w:rFonts w:ascii="Times" w:hAnsi="Times" w:cs="Times"/>
          <w:sz w:val="24"/>
          <w:szCs w:val="24"/>
        </w:rPr>
        <w:t xml:space="preserve"> w stosunku do jednostek wytwórczych, które nie miały obowiązku wyposażyć się w odpowiednie układy regulacji mocy czynnej zapewniające zdolność do płynnej redukcji wytwarzanej mocy czynnej. </w:t>
      </w:r>
      <w:r w:rsidR="00CE5AEC" w:rsidRPr="00613198">
        <w:rPr>
          <w:rFonts w:ascii="Times" w:hAnsi="Times" w:cs="Times"/>
          <w:sz w:val="24"/>
          <w:szCs w:val="24"/>
        </w:rPr>
        <w:t>Ma to służyć uniknięciu</w:t>
      </w:r>
      <w:r w:rsidRPr="00613198">
        <w:rPr>
          <w:rFonts w:ascii="Times" w:hAnsi="Times" w:cs="Times"/>
          <w:sz w:val="24"/>
          <w:szCs w:val="24"/>
        </w:rPr>
        <w:t xml:space="preserve"> sytuacji, w której wydane polecenie mogłoby doprowadzić do uszkodzenia jednostki wytwórczej, która nie posiada zdolności do regulacji mocy czynnej. Przepis ma za zadanie ochronę wytwórców. </w:t>
      </w:r>
    </w:p>
    <w:p w14:paraId="6005E742" w14:textId="590F56C6" w:rsidR="00823825" w:rsidRPr="00613198" w:rsidRDefault="00823825" w:rsidP="00B36147">
      <w:pPr>
        <w:spacing w:after="120" w:line="360" w:lineRule="auto"/>
        <w:jc w:val="both"/>
        <w:rPr>
          <w:rFonts w:ascii="Times" w:hAnsi="Times" w:cs="Times"/>
          <w:sz w:val="24"/>
          <w:szCs w:val="24"/>
        </w:rPr>
      </w:pPr>
      <w:r w:rsidRPr="00613198">
        <w:rPr>
          <w:rFonts w:ascii="Times" w:hAnsi="Times" w:cs="Times"/>
          <w:sz w:val="24"/>
          <w:szCs w:val="24"/>
        </w:rPr>
        <w:t>Art. 9c ust. 7</w:t>
      </w:r>
      <w:r w:rsidR="00783D03">
        <w:rPr>
          <w:rFonts w:ascii="Times" w:hAnsi="Times" w:cs="Times"/>
          <w:sz w:val="24"/>
          <w:szCs w:val="24"/>
        </w:rPr>
        <w:t>g</w:t>
      </w:r>
      <w:r w:rsidRPr="00613198">
        <w:rPr>
          <w:rFonts w:ascii="Times" w:hAnsi="Times" w:cs="Times"/>
          <w:sz w:val="24"/>
          <w:szCs w:val="24"/>
        </w:rPr>
        <w:t xml:space="preserve"> - wprowadza wyjątek od obowiązku przyznania wytwórcy rekompensaty</w:t>
      </w:r>
      <w:r w:rsidR="00CE5AEC" w:rsidRPr="00613198">
        <w:rPr>
          <w:rFonts w:ascii="Times" w:hAnsi="Times" w:cs="Times"/>
          <w:sz w:val="24"/>
          <w:szCs w:val="24"/>
        </w:rPr>
        <w:t xml:space="preserve"> finansowej</w:t>
      </w:r>
      <w:r w:rsidRPr="00613198">
        <w:rPr>
          <w:rFonts w:ascii="Times" w:hAnsi="Times" w:cs="Times"/>
          <w:sz w:val="24"/>
          <w:szCs w:val="24"/>
        </w:rPr>
        <w:t xml:space="preserve"> z tytułu ograniczenia w wytwarzaniu. Przepis pozwala na wykonanie normy wynikającej z art. 13 ust. 7 zdanie pierwsze rozporządzenia 2019/943 osadzając ją zgodnie z pojęciami stosowanymi w krajowym porządku prawnym.  </w:t>
      </w:r>
    </w:p>
    <w:p w14:paraId="5D85A824" w14:textId="0F4EDBBE" w:rsidR="00823825" w:rsidRPr="00613198" w:rsidRDefault="00823825" w:rsidP="00B36147">
      <w:pPr>
        <w:spacing w:after="120" w:line="360" w:lineRule="auto"/>
        <w:jc w:val="both"/>
        <w:rPr>
          <w:rFonts w:ascii="Times" w:hAnsi="Times" w:cs="Times"/>
          <w:sz w:val="24"/>
          <w:szCs w:val="24"/>
        </w:rPr>
      </w:pPr>
      <w:r w:rsidRPr="00613198">
        <w:rPr>
          <w:rFonts w:ascii="Times" w:hAnsi="Times" w:cs="Times"/>
          <w:sz w:val="24"/>
          <w:szCs w:val="24"/>
        </w:rPr>
        <w:t>Art. 9c ust. 7</w:t>
      </w:r>
      <w:r w:rsidR="00783D03">
        <w:rPr>
          <w:rFonts w:ascii="Times" w:hAnsi="Times" w:cs="Times"/>
          <w:sz w:val="24"/>
          <w:szCs w:val="24"/>
        </w:rPr>
        <w:t>h</w:t>
      </w:r>
      <w:r w:rsidR="00CE5AEC" w:rsidRPr="00613198">
        <w:rPr>
          <w:rFonts w:ascii="Times" w:hAnsi="Times" w:cs="Times"/>
          <w:sz w:val="24"/>
          <w:szCs w:val="24"/>
        </w:rPr>
        <w:t xml:space="preserve"> – 7</w:t>
      </w:r>
      <w:r w:rsidR="00783D03">
        <w:rPr>
          <w:rFonts w:ascii="Times" w:hAnsi="Times" w:cs="Times"/>
          <w:sz w:val="24"/>
          <w:szCs w:val="24"/>
        </w:rPr>
        <w:t>k</w:t>
      </w:r>
      <w:r w:rsidRPr="00613198">
        <w:rPr>
          <w:rFonts w:ascii="Times" w:hAnsi="Times" w:cs="Times"/>
          <w:sz w:val="24"/>
          <w:szCs w:val="24"/>
        </w:rPr>
        <w:t xml:space="preserve"> - o</w:t>
      </w:r>
      <w:r w:rsidRPr="00613198">
        <w:rPr>
          <w:rFonts w:ascii="Times" w:hAnsi="Times" w:cs="Times"/>
          <w:color w:val="000000"/>
          <w:spacing w:val="-2"/>
          <w:sz w:val="24"/>
          <w:szCs w:val="24"/>
        </w:rPr>
        <w:t>kreśla</w:t>
      </w:r>
      <w:r w:rsidR="00CE5AEC" w:rsidRPr="00613198">
        <w:rPr>
          <w:rFonts w:ascii="Times" w:hAnsi="Times" w:cs="Times"/>
          <w:color w:val="000000"/>
          <w:spacing w:val="-2"/>
          <w:sz w:val="24"/>
          <w:szCs w:val="24"/>
        </w:rPr>
        <w:t>ją</w:t>
      </w:r>
      <w:r w:rsidRPr="00613198">
        <w:rPr>
          <w:rFonts w:ascii="Times" w:hAnsi="Times" w:cs="Times"/>
          <w:color w:val="000000"/>
          <w:spacing w:val="-2"/>
          <w:sz w:val="24"/>
          <w:szCs w:val="24"/>
        </w:rPr>
        <w:t xml:space="preserve"> podmioty odpowiedzialne za obliczenie i wypłatę rekompensaty dla wytwórcy, czyniąc podmiotem zobowiązanym finansowo operatora, który wydał polecenie.  </w:t>
      </w:r>
    </w:p>
    <w:p w14:paraId="30529D3D" w14:textId="29A54F69" w:rsidR="00DA67C2" w:rsidRPr="00613198" w:rsidRDefault="00823825" w:rsidP="00B36147">
      <w:pPr>
        <w:spacing w:after="120" w:line="360" w:lineRule="auto"/>
        <w:jc w:val="both"/>
        <w:rPr>
          <w:rFonts w:ascii="Times" w:hAnsi="Times" w:cs="Times"/>
          <w:color w:val="000000"/>
          <w:spacing w:val="-2"/>
          <w:sz w:val="24"/>
          <w:szCs w:val="24"/>
        </w:rPr>
      </w:pPr>
      <w:r w:rsidRPr="00613198">
        <w:rPr>
          <w:rFonts w:ascii="Times" w:hAnsi="Times" w:cs="Times"/>
          <w:sz w:val="24"/>
          <w:szCs w:val="24"/>
        </w:rPr>
        <w:t>Art. 9c ust. 7</w:t>
      </w:r>
      <w:r w:rsidR="003D1F77">
        <w:rPr>
          <w:rFonts w:ascii="Times" w:hAnsi="Times" w:cs="Times"/>
          <w:sz w:val="24"/>
          <w:szCs w:val="24"/>
        </w:rPr>
        <w:t>k</w:t>
      </w:r>
      <w:r w:rsidRPr="00613198">
        <w:rPr>
          <w:rFonts w:ascii="Times" w:hAnsi="Times" w:cs="Times"/>
          <w:sz w:val="24"/>
          <w:szCs w:val="24"/>
        </w:rPr>
        <w:t xml:space="preserve"> - </w:t>
      </w:r>
      <w:r w:rsidRPr="00613198">
        <w:rPr>
          <w:rFonts w:ascii="Times" w:hAnsi="Times" w:cs="Times"/>
          <w:color w:val="000000"/>
          <w:spacing w:val="-2"/>
          <w:sz w:val="24"/>
          <w:szCs w:val="24"/>
        </w:rPr>
        <w:t>reguluje zasady wzajemnego przekazywania sobie przez operatorów systemów elektroenergetycznych danych niezbędnych do wydawania i wykonywania poleceń ograniczenia w wytwarzaniu.</w:t>
      </w:r>
    </w:p>
    <w:p w14:paraId="19DDACF5" w14:textId="77777777" w:rsidR="00823825" w:rsidRPr="00613198" w:rsidRDefault="00823825" w:rsidP="00B36147">
      <w:pPr>
        <w:pStyle w:val="Akapitzlist"/>
        <w:widowControl/>
        <w:numPr>
          <w:ilvl w:val="0"/>
          <w:numId w:val="8"/>
        </w:numPr>
        <w:autoSpaceDE/>
        <w:autoSpaceDN/>
        <w:adjustRightInd/>
        <w:spacing w:beforeLines="60" w:before="144" w:afterLines="60" w:after="144" w:line="360" w:lineRule="auto"/>
        <w:jc w:val="both"/>
        <w:rPr>
          <w:rStyle w:val="Pogrubienie"/>
          <w:rFonts w:ascii="Times" w:hAnsi="Times" w:cs="Times"/>
          <w:sz w:val="24"/>
          <w:szCs w:val="24"/>
        </w:rPr>
      </w:pPr>
      <w:r w:rsidRPr="00613198">
        <w:rPr>
          <w:rStyle w:val="Pogrubienie"/>
          <w:rFonts w:ascii="Times" w:hAnsi="Times" w:cs="Times"/>
          <w:sz w:val="24"/>
          <w:szCs w:val="24"/>
        </w:rPr>
        <w:t xml:space="preserve">dodanie pkt 6a do art. 9g ust. 4 </w:t>
      </w:r>
    </w:p>
    <w:p w14:paraId="6840FDDB" w14:textId="259F5E41" w:rsidR="00823825" w:rsidRPr="00613198" w:rsidRDefault="00823825" w:rsidP="00B36147">
      <w:pPr>
        <w:spacing w:after="120" w:line="360" w:lineRule="auto"/>
        <w:ind w:firstLine="360"/>
        <w:jc w:val="both"/>
        <w:rPr>
          <w:rStyle w:val="Pogrubienie"/>
          <w:rFonts w:ascii="Times" w:hAnsi="Times" w:cs="Times"/>
          <w:b w:val="0"/>
          <w:bCs w:val="0"/>
          <w:sz w:val="24"/>
          <w:szCs w:val="24"/>
        </w:rPr>
      </w:pPr>
      <w:r w:rsidRPr="00613198">
        <w:rPr>
          <w:rFonts w:ascii="Times" w:hAnsi="Times" w:cs="Times"/>
          <w:sz w:val="24"/>
          <w:szCs w:val="24"/>
        </w:rPr>
        <w:lastRenderedPageBreak/>
        <w:t xml:space="preserve">Przepis ten daje </w:t>
      </w:r>
      <w:r w:rsidRPr="00613198">
        <w:rPr>
          <w:rStyle w:val="Pogrubienie"/>
          <w:rFonts w:ascii="Times" w:hAnsi="Times" w:cs="Times"/>
          <w:b w:val="0"/>
          <w:bCs w:val="0"/>
          <w:sz w:val="24"/>
          <w:szCs w:val="24"/>
        </w:rPr>
        <w:t>podstawę OSP i OSD do ustalenia w instrukcji ruchu i eksploatacji</w:t>
      </w:r>
      <w:r w:rsidR="00CE5AEC" w:rsidRPr="00613198">
        <w:rPr>
          <w:rStyle w:val="Pogrubienie"/>
          <w:rFonts w:ascii="Times" w:hAnsi="Times" w:cs="Times"/>
          <w:b w:val="0"/>
          <w:bCs w:val="0"/>
          <w:sz w:val="24"/>
          <w:szCs w:val="24"/>
        </w:rPr>
        <w:t xml:space="preserve"> sieci</w:t>
      </w:r>
      <w:r w:rsidRPr="00613198">
        <w:rPr>
          <w:rStyle w:val="Pogrubienie"/>
          <w:rFonts w:ascii="Times" w:hAnsi="Times" w:cs="Times"/>
          <w:b w:val="0"/>
          <w:bCs w:val="0"/>
          <w:sz w:val="24"/>
          <w:szCs w:val="24"/>
        </w:rPr>
        <w:t xml:space="preserve"> zasad redukcji oraz </w:t>
      </w:r>
      <w:r w:rsidRPr="00613198">
        <w:rPr>
          <w:rFonts w:ascii="Times" w:hAnsi="Times" w:cs="Times"/>
          <w:sz w:val="24"/>
          <w:szCs w:val="24"/>
        </w:rPr>
        <w:t xml:space="preserve">zasad rozliczenia (sposobu kalkulacji) rekompensat </w:t>
      </w:r>
      <w:r w:rsidR="00CE5AEC" w:rsidRPr="00613198">
        <w:rPr>
          <w:rFonts w:ascii="Times" w:hAnsi="Times" w:cs="Times"/>
          <w:sz w:val="24"/>
          <w:szCs w:val="24"/>
        </w:rPr>
        <w:t xml:space="preserve">finansowych </w:t>
      </w:r>
      <w:r w:rsidRPr="00613198">
        <w:rPr>
          <w:rFonts w:ascii="Times" w:hAnsi="Times" w:cs="Times"/>
          <w:sz w:val="24"/>
          <w:szCs w:val="24"/>
        </w:rPr>
        <w:t xml:space="preserve">za takie ograniczanie wytwarzania, </w:t>
      </w:r>
      <w:r w:rsidRPr="00613198">
        <w:rPr>
          <w:rStyle w:val="Pogrubienie"/>
          <w:rFonts w:ascii="Times" w:hAnsi="Times" w:cs="Times"/>
          <w:b w:val="0"/>
          <w:bCs w:val="0"/>
          <w:sz w:val="24"/>
          <w:szCs w:val="24"/>
        </w:rPr>
        <w:t>zapewniając bezpieczeństwo prawne zarówno operatorowi (możliwość polecenia redukcji w celu zapewnienia bezpieczeństwa pracy sieci lub zrównoważenia wytwarzania z zapotrzebowaniem), jak i po stronie wytwórców (stosowna rekompensata za redukcję).</w:t>
      </w:r>
    </w:p>
    <w:p w14:paraId="2057A602" w14:textId="1931FA2E" w:rsidR="00823825" w:rsidRPr="00613198" w:rsidRDefault="00823825" w:rsidP="00B36147">
      <w:pPr>
        <w:pStyle w:val="Akapitzlist"/>
        <w:widowControl/>
        <w:numPr>
          <w:ilvl w:val="0"/>
          <w:numId w:val="8"/>
        </w:numPr>
        <w:autoSpaceDE/>
        <w:autoSpaceDN/>
        <w:adjustRightInd/>
        <w:spacing w:after="120" w:line="360" w:lineRule="auto"/>
        <w:jc w:val="both"/>
        <w:rPr>
          <w:rStyle w:val="Pogrubienie"/>
          <w:rFonts w:ascii="Times" w:hAnsi="Times" w:cs="Times"/>
          <w:sz w:val="24"/>
          <w:szCs w:val="24"/>
        </w:rPr>
      </w:pPr>
      <w:r w:rsidRPr="00613198">
        <w:rPr>
          <w:rFonts w:ascii="Times" w:hAnsi="Times" w:cs="Times"/>
          <w:b/>
          <w:bCs/>
          <w:sz w:val="24"/>
          <w:szCs w:val="24"/>
        </w:rPr>
        <w:t>dodanie ust. 1</w:t>
      </w:r>
      <w:r w:rsidR="001D4B97">
        <w:rPr>
          <w:rFonts w:ascii="Times" w:hAnsi="Times" w:cs="Times"/>
          <w:b/>
          <w:bCs/>
          <w:sz w:val="24"/>
          <w:szCs w:val="24"/>
        </w:rPr>
        <w:t>m</w:t>
      </w:r>
      <w:r w:rsidRPr="00613198">
        <w:rPr>
          <w:rFonts w:ascii="Times" w:hAnsi="Times" w:cs="Times"/>
          <w:b/>
          <w:bCs/>
          <w:sz w:val="24"/>
          <w:szCs w:val="24"/>
        </w:rPr>
        <w:t xml:space="preserve"> do art. </w:t>
      </w:r>
      <w:r w:rsidRPr="00613198">
        <w:rPr>
          <w:rStyle w:val="Pogrubienie"/>
          <w:rFonts w:ascii="Times" w:hAnsi="Times" w:cs="Times"/>
          <w:sz w:val="24"/>
          <w:szCs w:val="24"/>
        </w:rPr>
        <w:t>45</w:t>
      </w:r>
    </w:p>
    <w:p w14:paraId="5D886055" w14:textId="3C780E25" w:rsidR="00823825" w:rsidRPr="00613198" w:rsidRDefault="00823825" w:rsidP="00B36147">
      <w:pPr>
        <w:spacing w:after="120" w:line="360" w:lineRule="auto"/>
        <w:ind w:firstLine="360"/>
        <w:jc w:val="both"/>
        <w:rPr>
          <w:rStyle w:val="Pogrubienie"/>
          <w:rFonts w:ascii="Times" w:hAnsi="Times" w:cs="Times"/>
          <w:b w:val="0"/>
          <w:bCs w:val="0"/>
          <w:color w:val="000000"/>
          <w:spacing w:val="-2"/>
          <w:sz w:val="24"/>
          <w:szCs w:val="24"/>
        </w:rPr>
      </w:pPr>
      <w:r w:rsidRPr="00613198">
        <w:rPr>
          <w:rStyle w:val="Pogrubienie"/>
          <w:rFonts w:ascii="Times" w:hAnsi="Times" w:cs="Times"/>
          <w:b w:val="0"/>
          <w:bCs w:val="0"/>
          <w:sz w:val="24"/>
          <w:szCs w:val="24"/>
        </w:rPr>
        <w:t xml:space="preserve">Przepis </w:t>
      </w:r>
      <w:r w:rsidRPr="00613198">
        <w:rPr>
          <w:rFonts w:ascii="Times" w:hAnsi="Times" w:cs="Times"/>
          <w:color w:val="000000"/>
          <w:spacing w:val="-2"/>
          <w:sz w:val="24"/>
          <w:szCs w:val="24"/>
        </w:rPr>
        <w:t>umożliwia uwzględnienie kosztów rekompensat finansowych dla wytwórców w kalkulacji taryf za usługi przesyłania lub dystrybucji energii elektrycznej. W związku z tym, że rekompensaty finansowe są zaliczone niewątpliwie do kategorii kosztów uzasadnionych (w podlegającej ocenie regulatora wysokości) operatorom należy zapewnić w kalkulowanych taryfach odpowiedni poziom przychodów na pokrycie tych kosztów.</w:t>
      </w:r>
    </w:p>
    <w:p w14:paraId="53E49344" w14:textId="77777777" w:rsidR="00823825" w:rsidRPr="00613198" w:rsidRDefault="00823825" w:rsidP="00B36147">
      <w:pPr>
        <w:pStyle w:val="Akapitzlist"/>
        <w:widowControl/>
        <w:numPr>
          <w:ilvl w:val="0"/>
          <w:numId w:val="8"/>
        </w:numPr>
        <w:autoSpaceDE/>
        <w:autoSpaceDN/>
        <w:adjustRightInd/>
        <w:spacing w:beforeLines="60" w:before="144" w:afterLines="60" w:after="144" w:line="360" w:lineRule="auto"/>
        <w:jc w:val="both"/>
        <w:rPr>
          <w:rStyle w:val="Pogrubienie"/>
          <w:rFonts w:ascii="Times" w:hAnsi="Times" w:cs="Times"/>
          <w:sz w:val="24"/>
          <w:szCs w:val="24"/>
        </w:rPr>
      </w:pPr>
      <w:r w:rsidRPr="00613198">
        <w:rPr>
          <w:rStyle w:val="Pogrubienie"/>
          <w:rFonts w:ascii="Times" w:hAnsi="Times" w:cs="Times"/>
          <w:sz w:val="24"/>
          <w:szCs w:val="24"/>
        </w:rPr>
        <w:t xml:space="preserve">dodanie pkt 27a do art. 56 ust. 1 </w:t>
      </w:r>
    </w:p>
    <w:p w14:paraId="29EF33B0" w14:textId="291A6216" w:rsidR="00823825" w:rsidRPr="00613198" w:rsidRDefault="00823825" w:rsidP="00B36147">
      <w:pPr>
        <w:spacing w:after="120" w:line="360" w:lineRule="auto"/>
        <w:ind w:firstLine="360"/>
        <w:jc w:val="both"/>
        <w:rPr>
          <w:rFonts w:ascii="Times" w:hAnsi="Times" w:cs="Times"/>
          <w:sz w:val="24"/>
          <w:szCs w:val="24"/>
        </w:rPr>
      </w:pPr>
      <w:r w:rsidRPr="00613198">
        <w:rPr>
          <w:rFonts w:ascii="Times" w:hAnsi="Times" w:cs="Times"/>
          <w:sz w:val="24"/>
          <w:szCs w:val="24"/>
        </w:rPr>
        <w:t xml:space="preserve">Wprowadzana zmiana ma na celu równoprawne traktowanie wszystkich wytwórców. Polecenia o charakterze interwencyjnym określone w art. 9c ust. 7a </w:t>
      </w:r>
      <w:r w:rsidR="00CE5AEC" w:rsidRPr="00613198">
        <w:rPr>
          <w:rFonts w:ascii="Times" w:hAnsi="Times" w:cs="Times"/>
          <w:sz w:val="24"/>
          <w:szCs w:val="24"/>
        </w:rPr>
        <w:t>i</w:t>
      </w:r>
      <w:r w:rsidRPr="00613198">
        <w:rPr>
          <w:rFonts w:ascii="Times" w:hAnsi="Times" w:cs="Times"/>
          <w:sz w:val="24"/>
          <w:szCs w:val="24"/>
        </w:rPr>
        <w:t>. 7b są równoważne poleceniom ruchowym wydawanym na mocy art. 9j. Dla zachowania spójności regulacji powinny zatem również podlegać sankcjom, by unikać zarzutów nierównoprawnego traktowania.</w:t>
      </w:r>
    </w:p>
    <w:p w14:paraId="589EAA73" w14:textId="653DA972" w:rsidR="00823825" w:rsidRPr="00613198" w:rsidRDefault="00823825" w:rsidP="00B36147">
      <w:pPr>
        <w:pStyle w:val="Akapitzlist"/>
        <w:widowControl/>
        <w:numPr>
          <w:ilvl w:val="0"/>
          <w:numId w:val="12"/>
        </w:numPr>
        <w:autoSpaceDE/>
        <w:autoSpaceDN/>
        <w:adjustRightInd/>
        <w:spacing w:after="160" w:line="360" w:lineRule="auto"/>
        <w:rPr>
          <w:rStyle w:val="Pogrubienie"/>
          <w:rFonts w:ascii="Times" w:hAnsi="Times" w:cs="Times"/>
          <w:sz w:val="24"/>
          <w:szCs w:val="24"/>
          <w:u w:val="single"/>
        </w:rPr>
      </w:pPr>
      <w:r w:rsidRPr="00613198">
        <w:rPr>
          <w:rStyle w:val="Pogrubienie"/>
          <w:rFonts w:ascii="Times" w:hAnsi="Times" w:cs="Times"/>
          <w:sz w:val="24"/>
          <w:szCs w:val="24"/>
          <w:u w:val="single"/>
        </w:rPr>
        <w:t>zmiany w ustawie o odnawialnych źródłach energii</w:t>
      </w:r>
    </w:p>
    <w:p w14:paraId="59FDE181" w14:textId="314FEF83" w:rsidR="00823825" w:rsidRPr="00BC450C" w:rsidRDefault="00823825" w:rsidP="00BC450C">
      <w:pPr>
        <w:pStyle w:val="Akapitzlist"/>
        <w:widowControl/>
        <w:numPr>
          <w:ilvl w:val="0"/>
          <w:numId w:val="9"/>
        </w:numPr>
        <w:autoSpaceDE/>
        <w:autoSpaceDN/>
        <w:adjustRightInd/>
        <w:spacing w:after="160" w:line="360" w:lineRule="auto"/>
        <w:rPr>
          <w:rFonts w:ascii="Times" w:hAnsi="Times" w:cs="Times"/>
          <w:b/>
          <w:bCs/>
          <w:sz w:val="24"/>
          <w:szCs w:val="24"/>
        </w:rPr>
      </w:pPr>
      <w:r w:rsidRPr="00BC450C">
        <w:rPr>
          <w:rFonts w:ascii="Times" w:hAnsi="Times" w:cs="Times"/>
          <w:b/>
          <w:bCs/>
          <w:sz w:val="24"/>
          <w:szCs w:val="24"/>
        </w:rPr>
        <w:t xml:space="preserve">zmiana w art. 83 ust. 3c </w:t>
      </w:r>
    </w:p>
    <w:p w14:paraId="3783177F" w14:textId="7431BBEF" w:rsidR="00823825" w:rsidRPr="00613198" w:rsidRDefault="00823825" w:rsidP="00B36147">
      <w:pPr>
        <w:spacing w:line="360" w:lineRule="auto"/>
        <w:ind w:firstLine="360"/>
        <w:jc w:val="both"/>
        <w:rPr>
          <w:rFonts w:ascii="Times" w:hAnsi="Times" w:cs="Times"/>
          <w:sz w:val="24"/>
          <w:szCs w:val="24"/>
        </w:rPr>
      </w:pPr>
      <w:r w:rsidRPr="00613198">
        <w:rPr>
          <w:rFonts w:ascii="Times" w:hAnsi="Times" w:cs="Times"/>
          <w:bCs/>
          <w:sz w:val="24"/>
          <w:szCs w:val="24"/>
        </w:rPr>
        <w:t xml:space="preserve">Przepis </w:t>
      </w:r>
      <w:r w:rsidRPr="00613198">
        <w:rPr>
          <w:rFonts w:ascii="Times" w:hAnsi="Times" w:cs="Times"/>
          <w:color w:val="000000"/>
          <w:spacing w:val="-2"/>
          <w:sz w:val="24"/>
          <w:szCs w:val="24"/>
        </w:rPr>
        <w:t xml:space="preserve">określa zasady wyłączenia odpowiedzialności wytwórcy w przypadku niedochowania zobowiązań wynikających z aukcyjnego systemu wsparcia, na skutek podporządkowania się poleceniu operatora. Jednocześnie zostało jednoznacznie przesądzone, że zobowiązanie do sprzedaży po raz pierwszy w ramach systemu aukcyjnego energii wytworzonej w instalacji OZE, niezrealizowane w terminie z powodu </w:t>
      </w:r>
      <w:proofErr w:type="spellStart"/>
      <w:r w:rsidRPr="00613198">
        <w:rPr>
          <w:rFonts w:ascii="Times" w:hAnsi="Times" w:cs="Times"/>
          <w:color w:val="000000"/>
          <w:spacing w:val="-2"/>
          <w:sz w:val="24"/>
          <w:szCs w:val="24"/>
        </w:rPr>
        <w:t>redysponowania</w:t>
      </w:r>
      <w:proofErr w:type="spellEnd"/>
      <w:r w:rsidRPr="00613198">
        <w:rPr>
          <w:rFonts w:ascii="Times" w:hAnsi="Times" w:cs="Times"/>
          <w:color w:val="000000"/>
          <w:spacing w:val="-2"/>
          <w:sz w:val="24"/>
          <w:szCs w:val="24"/>
        </w:rPr>
        <w:t xml:space="preserve">, </w:t>
      </w:r>
      <w:r w:rsidRPr="00613198">
        <w:rPr>
          <w:rFonts w:ascii="Times" w:hAnsi="Times" w:cs="Times"/>
          <w:sz w:val="24"/>
          <w:szCs w:val="24"/>
        </w:rPr>
        <w:t>uznaje się za zrealizowane wyłącznie w przypadku, gdy wytwórca rozpocznie sprzedaż po raz pierwszy w ramach systemu aukcyjnego energii wytworzonej w instalacji odnawialnego źródła energii najpóźniej w pierwszym dniu po odwołaniu polecenia.</w:t>
      </w:r>
    </w:p>
    <w:p w14:paraId="3B293C87" w14:textId="3303A6C7" w:rsidR="00823825" w:rsidRPr="00613198" w:rsidRDefault="00823825" w:rsidP="00B36147">
      <w:pPr>
        <w:pStyle w:val="Akapitzlist"/>
        <w:widowControl/>
        <w:numPr>
          <w:ilvl w:val="0"/>
          <w:numId w:val="9"/>
        </w:numPr>
        <w:autoSpaceDE/>
        <w:autoSpaceDN/>
        <w:adjustRightInd/>
        <w:spacing w:after="160" w:line="360" w:lineRule="auto"/>
        <w:rPr>
          <w:rFonts w:ascii="Times" w:hAnsi="Times" w:cs="Times"/>
          <w:b/>
          <w:bCs/>
          <w:sz w:val="24"/>
          <w:szCs w:val="24"/>
        </w:rPr>
      </w:pPr>
      <w:r w:rsidRPr="00613198">
        <w:rPr>
          <w:rFonts w:ascii="Times" w:hAnsi="Times" w:cs="Times"/>
          <w:b/>
          <w:bCs/>
          <w:sz w:val="24"/>
          <w:szCs w:val="24"/>
        </w:rPr>
        <w:t>dodanie ust. 14-</w:t>
      </w:r>
      <w:r w:rsidR="002E3E47" w:rsidRPr="00613198">
        <w:rPr>
          <w:rFonts w:ascii="Times" w:hAnsi="Times" w:cs="Times"/>
          <w:b/>
          <w:bCs/>
          <w:sz w:val="24"/>
          <w:szCs w:val="24"/>
        </w:rPr>
        <w:t xml:space="preserve">19 </w:t>
      </w:r>
      <w:r w:rsidRPr="00613198">
        <w:rPr>
          <w:rFonts w:ascii="Times" w:hAnsi="Times" w:cs="Times"/>
          <w:b/>
          <w:bCs/>
          <w:sz w:val="24"/>
          <w:szCs w:val="24"/>
        </w:rPr>
        <w:t>do art. 93</w:t>
      </w:r>
    </w:p>
    <w:p w14:paraId="3803D545" w14:textId="77777777" w:rsidR="00823825" w:rsidRPr="00613198" w:rsidRDefault="00823825" w:rsidP="00B36147">
      <w:pPr>
        <w:spacing w:after="120" w:line="360" w:lineRule="auto"/>
        <w:ind w:firstLine="360"/>
        <w:jc w:val="both"/>
        <w:rPr>
          <w:rFonts w:ascii="Times" w:hAnsi="Times" w:cs="Times"/>
          <w:color w:val="000000"/>
          <w:spacing w:val="-2"/>
          <w:sz w:val="24"/>
          <w:szCs w:val="24"/>
        </w:rPr>
      </w:pPr>
      <w:r w:rsidRPr="00613198">
        <w:rPr>
          <w:rFonts w:ascii="Times" w:hAnsi="Times" w:cs="Times"/>
          <w:bCs/>
          <w:sz w:val="24"/>
          <w:szCs w:val="24"/>
        </w:rPr>
        <w:t xml:space="preserve">Przepisy regulują </w:t>
      </w:r>
      <w:r w:rsidRPr="00613198">
        <w:rPr>
          <w:rFonts w:ascii="Times" w:hAnsi="Times" w:cs="Times"/>
          <w:color w:val="000000"/>
          <w:spacing w:val="-2"/>
          <w:sz w:val="24"/>
          <w:szCs w:val="24"/>
        </w:rPr>
        <w:t xml:space="preserve">zasady i zakres przekazywania wyszczególnionych danych przez operatora rozliczeń energii odnawialnej oraz Prezesa URE do operatora systemu elektroenergetycznego na </w:t>
      </w:r>
      <w:r w:rsidRPr="00613198">
        <w:rPr>
          <w:rFonts w:ascii="Times" w:hAnsi="Times" w:cs="Times"/>
          <w:color w:val="000000"/>
          <w:spacing w:val="-2"/>
          <w:sz w:val="24"/>
          <w:szCs w:val="24"/>
        </w:rPr>
        <w:lastRenderedPageBreak/>
        <w:t>potrzeby wyznaczenia wartości rekompensaty finansowej.</w:t>
      </w:r>
    </w:p>
    <w:p w14:paraId="061983D3" w14:textId="77777777" w:rsidR="00823825" w:rsidRPr="00613198" w:rsidRDefault="00823825" w:rsidP="00B36147">
      <w:pPr>
        <w:pStyle w:val="Akapitzlist"/>
        <w:widowControl/>
        <w:numPr>
          <w:ilvl w:val="0"/>
          <w:numId w:val="9"/>
        </w:numPr>
        <w:autoSpaceDE/>
        <w:autoSpaceDN/>
        <w:adjustRightInd/>
        <w:spacing w:after="120" w:line="360" w:lineRule="auto"/>
        <w:jc w:val="both"/>
        <w:rPr>
          <w:rFonts w:ascii="Times" w:hAnsi="Times" w:cs="Times"/>
          <w:b/>
          <w:bCs/>
          <w:color w:val="000000"/>
          <w:spacing w:val="-2"/>
          <w:sz w:val="24"/>
          <w:szCs w:val="24"/>
        </w:rPr>
      </w:pPr>
      <w:r w:rsidRPr="00613198">
        <w:rPr>
          <w:rFonts w:ascii="Times" w:hAnsi="Times" w:cs="Times"/>
          <w:b/>
          <w:bCs/>
          <w:color w:val="000000"/>
          <w:spacing w:val="-2"/>
          <w:sz w:val="24"/>
          <w:szCs w:val="24"/>
        </w:rPr>
        <w:t>zmiana pkt 15 w art. 168</w:t>
      </w:r>
    </w:p>
    <w:p w14:paraId="0CA4380A" w14:textId="699172B4" w:rsidR="00095AFC" w:rsidRDefault="00823825" w:rsidP="00823825">
      <w:pPr>
        <w:spacing w:beforeLines="60" w:before="144" w:afterLines="60" w:after="144" w:line="360" w:lineRule="auto"/>
        <w:jc w:val="both"/>
        <w:rPr>
          <w:rFonts w:ascii="Times" w:hAnsi="Times" w:cs="Times"/>
          <w:sz w:val="24"/>
          <w:szCs w:val="24"/>
        </w:rPr>
      </w:pPr>
      <w:r w:rsidRPr="00613198">
        <w:rPr>
          <w:rFonts w:ascii="Times" w:hAnsi="Times" w:cs="Times"/>
          <w:sz w:val="24"/>
          <w:szCs w:val="24"/>
        </w:rPr>
        <w:t>Przepis wyklucza karanie właściciela instalacji OZE w przypadku</w:t>
      </w:r>
      <w:r w:rsidR="00113DFC">
        <w:rPr>
          <w:rFonts w:ascii="Times" w:hAnsi="Times" w:cs="Times"/>
          <w:sz w:val="24"/>
          <w:szCs w:val="24"/>
        </w:rPr>
        <w:t>,</w:t>
      </w:r>
      <w:r w:rsidRPr="00613198">
        <w:rPr>
          <w:rFonts w:ascii="Times" w:hAnsi="Times" w:cs="Times"/>
          <w:sz w:val="24"/>
          <w:szCs w:val="24"/>
        </w:rPr>
        <w:t xml:space="preserve"> gdy nastąpiło ograniczenie wytworzenia energii albo do jej wytworzenia nie doszło w następstwie konieczności </w:t>
      </w:r>
      <w:r w:rsidRPr="00613198">
        <w:rPr>
          <w:rStyle w:val="Pogrubienie"/>
          <w:rFonts w:ascii="Times" w:hAnsi="Times" w:cs="Times"/>
          <w:b w:val="0"/>
          <w:bCs w:val="0"/>
          <w:sz w:val="24"/>
          <w:szCs w:val="24"/>
        </w:rPr>
        <w:t>równoważenia dostaw energii elektrycznej z zapotrzebowaniem na tę energię lub</w:t>
      </w:r>
      <w:r w:rsidRPr="00613198">
        <w:rPr>
          <w:rStyle w:val="Pogrubienie"/>
          <w:rFonts w:ascii="Times" w:hAnsi="Times" w:cs="Times"/>
          <w:sz w:val="24"/>
          <w:szCs w:val="24"/>
        </w:rPr>
        <w:t xml:space="preserve"> </w:t>
      </w:r>
      <w:r w:rsidRPr="00613198">
        <w:rPr>
          <w:rFonts w:ascii="Times" w:hAnsi="Times" w:cs="Times"/>
          <w:sz w:val="24"/>
          <w:szCs w:val="24"/>
        </w:rPr>
        <w:t>zapewnienia bezpieczeństwa pracy sieci elektroenergetycznej (tzn. polecenia właściwego operatora systemu elektroenergetycznego).</w:t>
      </w:r>
    </w:p>
    <w:p w14:paraId="1501496A" w14:textId="7FB60D51" w:rsidR="00D03AD3" w:rsidRPr="00613198" w:rsidRDefault="00D03AD3" w:rsidP="00B36147">
      <w:pPr>
        <w:spacing w:beforeLines="60" w:before="144" w:afterLines="60" w:after="144" w:line="360" w:lineRule="auto"/>
        <w:ind w:firstLine="708"/>
        <w:jc w:val="both"/>
        <w:rPr>
          <w:rFonts w:ascii="Times" w:hAnsi="Times" w:cs="Times"/>
          <w:b/>
          <w:bCs/>
          <w:sz w:val="24"/>
          <w:szCs w:val="24"/>
        </w:rPr>
      </w:pPr>
      <w:r w:rsidRPr="00613198">
        <w:rPr>
          <w:rFonts w:ascii="Times" w:hAnsi="Times" w:cs="Times"/>
          <w:b/>
          <w:bCs/>
          <w:sz w:val="24"/>
          <w:szCs w:val="24"/>
        </w:rPr>
        <w:t xml:space="preserve">Ad </w:t>
      </w:r>
      <w:r w:rsidR="00925345" w:rsidRPr="00613198">
        <w:rPr>
          <w:rFonts w:ascii="Times" w:hAnsi="Times" w:cs="Times"/>
          <w:b/>
          <w:bCs/>
          <w:sz w:val="24"/>
          <w:szCs w:val="24"/>
        </w:rPr>
        <w:t>1</w:t>
      </w:r>
      <w:r w:rsidR="00925345">
        <w:rPr>
          <w:rFonts w:ascii="Times" w:hAnsi="Times" w:cs="Times"/>
          <w:b/>
          <w:bCs/>
          <w:sz w:val="24"/>
          <w:szCs w:val="24"/>
        </w:rPr>
        <w:t>3</w:t>
      </w:r>
      <w:r w:rsidRPr="00613198">
        <w:rPr>
          <w:rFonts w:ascii="Times" w:hAnsi="Times" w:cs="Times"/>
          <w:b/>
          <w:bCs/>
          <w:sz w:val="24"/>
          <w:szCs w:val="24"/>
        </w:rPr>
        <w:t>. Uprawnienie Prezesa URE</w:t>
      </w:r>
      <w:r w:rsidR="004B0373">
        <w:rPr>
          <w:rFonts w:ascii="Times" w:hAnsi="Times" w:cs="Times"/>
          <w:b/>
          <w:bCs/>
          <w:sz w:val="24"/>
          <w:szCs w:val="24"/>
        </w:rPr>
        <w:t xml:space="preserve"> do ingerowania</w:t>
      </w:r>
      <w:r w:rsidRPr="00613198">
        <w:rPr>
          <w:rFonts w:ascii="Times" w:hAnsi="Times" w:cs="Times"/>
          <w:b/>
          <w:bCs/>
          <w:sz w:val="24"/>
          <w:szCs w:val="24"/>
        </w:rPr>
        <w:t xml:space="preserve"> w treść umowy o świadczenie usług przesyłania lub dystrybucji paliw gazowych lub energii elektrycznej </w:t>
      </w:r>
    </w:p>
    <w:p w14:paraId="6C180FAD" w14:textId="182E770E" w:rsidR="00D03AD3" w:rsidRPr="00613198" w:rsidRDefault="00D03AD3" w:rsidP="00B36147">
      <w:pPr>
        <w:spacing w:line="360" w:lineRule="auto"/>
        <w:ind w:firstLine="708"/>
        <w:jc w:val="both"/>
        <w:rPr>
          <w:rFonts w:ascii="Times" w:hAnsi="Times" w:cs="Times"/>
          <w:sz w:val="24"/>
          <w:szCs w:val="24"/>
        </w:rPr>
      </w:pPr>
      <w:r w:rsidRPr="00613198">
        <w:rPr>
          <w:rFonts w:ascii="Times" w:hAnsi="Times" w:cs="Times"/>
          <w:sz w:val="24"/>
          <w:szCs w:val="24"/>
        </w:rPr>
        <w:t xml:space="preserve">Pomimo wielu lat funkcjonowania przepisów ustawy – </w:t>
      </w:r>
      <w:r w:rsidR="00BF79A7" w:rsidRPr="00613198">
        <w:rPr>
          <w:rFonts w:ascii="Times" w:hAnsi="Times" w:cs="Times"/>
          <w:sz w:val="24"/>
          <w:szCs w:val="24"/>
        </w:rPr>
        <w:t>Prawo energetyczne</w:t>
      </w:r>
      <w:r w:rsidRPr="00613198">
        <w:rPr>
          <w:rFonts w:ascii="Times" w:hAnsi="Times" w:cs="Times"/>
          <w:sz w:val="24"/>
          <w:szCs w:val="24"/>
        </w:rPr>
        <w:t xml:space="preserve">, które wdrażały do polskiego systemu prawnego kolejne pakiety energetyczne UE nie zostały przełamane monopole grup energetycznych na sprzedaż energii elektrycznej do odbiorców końcowych. Kolejne dyrektywy rynkowe UE kładły i kładą coraz silniejszy nacisk na rozdzielenie działalności polegającej na dystrybucji energii elektrycznej od sprzedaży tej energii oraz na prawo odbiorcy do wyboru sprzedawcy z poszanowaniem zasady ochrony interesów odbiorców końcowych oraz równoprawnego traktowania stron umowy. W rzeczywistości jednak nie ma mowy o jednakowej pozycji stron i nienarzucaniu warunków umów przez stronę silniejszą. Sytuacja ta wprost prowadzi do hamowania rozwoju konkurencji na rynku energii elektrycznej. By powyższemu, negatywnemu zjawisku zapobiec wyposażono regulatora w odpowiednie narzędzia pozwalające mu na ingerencję w relacje ukształtowane z pokrzywdzeniem jednej ze stron. W tym celu Prezes URE z urzędu lub na wniosek strony </w:t>
      </w:r>
      <w:r w:rsidR="002E3E47" w:rsidRPr="00613198">
        <w:rPr>
          <w:rFonts w:ascii="Times" w:hAnsi="Times" w:cs="Times"/>
          <w:sz w:val="24"/>
          <w:szCs w:val="24"/>
        </w:rPr>
        <w:t xml:space="preserve">może </w:t>
      </w:r>
      <w:r w:rsidRPr="00613198">
        <w:rPr>
          <w:rFonts w:ascii="Times" w:hAnsi="Times" w:cs="Times"/>
          <w:sz w:val="24"/>
          <w:szCs w:val="24"/>
        </w:rPr>
        <w:t>zobowiązać strony umowy o świadczenie usług przesyłania lub dystrybucji paliw gazowych lub energii elektrycznej zawartej pomiędzy sprzedawcą a operatorem systemu dystrybucyjnego lub operatorem systemu przesyłowego do jej zmiany, w celu umożliwienia sprzedawcy sprzedaży paliw gazowych lub energii elektrycznej lub świadczenia usługi kompleksowej odbiorcom przyłączonym do sieci tego operatora, w przypadkach uzasadnionych koniecznością zapewnienia ochrony interesów odbiorców końcowych, równoważenia interesów stron tej umowy lub przeciwdziałania praktykom ograniczającym konkurencję, w tym umożliwienia korzystania przez odbiorców końcowych z uprawnienia zmiany umowy.</w:t>
      </w:r>
    </w:p>
    <w:p w14:paraId="721E5209" w14:textId="77777777" w:rsidR="00D03AD3" w:rsidRPr="00613198" w:rsidRDefault="00D03AD3">
      <w:pPr>
        <w:spacing w:line="360" w:lineRule="auto"/>
        <w:jc w:val="both"/>
        <w:rPr>
          <w:rFonts w:ascii="Times" w:hAnsi="Times" w:cs="Times"/>
          <w:sz w:val="24"/>
          <w:szCs w:val="24"/>
        </w:rPr>
      </w:pPr>
      <w:r w:rsidRPr="00613198">
        <w:rPr>
          <w:rFonts w:ascii="Times" w:hAnsi="Times" w:cs="Times"/>
          <w:sz w:val="24"/>
          <w:szCs w:val="24"/>
        </w:rPr>
        <w:tab/>
        <w:t xml:space="preserve">Prezes URE zatwierdzi instrukcję tylko wtedy jeżeli spełnia ona wymagania określone w ustawie, równoważy interesy użytkowników systemu oraz nie stanowi zagrożenia dla </w:t>
      </w:r>
      <w:r w:rsidRPr="00613198">
        <w:rPr>
          <w:rFonts w:ascii="Times" w:hAnsi="Times" w:cs="Times"/>
          <w:sz w:val="24"/>
          <w:szCs w:val="24"/>
        </w:rPr>
        <w:lastRenderedPageBreak/>
        <w:t xml:space="preserve">rozwoju konkurencji na rynku energii elektrycznej lub gazu ziemnego. W innym przypadku Prezes URE będzie mógł wezwać operatora systemu przesyłowego lub operatora systemu dystrybucyjnego, który przedłożył instrukcję, do jej zmiany w oznaczonym zakresie, wyznaczając mu w tym celu odpowiedni termin. W razie niewykonania wezwania w terminie, Prezes URE będzie mógł samodzielnie zmienić instrukcję w zakresie objętym wezwaniem i zatwierdzić ją w brzmieniu uwzględniającym wprowadzone przez nią zmiany. </w:t>
      </w:r>
    </w:p>
    <w:p w14:paraId="1E9F20B2" w14:textId="77777777" w:rsidR="009161DD" w:rsidRPr="00613198" w:rsidRDefault="009161DD" w:rsidP="009161DD">
      <w:pPr>
        <w:spacing w:line="360" w:lineRule="auto"/>
        <w:ind w:firstLine="360"/>
        <w:jc w:val="both"/>
        <w:rPr>
          <w:rFonts w:ascii="Times New Roman" w:hAnsi="Times New Roman" w:cs="Times New Roman"/>
          <w:sz w:val="24"/>
          <w:szCs w:val="24"/>
        </w:rPr>
      </w:pPr>
    </w:p>
    <w:p w14:paraId="488BF48C" w14:textId="4CD66AFF" w:rsidR="00D740E1" w:rsidRDefault="009161DD" w:rsidP="00B36147">
      <w:pPr>
        <w:spacing w:line="360" w:lineRule="auto"/>
        <w:ind w:firstLine="708"/>
        <w:jc w:val="both"/>
        <w:rPr>
          <w:rFonts w:ascii="Times New Roman" w:hAnsi="Times New Roman" w:cs="Times New Roman"/>
          <w:b/>
          <w:bCs/>
          <w:sz w:val="24"/>
          <w:szCs w:val="24"/>
        </w:rPr>
      </w:pPr>
      <w:r w:rsidRPr="00613198">
        <w:rPr>
          <w:rFonts w:ascii="Times New Roman" w:hAnsi="Times New Roman" w:cs="Times New Roman"/>
          <w:b/>
          <w:bCs/>
          <w:sz w:val="24"/>
          <w:szCs w:val="24"/>
        </w:rPr>
        <w:t xml:space="preserve">Ad </w:t>
      </w:r>
      <w:r w:rsidR="00925345" w:rsidRPr="00613198">
        <w:rPr>
          <w:rFonts w:ascii="Times New Roman" w:hAnsi="Times New Roman" w:cs="Times New Roman"/>
          <w:b/>
          <w:bCs/>
          <w:sz w:val="24"/>
          <w:szCs w:val="24"/>
        </w:rPr>
        <w:t>1</w:t>
      </w:r>
      <w:r w:rsidR="00A7350F">
        <w:rPr>
          <w:rFonts w:ascii="Times New Roman" w:hAnsi="Times New Roman" w:cs="Times New Roman"/>
          <w:b/>
          <w:bCs/>
          <w:sz w:val="24"/>
          <w:szCs w:val="24"/>
        </w:rPr>
        <w:t>4</w:t>
      </w:r>
      <w:r w:rsidRPr="00613198">
        <w:rPr>
          <w:rFonts w:ascii="Times New Roman" w:hAnsi="Times New Roman" w:cs="Times New Roman"/>
          <w:b/>
          <w:bCs/>
          <w:sz w:val="24"/>
          <w:szCs w:val="24"/>
        </w:rPr>
        <w:t xml:space="preserve">. </w:t>
      </w:r>
      <w:r w:rsidR="00D740E1">
        <w:rPr>
          <w:rFonts w:ascii="Times New Roman" w:hAnsi="Times New Roman" w:cs="Times New Roman"/>
          <w:b/>
          <w:bCs/>
          <w:sz w:val="24"/>
          <w:szCs w:val="24"/>
        </w:rPr>
        <w:t>Przyznanie</w:t>
      </w:r>
      <w:r w:rsidR="00D740E1" w:rsidRPr="00D740E1">
        <w:rPr>
          <w:rFonts w:ascii="Times New Roman" w:hAnsi="Times New Roman" w:cs="Times New Roman"/>
          <w:b/>
          <w:bCs/>
          <w:sz w:val="24"/>
          <w:szCs w:val="24"/>
        </w:rPr>
        <w:t xml:space="preserve"> Prezesowi URE uprawnieni</w:t>
      </w:r>
      <w:r w:rsidR="00D740E1">
        <w:rPr>
          <w:rFonts w:ascii="Times New Roman" w:hAnsi="Times New Roman" w:cs="Times New Roman"/>
          <w:b/>
          <w:bCs/>
          <w:sz w:val="24"/>
          <w:szCs w:val="24"/>
        </w:rPr>
        <w:t>a</w:t>
      </w:r>
      <w:r w:rsidR="00D740E1" w:rsidRPr="00D740E1">
        <w:rPr>
          <w:rFonts w:ascii="Times New Roman" w:hAnsi="Times New Roman" w:cs="Times New Roman"/>
          <w:b/>
          <w:bCs/>
          <w:sz w:val="24"/>
          <w:szCs w:val="24"/>
        </w:rPr>
        <w:t xml:space="preserve"> do udzielenia odstępstw od stosowania </w:t>
      </w:r>
      <w:r w:rsidR="00D740E1">
        <w:rPr>
          <w:rFonts w:ascii="Times New Roman" w:hAnsi="Times New Roman" w:cs="Times New Roman"/>
          <w:b/>
          <w:bCs/>
          <w:sz w:val="24"/>
          <w:szCs w:val="24"/>
        </w:rPr>
        <w:t>określonych</w:t>
      </w:r>
      <w:r w:rsidR="00D740E1" w:rsidRPr="00D740E1">
        <w:rPr>
          <w:rFonts w:ascii="Times New Roman" w:hAnsi="Times New Roman" w:cs="Times New Roman"/>
          <w:b/>
          <w:bCs/>
          <w:sz w:val="24"/>
          <w:szCs w:val="24"/>
        </w:rPr>
        <w:t xml:space="preserve"> przepisów</w:t>
      </w:r>
      <w:r w:rsidR="001D27CB">
        <w:rPr>
          <w:rFonts w:ascii="Times New Roman" w:hAnsi="Times New Roman" w:cs="Times New Roman"/>
          <w:b/>
          <w:bCs/>
          <w:sz w:val="24"/>
          <w:szCs w:val="24"/>
        </w:rPr>
        <w:t xml:space="preserve"> w ramach tzw. „piaskownicy regulacyjnej”.</w:t>
      </w:r>
    </w:p>
    <w:p w14:paraId="5F113402" w14:textId="459BFB88" w:rsidR="00482750" w:rsidRDefault="00482750" w:rsidP="00482750">
      <w:pPr>
        <w:spacing w:line="360" w:lineRule="auto"/>
        <w:ind w:firstLine="709"/>
        <w:jc w:val="both"/>
        <w:rPr>
          <w:rFonts w:ascii="Times New Roman" w:hAnsi="Times New Roman" w:cs="Times New Roman"/>
          <w:sz w:val="24"/>
          <w:szCs w:val="24"/>
        </w:rPr>
      </w:pPr>
      <w:r w:rsidRPr="00C75112">
        <w:rPr>
          <w:rFonts w:ascii="Times New Roman" w:hAnsi="Times New Roman" w:cs="Times New Roman"/>
          <w:sz w:val="24"/>
          <w:szCs w:val="24"/>
        </w:rPr>
        <w:t xml:space="preserve">Projektowany przepis ma na celu </w:t>
      </w:r>
      <w:r>
        <w:rPr>
          <w:rFonts w:ascii="Times New Roman" w:hAnsi="Times New Roman" w:cs="Times New Roman"/>
          <w:sz w:val="24"/>
          <w:szCs w:val="24"/>
        </w:rPr>
        <w:t>umożliwienie ubiegania się do</w:t>
      </w:r>
      <w:r w:rsidRPr="00C75112">
        <w:rPr>
          <w:rFonts w:ascii="Times New Roman" w:hAnsi="Times New Roman" w:cs="Times New Roman"/>
          <w:sz w:val="24"/>
          <w:szCs w:val="24"/>
        </w:rPr>
        <w:t xml:space="preserve"> Prezes</w:t>
      </w:r>
      <w:r>
        <w:rPr>
          <w:rFonts w:ascii="Times New Roman" w:hAnsi="Times New Roman" w:cs="Times New Roman"/>
          <w:sz w:val="24"/>
          <w:szCs w:val="24"/>
        </w:rPr>
        <w:t>a</w:t>
      </w:r>
      <w:r w:rsidRPr="00C75112">
        <w:rPr>
          <w:rFonts w:ascii="Times New Roman" w:hAnsi="Times New Roman" w:cs="Times New Roman"/>
          <w:sz w:val="24"/>
          <w:szCs w:val="24"/>
        </w:rPr>
        <w:t xml:space="preserve"> URE, </w:t>
      </w:r>
      <w:r>
        <w:rPr>
          <w:rFonts w:ascii="Times New Roman" w:hAnsi="Times New Roman" w:cs="Times New Roman"/>
          <w:sz w:val="24"/>
          <w:szCs w:val="24"/>
        </w:rPr>
        <w:t xml:space="preserve">o przyznanie, </w:t>
      </w:r>
      <w:r w:rsidRPr="00C75112">
        <w:rPr>
          <w:rFonts w:ascii="Times New Roman" w:hAnsi="Times New Roman" w:cs="Times New Roman"/>
          <w:sz w:val="24"/>
          <w:szCs w:val="24"/>
        </w:rPr>
        <w:t>w drodze decyzji administracyjnej, tymczasowych odstępstw od stosowania wskazanych w art. 24</w:t>
      </w:r>
      <w:r w:rsidR="00D07396">
        <w:rPr>
          <w:rFonts w:ascii="Times New Roman" w:hAnsi="Times New Roman" w:cs="Times New Roman"/>
          <w:sz w:val="24"/>
          <w:szCs w:val="24"/>
        </w:rPr>
        <w:t>d</w:t>
      </w:r>
      <w:r w:rsidRPr="00C75112">
        <w:rPr>
          <w:rFonts w:ascii="Times New Roman" w:hAnsi="Times New Roman" w:cs="Times New Roman"/>
          <w:sz w:val="24"/>
          <w:szCs w:val="24"/>
        </w:rPr>
        <w:t xml:space="preserve"> ust. 2 obowiązków,</w:t>
      </w:r>
      <w:r>
        <w:rPr>
          <w:rFonts w:ascii="Times New Roman" w:hAnsi="Times New Roman" w:cs="Times New Roman"/>
          <w:sz w:val="24"/>
          <w:szCs w:val="24"/>
        </w:rPr>
        <w:t xml:space="preserve"> </w:t>
      </w:r>
      <w:r w:rsidRPr="00C75112">
        <w:rPr>
          <w:rFonts w:ascii="Times New Roman" w:hAnsi="Times New Roman" w:cs="Times New Roman"/>
          <w:sz w:val="24"/>
          <w:szCs w:val="24"/>
        </w:rPr>
        <w:t>w celu realizacji projektu mającego na celu wdrożenie innowacyjnych technologii, usług, produktów, modeli współpracy użytkowników systemu, rozwiązań technologicznych lub teleinformatycznych na korzyść transformacji energetycznej, inteligentnych sieci i infrastruktur, rozwoju lokalnego bilansowania oraz wzrostu efektywności wykorzystania istniejącej infrastruktury energetycznej, w zakresie niezbędnym do jego przeprowadzenia.</w:t>
      </w:r>
    </w:p>
    <w:p w14:paraId="32051355" w14:textId="0CFCBABD" w:rsidR="00482750" w:rsidRDefault="00482750" w:rsidP="00482750">
      <w:pPr>
        <w:spacing w:line="360" w:lineRule="auto"/>
        <w:ind w:firstLine="708"/>
        <w:jc w:val="both"/>
        <w:rPr>
          <w:rFonts w:ascii="Times New Roman" w:hAnsi="Times New Roman" w:cs="Times New Roman"/>
          <w:sz w:val="24"/>
          <w:szCs w:val="24"/>
        </w:rPr>
      </w:pPr>
      <w:r w:rsidRPr="00891C14">
        <w:rPr>
          <w:rFonts w:ascii="Times New Roman" w:hAnsi="Times New Roman" w:cs="Times New Roman"/>
          <w:sz w:val="24"/>
          <w:szCs w:val="24"/>
        </w:rPr>
        <w:t xml:space="preserve">Wprowadzenie niniejszej regulacji do polskiego porządku prawnego </w:t>
      </w:r>
      <w:r>
        <w:rPr>
          <w:rFonts w:ascii="Times New Roman" w:hAnsi="Times New Roman" w:cs="Times New Roman"/>
          <w:sz w:val="24"/>
          <w:szCs w:val="24"/>
        </w:rPr>
        <w:t xml:space="preserve">ma na celu </w:t>
      </w:r>
      <w:r w:rsidRPr="00891C14">
        <w:rPr>
          <w:rFonts w:ascii="Times New Roman" w:hAnsi="Times New Roman" w:cs="Times New Roman"/>
          <w:sz w:val="24"/>
          <w:szCs w:val="24"/>
        </w:rPr>
        <w:t>przyspieszeni</w:t>
      </w:r>
      <w:r>
        <w:rPr>
          <w:rFonts w:ascii="Times New Roman" w:hAnsi="Times New Roman" w:cs="Times New Roman"/>
          <w:sz w:val="24"/>
          <w:szCs w:val="24"/>
        </w:rPr>
        <w:t>e</w:t>
      </w:r>
      <w:r w:rsidRPr="00891C14">
        <w:rPr>
          <w:rFonts w:ascii="Times New Roman" w:hAnsi="Times New Roman" w:cs="Times New Roman"/>
          <w:sz w:val="24"/>
          <w:szCs w:val="24"/>
        </w:rPr>
        <w:t xml:space="preserve"> procesu wdrożenia nowoczesnych technologii i innowacji oraz przyśpieszenia procesu transformacji energetycznej</w:t>
      </w:r>
      <w:r>
        <w:rPr>
          <w:rFonts w:ascii="Times New Roman" w:hAnsi="Times New Roman" w:cs="Times New Roman"/>
          <w:sz w:val="24"/>
          <w:szCs w:val="24"/>
        </w:rPr>
        <w:t xml:space="preserve">, dzięki działaniu w ramach tzw. piaskownic regulacyjnych – rozwiązania stosowanego na szeroką skalę w innych europejskich krajach (m.in. Francja, Niemcy, Holandia, Wielka Brytania), zmierzającego do </w:t>
      </w:r>
      <w:r w:rsidRPr="00CA540E">
        <w:rPr>
          <w:rFonts w:ascii="Times New Roman" w:hAnsi="Times New Roman" w:cs="Times New Roman"/>
          <w:sz w:val="24"/>
          <w:szCs w:val="24"/>
        </w:rPr>
        <w:t>promow</w:t>
      </w:r>
      <w:r>
        <w:rPr>
          <w:rFonts w:ascii="Times New Roman" w:hAnsi="Times New Roman" w:cs="Times New Roman"/>
          <w:sz w:val="24"/>
          <w:szCs w:val="24"/>
        </w:rPr>
        <w:t>ania</w:t>
      </w:r>
      <w:r w:rsidRPr="00CA540E">
        <w:rPr>
          <w:rFonts w:ascii="Times New Roman" w:hAnsi="Times New Roman" w:cs="Times New Roman"/>
          <w:sz w:val="24"/>
          <w:szCs w:val="24"/>
        </w:rPr>
        <w:t xml:space="preserve"> now</w:t>
      </w:r>
      <w:r>
        <w:rPr>
          <w:rFonts w:ascii="Times New Roman" w:hAnsi="Times New Roman" w:cs="Times New Roman"/>
          <w:sz w:val="24"/>
          <w:szCs w:val="24"/>
        </w:rPr>
        <w:t>ych</w:t>
      </w:r>
      <w:r w:rsidRPr="00CA540E">
        <w:rPr>
          <w:rFonts w:ascii="Times New Roman" w:hAnsi="Times New Roman" w:cs="Times New Roman"/>
          <w:sz w:val="24"/>
          <w:szCs w:val="24"/>
        </w:rPr>
        <w:t xml:space="preserve"> rozwiąz</w:t>
      </w:r>
      <w:r>
        <w:rPr>
          <w:rFonts w:ascii="Times New Roman" w:hAnsi="Times New Roman" w:cs="Times New Roman"/>
          <w:sz w:val="24"/>
          <w:szCs w:val="24"/>
        </w:rPr>
        <w:t>ań na rynkach energetycznych i</w:t>
      </w:r>
      <w:r w:rsidRPr="00CA540E">
        <w:rPr>
          <w:rFonts w:ascii="Times New Roman" w:hAnsi="Times New Roman" w:cs="Times New Roman"/>
          <w:sz w:val="24"/>
          <w:szCs w:val="24"/>
        </w:rPr>
        <w:t xml:space="preserve"> sprawdza</w:t>
      </w:r>
      <w:r>
        <w:rPr>
          <w:rFonts w:ascii="Times New Roman" w:hAnsi="Times New Roman" w:cs="Times New Roman"/>
          <w:sz w:val="24"/>
          <w:szCs w:val="24"/>
        </w:rPr>
        <w:t>nia ich skuteczności, dzięki</w:t>
      </w:r>
      <w:r w:rsidRPr="00CA540E">
        <w:rPr>
          <w:rFonts w:ascii="Times New Roman" w:hAnsi="Times New Roman" w:cs="Times New Roman"/>
          <w:sz w:val="24"/>
          <w:szCs w:val="24"/>
        </w:rPr>
        <w:t xml:space="preserve"> czasow</w:t>
      </w:r>
      <w:r>
        <w:rPr>
          <w:rFonts w:ascii="Times New Roman" w:hAnsi="Times New Roman" w:cs="Times New Roman"/>
          <w:sz w:val="24"/>
          <w:szCs w:val="24"/>
        </w:rPr>
        <w:t>emu</w:t>
      </w:r>
      <w:r w:rsidRPr="00CA540E">
        <w:rPr>
          <w:rFonts w:ascii="Times New Roman" w:hAnsi="Times New Roman" w:cs="Times New Roman"/>
          <w:sz w:val="24"/>
          <w:szCs w:val="24"/>
        </w:rPr>
        <w:t xml:space="preserve"> wyłączeniu bądź ograniczeniu stosowania wymogów prawnych i regulacyjnych</w:t>
      </w:r>
      <w:r>
        <w:rPr>
          <w:rFonts w:ascii="Times New Roman" w:hAnsi="Times New Roman" w:cs="Times New Roman"/>
          <w:sz w:val="24"/>
          <w:szCs w:val="24"/>
        </w:rPr>
        <w:t xml:space="preserve">, </w:t>
      </w:r>
      <w:r w:rsidR="00027C8C">
        <w:rPr>
          <w:rFonts w:ascii="Times New Roman" w:hAnsi="Times New Roman" w:cs="Times New Roman"/>
          <w:sz w:val="24"/>
          <w:szCs w:val="24"/>
        </w:rPr>
        <w:t xml:space="preserve">w ramach których </w:t>
      </w:r>
      <w:r>
        <w:rPr>
          <w:rFonts w:ascii="Times New Roman" w:hAnsi="Times New Roman" w:cs="Times New Roman"/>
          <w:sz w:val="24"/>
          <w:szCs w:val="24"/>
        </w:rPr>
        <w:t>określone</w:t>
      </w:r>
      <w:r w:rsidRPr="00CA540E">
        <w:rPr>
          <w:rFonts w:ascii="Times New Roman" w:hAnsi="Times New Roman" w:cs="Times New Roman"/>
          <w:sz w:val="24"/>
          <w:szCs w:val="24"/>
        </w:rPr>
        <w:t xml:space="preserve"> </w:t>
      </w:r>
      <w:r>
        <w:rPr>
          <w:rFonts w:ascii="Times New Roman" w:hAnsi="Times New Roman" w:cs="Times New Roman"/>
          <w:sz w:val="24"/>
          <w:szCs w:val="24"/>
        </w:rPr>
        <w:t>podmioty mogą</w:t>
      </w:r>
      <w:r w:rsidRPr="00CA540E">
        <w:rPr>
          <w:rFonts w:ascii="Times New Roman" w:hAnsi="Times New Roman" w:cs="Times New Roman"/>
          <w:sz w:val="24"/>
          <w:szCs w:val="24"/>
        </w:rPr>
        <w:t xml:space="preserve"> </w:t>
      </w:r>
      <w:r>
        <w:rPr>
          <w:rFonts w:ascii="Times New Roman" w:hAnsi="Times New Roman" w:cs="Times New Roman"/>
          <w:sz w:val="24"/>
          <w:szCs w:val="24"/>
        </w:rPr>
        <w:t xml:space="preserve">je </w:t>
      </w:r>
      <w:r w:rsidRPr="00CA540E">
        <w:rPr>
          <w:rFonts w:ascii="Times New Roman" w:hAnsi="Times New Roman" w:cs="Times New Roman"/>
          <w:sz w:val="24"/>
          <w:szCs w:val="24"/>
        </w:rPr>
        <w:t>zastąp</w:t>
      </w:r>
      <w:r>
        <w:rPr>
          <w:rFonts w:ascii="Times New Roman" w:hAnsi="Times New Roman" w:cs="Times New Roman"/>
          <w:sz w:val="24"/>
          <w:szCs w:val="24"/>
        </w:rPr>
        <w:t>ić</w:t>
      </w:r>
      <w:r w:rsidRPr="00CA540E">
        <w:rPr>
          <w:rFonts w:ascii="Times New Roman" w:hAnsi="Times New Roman" w:cs="Times New Roman"/>
          <w:sz w:val="24"/>
          <w:szCs w:val="24"/>
        </w:rPr>
        <w:t xml:space="preserve"> regulacjami poddanymi testowaniu.</w:t>
      </w:r>
    </w:p>
    <w:p w14:paraId="07C37F38" w14:textId="77777777" w:rsidR="00482750" w:rsidRDefault="00482750" w:rsidP="00482750">
      <w:pPr>
        <w:spacing w:line="360" w:lineRule="auto"/>
        <w:ind w:firstLine="708"/>
        <w:jc w:val="both"/>
        <w:rPr>
          <w:rFonts w:ascii="Times New Roman" w:hAnsi="Times New Roman" w:cs="Times New Roman"/>
          <w:sz w:val="24"/>
          <w:szCs w:val="24"/>
        </w:rPr>
      </w:pPr>
      <w:r w:rsidRPr="00CA540E">
        <w:rPr>
          <w:rFonts w:ascii="Times New Roman" w:hAnsi="Times New Roman" w:cs="Times New Roman"/>
          <w:sz w:val="24"/>
          <w:szCs w:val="24"/>
        </w:rPr>
        <w:t>Idea piaskownic regulacyjnych wywodzi się z sektora informatycznego, gdzie służy do testowania potencjalnie niebezpiecznych kodów bez ryzyka zainfekowania całego systemu. Następnie tego rodzaju rozwiązanie wprowadzone został</w:t>
      </w:r>
      <w:r>
        <w:rPr>
          <w:rFonts w:ascii="Times New Roman" w:hAnsi="Times New Roman" w:cs="Times New Roman"/>
          <w:sz w:val="24"/>
          <w:szCs w:val="24"/>
        </w:rPr>
        <w:t>y</w:t>
      </w:r>
      <w:r w:rsidRPr="00CA540E">
        <w:rPr>
          <w:rFonts w:ascii="Times New Roman" w:hAnsi="Times New Roman" w:cs="Times New Roman"/>
          <w:sz w:val="24"/>
          <w:szCs w:val="24"/>
        </w:rPr>
        <w:t xml:space="preserve"> przede wszystkim w sektorze bankowym. Jej budowa pozwala na bezpieczne eksperymentowanie podmiotów w ramach ich działalności, zbieranie doświadczeń</w:t>
      </w:r>
      <w:r>
        <w:rPr>
          <w:rFonts w:ascii="Times New Roman" w:hAnsi="Times New Roman" w:cs="Times New Roman"/>
          <w:sz w:val="24"/>
          <w:szCs w:val="24"/>
        </w:rPr>
        <w:t xml:space="preserve"> i</w:t>
      </w:r>
      <w:r w:rsidRPr="00CA540E">
        <w:rPr>
          <w:rFonts w:ascii="Times New Roman" w:hAnsi="Times New Roman" w:cs="Times New Roman"/>
          <w:sz w:val="24"/>
          <w:szCs w:val="24"/>
        </w:rPr>
        <w:t xml:space="preserve"> testowanie innowacyjnych rozwiązań, bez konieczności konfrontowania się z restrykcjami obowiązującymi poza piaskownicą. </w:t>
      </w:r>
    </w:p>
    <w:p w14:paraId="71F44AED" w14:textId="0C0D5891" w:rsidR="00482750" w:rsidRPr="00891C14" w:rsidRDefault="00482750" w:rsidP="00482750">
      <w:pPr>
        <w:spacing w:line="360" w:lineRule="auto"/>
        <w:ind w:firstLine="708"/>
        <w:jc w:val="both"/>
        <w:rPr>
          <w:rFonts w:ascii="Times New Roman" w:hAnsi="Times New Roman" w:cs="Times New Roman"/>
          <w:sz w:val="24"/>
          <w:szCs w:val="24"/>
        </w:rPr>
      </w:pPr>
      <w:r w:rsidRPr="00CA540E">
        <w:rPr>
          <w:rFonts w:ascii="Times New Roman" w:hAnsi="Times New Roman" w:cs="Times New Roman"/>
          <w:sz w:val="24"/>
          <w:szCs w:val="24"/>
        </w:rPr>
        <w:t xml:space="preserve">Korzyści z funkcjonowania w ramach piaskownic regulacyjnych wpływają na wszystkie trzy grupy uczestników: po pierwsze, pozwalają one podmiotom działającym w ich ramach </w:t>
      </w:r>
      <w:r>
        <w:rPr>
          <w:rFonts w:ascii="Times New Roman" w:hAnsi="Times New Roman" w:cs="Times New Roman"/>
          <w:sz w:val="24"/>
          <w:szCs w:val="24"/>
        </w:rPr>
        <w:t xml:space="preserve">na </w:t>
      </w:r>
      <w:r w:rsidRPr="00CA540E">
        <w:rPr>
          <w:rFonts w:ascii="Times New Roman" w:hAnsi="Times New Roman" w:cs="Times New Roman"/>
          <w:sz w:val="24"/>
          <w:szCs w:val="24"/>
        </w:rPr>
        <w:t xml:space="preserve">testowanie nowych technologii i modeli biznesowych, które są tylko częściowo zgodne z </w:t>
      </w:r>
      <w:r w:rsidRPr="00CA540E">
        <w:rPr>
          <w:rFonts w:ascii="Times New Roman" w:hAnsi="Times New Roman" w:cs="Times New Roman"/>
          <w:sz w:val="24"/>
          <w:szCs w:val="24"/>
        </w:rPr>
        <w:lastRenderedPageBreak/>
        <w:t>istniejącymi ramami prawnymi i regulacyjnymi. Po drugie, dzięki nim odbiorcy ich działań w środowisku testowym mają szansę zapoznać się z proponowanymi rozwiązaniami i stać się świadomym konsumentem tych produktów i usług poza piaskownicą. Jednocześnie zwiększa to ich świadomość rozwoju oraz kierunku zmian danego sektora gospodarczego. Po trzecie, pozwalają organom regulacyjnym dowiedzieć się o potrzebie wprowadzenia konkretnych innowacji. W związku z tym organy regulacyjne mają możliwość opracowania lub</w:t>
      </w:r>
      <w:r>
        <w:rPr>
          <w:rFonts w:ascii="Times New Roman" w:hAnsi="Times New Roman" w:cs="Times New Roman"/>
          <w:sz w:val="24"/>
          <w:szCs w:val="24"/>
        </w:rPr>
        <w:t xml:space="preserve"> przedłożenia podmiotom mającym inicjatywę ustawodawczą</w:t>
      </w:r>
      <w:r w:rsidRPr="00CA540E">
        <w:rPr>
          <w:rFonts w:ascii="Times New Roman" w:hAnsi="Times New Roman" w:cs="Times New Roman"/>
          <w:sz w:val="24"/>
          <w:szCs w:val="24"/>
        </w:rPr>
        <w:t xml:space="preserve"> </w:t>
      </w:r>
      <w:r>
        <w:rPr>
          <w:rFonts w:ascii="Times New Roman" w:hAnsi="Times New Roman" w:cs="Times New Roman"/>
          <w:sz w:val="24"/>
          <w:szCs w:val="24"/>
        </w:rPr>
        <w:t xml:space="preserve">propozycji w zakresie </w:t>
      </w:r>
      <w:r w:rsidRPr="00CA540E">
        <w:rPr>
          <w:rFonts w:ascii="Times New Roman" w:hAnsi="Times New Roman" w:cs="Times New Roman"/>
          <w:sz w:val="24"/>
          <w:szCs w:val="24"/>
        </w:rPr>
        <w:t>dostosowania odpowiedniego środowiska legislacyjnego oraz są w stanie szybciej i skuteczniej przewidywać konieczność wprowadzenia nowych regulacji dostosowanych do rozwoju określonego sektora w przyszłości.</w:t>
      </w:r>
      <w:r>
        <w:rPr>
          <w:rFonts w:ascii="Times New Roman" w:hAnsi="Times New Roman" w:cs="Times New Roman"/>
          <w:sz w:val="24"/>
          <w:szCs w:val="24"/>
        </w:rPr>
        <w:t xml:space="preserve"> </w:t>
      </w:r>
      <w:r w:rsidRPr="00891C14">
        <w:rPr>
          <w:rFonts w:ascii="Times New Roman" w:hAnsi="Times New Roman" w:cs="Times New Roman"/>
          <w:sz w:val="24"/>
          <w:szCs w:val="24"/>
        </w:rPr>
        <w:t xml:space="preserve">Proponowane przepisy </w:t>
      </w:r>
      <w:r>
        <w:rPr>
          <w:rFonts w:ascii="Times New Roman" w:hAnsi="Times New Roman" w:cs="Times New Roman"/>
          <w:sz w:val="24"/>
          <w:szCs w:val="24"/>
        </w:rPr>
        <w:t xml:space="preserve">mają więc na celu, w dalszej kolejności, </w:t>
      </w:r>
      <w:r w:rsidRPr="00891C14">
        <w:rPr>
          <w:rFonts w:ascii="Times New Roman" w:hAnsi="Times New Roman" w:cs="Times New Roman"/>
          <w:sz w:val="24"/>
          <w:szCs w:val="24"/>
        </w:rPr>
        <w:t>identyfikację przeszkód we wprowadzaniu innowacyjnych rozwiązań, barier wejścia na rynek energetyczny oraz obszarów niepewności regulacyjnej i odpowiednią interwencję w celu ich rozwiązania.</w:t>
      </w:r>
      <w:r>
        <w:rPr>
          <w:rFonts w:ascii="Times New Roman" w:hAnsi="Times New Roman" w:cs="Times New Roman"/>
          <w:sz w:val="24"/>
          <w:szCs w:val="24"/>
        </w:rPr>
        <w:t xml:space="preserve"> </w:t>
      </w:r>
      <w:r w:rsidRPr="00891C14">
        <w:rPr>
          <w:rFonts w:ascii="Times New Roman" w:hAnsi="Times New Roman" w:cs="Times New Roman"/>
          <w:sz w:val="24"/>
          <w:szCs w:val="24"/>
        </w:rPr>
        <w:t xml:space="preserve">Jednocześnie </w:t>
      </w:r>
      <w:r>
        <w:rPr>
          <w:rFonts w:ascii="Times New Roman" w:hAnsi="Times New Roman" w:cs="Times New Roman"/>
          <w:sz w:val="24"/>
          <w:szCs w:val="24"/>
        </w:rPr>
        <w:t>odstępstwa</w:t>
      </w:r>
      <w:r w:rsidRPr="00891C14">
        <w:rPr>
          <w:rFonts w:ascii="Times New Roman" w:hAnsi="Times New Roman" w:cs="Times New Roman"/>
          <w:sz w:val="24"/>
          <w:szCs w:val="24"/>
        </w:rPr>
        <w:t xml:space="preserve"> od stosowania określonych przepisów w celu wspierania progresywnych działań oraz zachęcania do tworzenia innowacji w ramach funkcjonowania rynku energetycznego pozwol</w:t>
      </w:r>
      <w:r>
        <w:rPr>
          <w:rFonts w:ascii="Times New Roman" w:hAnsi="Times New Roman" w:cs="Times New Roman"/>
          <w:sz w:val="24"/>
          <w:szCs w:val="24"/>
        </w:rPr>
        <w:t>ą</w:t>
      </w:r>
      <w:r w:rsidRPr="00891C14">
        <w:rPr>
          <w:rFonts w:ascii="Times New Roman" w:hAnsi="Times New Roman" w:cs="Times New Roman"/>
          <w:sz w:val="24"/>
          <w:szCs w:val="24"/>
        </w:rPr>
        <w:t xml:space="preserve"> na aktywizację podmiotów oraz skłoni</w:t>
      </w:r>
      <w:r>
        <w:rPr>
          <w:rFonts w:ascii="Times New Roman" w:hAnsi="Times New Roman" w:cs="Times New Roman"/>
          <w:sz w:val="24"/>
          <w:szCs w:val="24"/>
        </w:rPr>
        <w:t>ą</w:t>
      </w:r>
      <w:r w:rsidRPr="00891C14">
        <w:rPr>
          <w:rFonts w:ascii="Times New Roman" w:hAnsi="Times New Roman" w:cs="Times New Roman"/>
          <w:sz w:val="24"/>
          <w:szCs w:val="24"/>
        </w:rPr>
        <w:t xml:space="preserve"> do działania nowych przedsiębiorców. Takie działanie, ma na celu uczynienie polskiego rynku energetycznego bardziej atrakcyjnym.</w:t>
      </w:r>
    </w:p>
    <w:p w14:paraId="43EB6028" w14:textId="770B6314" w:rsidR="00482750" w:rsidRDefault="00482750" w:rsidP="00482750">
      <w:pPr>
        <w:spacing w:line="360" w:lineRule="auto"/>
        <w:ind w:firstLine="709"/>
        <w:jc w:val="both"/>
        <w:rPr>
          <w:rFonts w:ascii="Times New Roman" w:hAnsi="Times New Roman" w:cs="Times New Roman"/>
          <w:b/>
          <w:bCs/>
          <w:sz w:val="24"/>
          <w:szCs w:val="24"/>
        </w:rPr>
      </w:pPr>
      <w:r w:rsidRPr="00482750">
        <w:rPr>
          <w:rFonts w:ascii="Times New Roman" w:hAnsi="Times New Roman" w:cs="Times New Roman"/>
          <w:b/>
          <w:bCs/>
          <w:sz w:val="24"/>
          <w:szCs w:val="24"/>
        </w:rPr>
        <w:t>Opis rozwiązań</w:t>
      </w:r>
      <w:r>
        <w:rPr>
          <w:rFonts w:ascii="Times New Roman" w:hAnsi="Times New Roman" w:cs="Times New Roman"/>
          <w:b/>
          <w:bCs/>
          <w:sz w:val="24"/>
          <w:szCs w:val="24"/>
        </w:rPr>
        <w:t xml:space="preserve"> w art. 24</w:t>
      </w:r>
      <w:r w:rsidR="00D07396">
        <w:rPr>
          <w:rFonts w:ascii="Times New Roman" w:hAnsi="Times New Roman" w:cs="Times New Roman"/>
          <w:b/>
          <w:bCs/>
          <w:sz w:val="24"/>
          <w:szCs w:val="24"/>
        </w:rPr>
        <w:t>d</w:t>
      </w:r>
    </w:p>
    <w:p w14:paraId="37D4B453" w14:textId="0904970E" w:rsidR="00482750" w:rsidRPr="00482750" w:rsidRDefault="00482750" w:rsidP="00482750">
      <w:pPr>
        <w:spacing w:line="360" w:lineRule="auto"/>
        <w:ind w:firstLine="709"/>
        <w:jc w:val="both"/>
        <w:rPr>
          <w:rFonts w:ascii="Times New Roman" w:hAnsi="Times New Roman" w:cs="Times New Roman"/>
          <w:sz w:val="24"/>
          <w:szCs w:val="24"/>
        </w:rPr>
      </w:pPr>
      <w:r w:rsidRPr="00482750">
        <w:rPr>
          <w:rFonts w:ascii="Times New Roman" w:hAnsi="Times New Roman" w:cs="Times New Roman"/>
          <w:sz w:val="24"/>
          <w:szCs w:val="24"/>
        </w:rPr>
        <w:t>Zgodnie z art. 24</w:t>
      </w:r>
      <w:r w:rsidR="00D07396">
        <w:rPr>
          <w:rFonts w:ascii="Times New Roman" w:hAnsi="Times New Roman" w:cs="Times New Roman"/>
          <w:sz w:val="24"/>
          <w:szCs w:val="24"/>
        </w:rPr>
        <w:t>d</w:t>
      </w:r>
      <w:r w:rsidRPr="00482750">
        <w:rPr>
          <w:rFonts w:ascii="Times New Roman" w:hAnsi="Times New Roman" w:cs="Times New Roman"/>
          <w:sz w:val="24"/>
          <w:szCs w:val="24"/>
        </w:rPr>
        <w:t xml:space="preserve"> ust. 1</w:t>
      </w:r>
      <w:r>
        <w:rPr>
          <w:rFonts w:ascii="Times New Roman" w:hAnsi="Times New Roman" w:cs="Times New Roman"/>
          <w:sz w:val="24"/>
          <w:szCs w:val="24"/>
        </w:rPr>
        <w:t>,</w:t>
      </w:r>
      <w:r w:rsidRPr="00482750">
        <w:rPr>
          <w:rFonts w:ascii="Times New Roman" w:hAnsi="Times New Roman" w:cs="Times New Roman"/>
          <w:sz w:val="24"/>
          <w:szCs w:val="24"/>
        </w:rPr>
        <w:t xml:space="preserve"> Prezes URE, na uzasadniony wniosek </w:t>
      </w:r>
      <w:r w:rsidR="00FC6407" w:rsidRPr="00FC6407">
        <w:rPr>
          <w:rFonts w:ascii="Times New Roman" w:hAnsi="Times New Roman" w:cs="Times New Roman"/>
          <w:sz w:val="24"/>
          <w:szCs w:val="24"/>
        </w:rPr>
        <w:t>osoby prawnej, jednostki organizacyjnej niebędącej osobą prawną, której odrębna ustawa przyznaje zdolność prawną, przedsiębiorcy w rozumieniu art. 4 ust. 1 ustawy z dnia 6 marca 2018 r. – Prawo przedsiębiorców lub wspólnika spółki w rozumieniu art. 866 ustawy 23 kwietnia 1964 r. - Kodeks cywilny</w:t>
      </w:r>
      <w:r w:rsidRPr="00482750">
        <w:rPr>
          <w:rFonts w:ascii="Times New Roman" w:hAnsi="Times New Roman" w:cs="Times New Roman"/>
          <w:sz w:val="24"/>
          <w:szCs w:val="24"/>
        </w:rPr>
        <w:t xml:space="preserve"> może, w drodze decyzji, udzielić odstępstwa od stosowania określonych we wniosku przepisów ustawy, o których mowa w ust. 2, w celu realizacji projektu mającego na celu wdrożenie innowacyjnych technologii, usług, produktów, modeli współpracy użytkowników systemu, rozwiązań technologicznych lub teleinformatycznych na korzyść transformacji energetycznej, inteligentnych sieci i infrastruktur, rozwoju lokalnego bilansowania oraz wzrostu efektywności wykorzystania istniejącej infrastruktury energetycznej i gazowej, w zakresie niezbędnym do jego przeprowadzenia.</w:t>
      </w:r>
    </w:p>
    <w:p w14:paraId="7616AD2A" w14:textId="1023B9EC" w:rsidR="00482750" w:rsidRDefault="00482750" w:rsidP="00482750">
      <w:pPr>
        <w:spacing w:line="360" w:lineRule="auto"/>
        <w:ind w:firstLine="708"/>
        <w:jc w:val="both"/>
        <w:rPr>
          <w:rFonts w:ascii="Times New Roman" w:hAnsi="Times New Roman" w:cs="Times New Roman"/>
          <w:sz w:val="24"/>
          <w:szCs w:val="24"/>
        </w:rPr>
      </w:pPr>
      <w:r w:rsidRPr="001D27CB">
        <w:rPr>
          <w:rFonts w:ascii="Times New Roman" w:hAnsi="Times New Roman" w:cs="Times New Roman"/>
          <w:sz w:val="24"/>
          <w:szCs w:val="24"/>
        </w:rPr>
        <w:t xml:space="preserve"> </w:t>
      </w:r>
      <w:r>
        <w:rPr>
          <w:rFonts w:ascii="Times New Roman" w:hAnsi="Times New Roman" w:cs="Times New Roman"/>
          <w:sz w:val="24"/>
          <w:szCs w:val="24"/>
        </w:rPr>
        <w:t xml:space="preserve">Odstępstwo </w:t>
      </w:r>
      <w:r w:rsidRPr="001D27CB">
        <w:rPr>
          <w:rFonts w:ascii="Times New Roman" w:hAnsi="Times New Roman" w:cs="Times New Roman"/>
          <w:sz w:val="24"/>
          <w:szCs w:val="24"/>
        </w:rPr>
        <w:t xml:space="preserve">to może </w:t>
      </w:r>
      <w:r>
        <w:rPr>
          <w:rFonts w:ascii="Times New Roman" w:hAnsi="Times New Roman" w:cs="Times New Roman"/>
          <w:sz w:val="24"/>
          <w:szCs w:val="24"/>
        </w:rPr>
        <w:t xml:space="preserve">być </w:t>
      </w:r>
      <w:r w:rsidRPr="001D27CB">
        <w:rPr>
          <w:rFonts w:ascii="Times New Roman" w:hAnsi="Times New Roman" w:cs="Times New Roman"/>
          <w:sz w:val="24"/>
          <w:szCs w:val="24"/>
        </w:rPr>
        <w:t>przyznawane na maksymalny okres trzech lat, z możliwością jednokrotnego przedłużenia na okres do trzech lat, w zależności od decyzji Prezesa URE</w:t>
      </w:r>
      <w:r>
        <w:rPr>
          <w:rFonts w:ascii="Times New Roman" w:hAnsi="Times New Roman" w:cs="Times New Roman"/>
          <w:sz w:val="24"/>
          <w:szCs w:val="24"/>
        </w:rPr>
        <w:t xml:space="preserve"> i etapu rozwoju projektu (ust. </w:t>
      </w:r>
      <w:r w:rsidR="00FC6407">
        <w:rPr>
          <w:rFonts w:ascii="Times New Roman" w:hAnsi="Times New Roman" w:cs="Times New Roman"/>
          <w:sz w:val="24"/>
          <w:szCs w:val="24"/>
        </w:rPr>
        <w:t>8</w:t>
      </w:r>
      <w:r>
        <w:rPr>
          <w:rFonts w:ascii="Times New Roman" w:hAnsi="Times New Roman" w:cs="Times New Roman"/>
          <w:sz w:val="24"/>
          <w:szCs w:val="24"/>
        </w:rPr>
        <w:t>).</w:t>
      </w:r>
    </w:p>
    <w:p w14:paraId="5EFE1C5E" w14:textId="77777777" w:rsidR="00482750" w:rsidRPr="00D740E1" w:rsidRDefault="00482750" w:rsidP="00482750">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Zgodnie z ust. 3, udzielenie odstępstw możliwe jest jedynie w przypadku</w:t>
      </w:r>
      <w:r w:rsidRPr="00D740E1">
        <w:rPr>
          <w:rFonts w:ascii="Times New Roman" w:hAnsi="Times New Roman" w:cs="Times New Roman"/>
          <w:sz w:val="24"/>
          <w:szCs w:val="24"/>
        </w:rPr>
        <w:t xml:space="preserve"> spełni</w:t>
      </w:r>
      <w:r>
        <w:rPr>
          <w:rFonts w:ascii="Times New Roman" w:hAnsi="Times New Roman" w:cs="Times New Roman"/>
          <w:sz w:val="24"/>
          <w:szCs w:val="24"/>
        </w:rPr>
        <w:t>enia</w:t>
      </w:r>
      <w:r w:rsidRPr="00D740E1">
        <w:rPr>
          <w:rFonts w:ascii="Times New Roman" w:hAnsi="Times New Roman" w:cs="Times New Roman"/>
          <w:sz w:val="24"/>
          <w:szCs w:val="24"/>
        </w:rPr>
        <w:t xml:space="preserve"> łącznie następując</w:t>
      </w:r>
      <w:r>
        <w:rPr>
          <w:rFonts w:ascii="Times New Roman" w:hAnsi="Times New Roman" w:cs="Times New Roman"/>
          <w:sz w:val="24"/>
          <w:szCs w:val="24"/>
        </w:rPr>
        <w:t>ych</w:t>
      </w:r>
      <w:r w:rsidRPr="00D740E1">
        <w:rPr>
          <w:rFonts w:ascii="Times New Roman" w:hAnsi="Times New Roman" w:cs="Times New Roman"/>
          <w:sz w:val="24"/>
          <w:szCs w:val="24"/>
        </w:rPr>
        <w:t xml:space="preserve"> warunk</w:t>
      </w:r>
      <w:r>
        <w:rPr>
          <w:rFonts w:ascii="Times New Roman" w:hAnsi="Times New Roman" w:cs="Times New Roman"/>
          <w:sz w:val="24"/>
          <w:szCs w:val="24"/>
        </w:rPr>
        <w:t>ów</w:t>
      </w:r>
      <w:r w:rsidRPr="00D740E1">
        <w:rPr>
          <w:rFonts w:ascii="Times New Roman" w:hAnsi="Times New Roman" w:cs="Times New Roman"/>
          <w:sz w:val="24"/>
          <w:szCs w:val="24"/>
        </w:rPr>
        <w:t>:</w:t>
      </w:r>
    </w:p>
    <w:p w14:paraId="55932295" w14:textId="77777777" w:rsidR="00482750" w:rsidRPr="00D740E1" w:rsidRDefault="00482750" w:rsidP="00482750">
      <w:pPr>
        <w:spacing w:line="360" w:lineRule="auto"/>
        <w:ind w:firstLine="708"/>
        <w:jc w:val="both"/>
        <w:rPr>
          <w:rFonts w:ascii="Times New Roman" w:hAnsi="Times New Roman" w:cs="Times New Roman"/>
          <w:sz w:val="24"/>
          <w:szCs w:val="24"/>
        </w:rPr>
      </w:pPr>
      <w:r w:rsidRPr="00D740E1">
        <w:rPr>
          <w:rFonts w:ascii="Times New Roman" w:hAnsi="Times New Roman" w:cs="Times New Roman"/>
          <w:sz w:val="24"/>
          <w:szCs w:val="24"/>
        </w:rPr>
        <w:lastRenderedPageBreak/>
        <w:t>1) projekt przyczyni się do osiągnięcia celów polityki energetycznej państwa określonych w art. 13 ustawy Prawo energetyczne, tj. zapewnienie bezpieczeństwa energetycznego kraju, wzrostu konkurencyjności gospodarki i jej efektywności energetycznej, a także ochrony środowiska, w tym klimatu.</w:t>
      </w:r>
    </w:p>
    <w:p w14:paraId="08A27F34" w14:textId="45A0514D" w:rsidR="00482750" w:rsidRPr="00D740E1" w:rsidRDefault="00482750" w:rsidP="00482750">
      <w:pPr>
        <w:spacing w:line="360" w:lineRule="auto"/>
        <w:ind w:firstLine="708"/>
        <w:jc w:val="both"/>
        <w:rPr>
          <w:rFonts w:ascii="Times New Roman" w:hAnsi="Times New Roman" w:cs="Times New Roman"/>
          <w:sz w:val="24"/>
          <w:szCs w:val="24"/>
        </w:rPr>
      </w:pPr>
      <w:r w:rsidRPr="00D740E1">
        <w:rPr>
          <w:rFonts w:ascii="Times New Roman" w:hAnsi="Times New Roman" w:cs="Times New Roman"/>
          <w:sz w:val="24"/>
          <w:szCs w:val="24"/>
        </w:rPr>
        <w:t>2) wnioskodawca uprawdopodobni oczekiwane korzyści wynikające z realizacji projektu dla funkcjonowania systemu elektroenergetycznego, użytkowników tych systemów albo inne korzyści środowiskowe, gospodarcze lub społeczne;</w:t>
      </w:r>
    </w:p>
    <w:p w14:paraId="5CF6B5E5" w14:textId="77777777" w:rsidR="00482750" w:rsidRPr="00D740E1" w:rsidRDefault="00482750" w:rsidP="00482750">
      <w:pPr>
        <w:spacing w:line="360" w:lineRule="auto"/>
        <w:ind w:firstLine="708"/>
        <w:jc w:val="both"/>
        <w:rPr>
          <w:rFonts w:ascii="Times New Roman" w:hAnsi="Times New Roman" w:cs="Times New Roman"/>
          <w:sz w:val="24"/>
          <w:szCs w:val="24"/>
        </w:rPr>
      </w:pPr>
      <w:r w:rsidRPr="00D740E1">
        <w:rPr>
          <w:rFonts w:ascii="Times New Roman" w:hAnsi="Times New Roman" w:cs="Times New Roman"/>
          <w:sz w:val="24"/>
          <w:szCs w:val="24"/>
        </w:rPr>
        <w:t>3) wnioskodawca wykaże istniejące bariery regulacyjne, utrudniające realizację projektu.</w:t>
      </w:r>
    </w:p>
    <w:p w14:paraId="7FAD0162" w14:textId="325BC426" w:rsidR="00482750" w:rsidRDefault="00482750" w:rsidP="00482750">
      <w:pPr>
        <w:spacing w:line="360" w:lineRule="auto"/>
        <w:ind w:firstLine="708"/>
        <w:jc w:val="both"/>
        <w:rPr>
          <w:rFonts w:ascii="Times New Roman" w:hAnsi="Times New Roman" w:cs="Times New Roman"/>
          <w:sz w:val="24"/>
          <w:szCs w:val="24"/>
        </w:rPr>
      </w:pPr>
      <w:r w:rsidRPr="00D740E1">
        <w:rPr>
          <w:rFonts w:ascii="Times New Roman" w:hAnsi="Times New Roman" w:cs="Times New Roman"/>
          <w:sz w:val="24"/>
          <w:szCs w:val="24"/>
        </w:rPr>
        <w:t>Przyznanie zwolnień nie jest możliwe w sytuacji zaistnienia prawdopodobieństw</w:t>
      </w:r>
      <w:r>
        <w:rPr>
          <w:rFonts w:ascii="Times New Roman" w:hAnsi="Times New Roman" w:cs="Times New Roman"/>
          <w:sz w:val="24"/>
          <w:szCs w:val="24"/>
        </w:rPr>
        <w:t>a</w:t>
      </w:r>
      <w:r w:rsidRPr="00D740E1">
        <w:rPr>
          <w:rFonts w:ascii="Times New Roman" w:hAnsi="Times New Roman" w:cs="Times New Roman"/>
          <w:sz w:val="24"/>
          <w:szCs w:val="24"/>
        </w:rPr>
        <w:t>,  iż realizacja projektu zagrozi prawidłowemu wykonywaniu usług</w:t>
      </w:r>
      <w:r w:rsidR="00FF4397">
        <w:rPr>
          <w:rFonts w:ascii="Times New Roman" w:hAnsi="Times New Roman" w:cs="Times New Roman"/>
          <w:sz w:val="24"/>
          <w:szCs w:val="24"/>
        </w:rPr>
        <w:t xml:space="preserve"> </w:t>
      </w:r>
      <w:r w:rsidRPr="00D740E1">
        <w:rPr>
          <w:rFonts w:ascii="Times New Roman" w:hAnsi="Times New Roman" w:cs="Times New Roman"/>
          <w:sz w:val="24"/>
          <w:szCs w:val="24"/>
        </w:rPr>
        <w:t>przez operatorów sieci, bezpieczeństwu sieci lub bezpieczeństwu dostaw energii elektrycznej.</w:t>
      </w:r>
    </w:p>
    <w:p w14:paraId="4CD62860" w14:textId="747C4FDC" w:rsidR="00FC6407" w:rsidRDefault="00FC6407" w:rsidP="00482750">
      <w:pPr>
        <w:spacing w:line="360" w:lineRule="auto"/>
        <w:ind w:firstLine="708"/>
        <w:jc w:val="both"/>
        <w:rPr>
          <w:rFonts w:ascii="Times New Roman" w:hAnsi="Times New Roman" w:cs="Times New Roman"/>
          <w:sz w:val="24"/>
          <w:szCs w:val="24"/>
        </w:rPr>
      </w:pPr>
      <w:r w:rsidRPr="00FC6407">
        <w:rPr>
          <w:rFonts w:ascii="Times New Roman" w:hAnsi="Times New Roman" w:cs="Times New Roman"/>
          <w:sz w:val="24"/>
          <w:szCs w:val="24"/>
        </w:rPr>
        <w:t xml:space="preserve">Projektowana regulacja przyznaje Prezesowi URE możliwość żądania od podmiotu wnioskującemu o przyznanie odstępstwa przedłożenia niezależnej ekspertyzy potwierdzającej spełnienie kryteriów wskazanych wyżej kryteriów (ust. </w:t>
      </w:r>
      <w:r w:rsidR="004A4673">
        <w:rPr>
          <w:rFonts w:ascii="Times New Roman" w:hAnsi="Times New Roman" w:cs="Times New Roman"/>
          <w:sz w:val="24"/>
          <w:szCs w:val="24"/>
        </w:rPr>
        <w:t>5</w:t>
      </w:r>
      <w:r w:rsidRPr="00FC6407">
        <w:rPr>
          <w:rFonts w:ascii="Times New Roman" w:hAnsi="Times New Roman" w:cs="Times New Roman"/>
          <w:sz w:val="24"/>
          <w:szCs w:val="24"/>
        </w:rPr>
        <w:t>). Ekspertyzy sporządzać mogą jedynie podmioty wskazane przez Prezesa URE, wymienione w ust. 6, na koszt podmiotu wnioskującego o przyznanie odstępstwa.</w:t>
      </w:r>
    </w:p>
    <w:p w14:paraId="2B1AFBB9" w14:textId="77777777" w:rsidR="00482750" w:rsidRDefault="00482750" w:rsidP="00482750">
      <w:pPr>
        <w:spacing w:line="360" w:lineRule="auto"/>
        <w:ind w:firstLine="708"/>
        <w:jc w:val="both"/>
        <w:rPr>
          <w:rFonts w:ascii="Times New Roman" w:hAnsi="Times New Roman" w:cs="Times New Roman"/>
          <w:sz w:val="24"/>
          <w:szCs w:val="24"/>
        </w:rPr>
      </w:pPr>
      <w:r w:rsidRPr="00D740E1">
        <w:rPr>
          <w:rFonts w:ascii="Times New Roman" w:hAnsi="Times New Roman" w:cs="Times New Roman"/>
          <w:sz w:val="24"/>
          <w:szCs w:val="24"/>
        </w:rPr>
        <w:t xml:space="preserve">Procedura wyłonienia przez Prezesa URE projektów kwalifikujących się do udzielenia </w:t>
      </w:r>
      <w:r>
        <w:rPr>
          <w:rFonts w:ascii="Times New Roman" w:hAnsi="Times New Roman" w:cs="Times New Roman"/>
          <w:sz w:val="24"/>
          <w:szCs w:val="24"/>
        </w:rPr>
        <w:t>odstępstwa</w:t>
      </w:r>
      <w:r w:rsidRPr="00D740E1">
        <w:rPr>
          <w:rFonts w:ascii="Times New Roman" w:hAnsi="Times New Roman" w:cs="Times New Roman"/>
          <w:sz w:val="24"/>
          <w:szCs w:val="24"/>
        </w:rPr>
        <w:t xml:space="preserve"> od stosowania określonych przepisów oraz samo postępowanie projektowe </w:t>
      </w:r>
      <w:r>
        <w:rPr>
          <w:rFonts w:ascii="Times New Roman" w:hAnsi="Times New Roman" w:cs="Times New Roman"/>
          <w:sz w:val="24"/>
          <w:szCs w:val="24"/>
        </w:rPr>
        <w:t xml:space="preserve">powinno być </w:t>
      </w:r>
      <w:r w:rsidRPr="00D740E1">
        <w:rPr>
          <w:rFonts w:ascii="Times New Roman" w:hAnsi="Times New Roman" w:cs="Times New Roman"/>
          <w:sz w:val="24"/>
          <w:szCs w:val="24"/>
        </w:rPr>
        <w:t>ogłaszane, organizowane i przeprowadzane nie rzadziej niż raz w roku. Jednocześnie</w:t>
      </w:r>
      <w:r>
        <w:rPr>
          <w:rFonts w:ascii="Times New Roman" w:hAnsi="Times New Roman" w:cs="Times New Roman"/>
          <w:sz w:val="24"/>
          <w:szCs w:val="24"/>
        </w:rPr>
        <w:t>, przepis zobowiązuje</w:t>
      </w:r>
      <w:r w:rsidRPr="00D740E1">
        <w:rPr>
          <w:rFonts w:ascii="Times New Roman" w:hAnsi="Times New Roman" w:cs="Times New Roman"/>
          <w:sz w:val="24"/>
          <w:szCs w:val="24"/>
        </w:rPr>
        <w:t xml:space="preserve"> Prezes</w:t>
      </w:r>
      <w:r>
        <w:rPr>
          <w:rFonts w:ascii="Times New Roman" w:hAnsi="Times New Roman" w:cs="Times New Roman"/>
          <w:sz w:val="24"/>
          <w:szCs w:val="24"/>
        </w:rPr>
        <w:t>a</w:t>
      </w:r>
      <w:r w:rsidRPr="00D740E1">
        <w:rPr>
          <w:rFonts w:ascii="Times New Roman" w:hAnsi="Times New Roman" w:cs="Times New Roman"/>
          <w:sz w:val="24"/>
          <w:szCs w:val="24"/>
        </w:rPr>
        <w:t xml:space="preserve"> URE do publikacji w Biuletynie Informacji Publicznej Urzędu Regulacji Energetyki informatora postępowania projektowego, co ma na celu </w:t>
      </w:r>
      <w:r>
        <w:rPr>
          <w:rFonts w:ascii="Times New Roman" w:hAnsi="Times New Roman" w:cs="Times New Roman"/>
          <w:sz w:val="24"/>
          <w:szCs w:val="24"/>
        </w:rPr>
        <w:t xml:space="preserve">prawidłowe </w:t>
      </w:r>
      <w:r w:rsidRPr="00D740E1">
        <w:rPr>
          <w:rFonts w:ascii="Times New Roman" w:hAnsi="Times New Roman" w:cs="Times New Roman"/>
          <w:sz w:val="24"/>
          <w:szCs w:val="24"/>
        </w:rPr>
        <w:t>przeprowadzeni</w:t>
      </w:r>
      <w:r>
        <w:rPr>
          <w:rFonts w:ascii="Times New Roman" w:hAnsi="Times New Roman" w:cs="Times New Roman"/>
          <w:sz w:val="24"/>
          <w:szCs w:val="24"/>
        </w:rPr>
        <w:t>e</w:t>
      </w:r>
      <w:r w:rsidRPr="00D740E1">
        <w:rPr>
          <w:rFonts w:ascii="Times New Roman" w:hAnsi="Times New Roman" w:cs="Times New Roman"/>
          <w:sz w:val="24"/>
          <w:szCs w:val="24"/>
        </w:rPr>
        <w:t xml:space="preserve"> postepowania projektowego</w:t>
      </w:r>
      <w:r>
        <w:rPr>
          <w:rFonts w:ascii="Times New Roman" w:hAnsi="Times New Roman" w:cs="Times New Roman"/>
          <w:sz w:val="24"/>
          <w:szCs w:val="24"/>
        </w:rPr>
        <w:t>.</w:t>
      </w:r>
    </w:p>
    <w:p w14:paraId="4537AA12" w14:textId="0580C318" w:rsidR="00482750" w:rsidRPr="00D740E1" w:rsidRDefault="00482750" w:rsidP="00482750">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P</w:t>
      </w:r>
      <w:r w:rsidRPr="00D740E1">
        <w:rPr>
          <w:rFonts w:ascii="Times New Roman" w:hAnsi="Times New Roman" w:cs="Times New Roman"/>
          <w:sz w:val="24"/>
          <w:szCs w:val="24"/>
        </w:rPr>
        <w:t>roponowane przepisy umożliwiają Prezesowi URE, z urzędu lub na pisemny wniosek podmiotu, na który oddziałuje projekt</w:t>
      </w:r>
      <w:r>
        <w:rPr>
          <w:rFonts w:ascii="Times New Roman" w:hAnsi="Times New Roman" w:cs="Times New Roman"/>
          <w:sz w:val="24"/>
          <w:szCs w:val="24"/>
        </w:rPr>
        <w:t>,</w:t>
      </w:r>
      <w:r w:rsidRPr="00D740E1">
        <w:rPr>
          <w:rFonts w:ascii="Times New Roman" w:hAnsi="Times New Roman" w:cs="Times New Roman"/>
          <w:sz w:val="24"/>
          <w:szCs w:val="24"/>
        </w:rPr>
        <w:t xml:space="preserve"> sprawowanie kontroli działań podmiotów</w:t>
      </w:r>
      <w:r w:rsidR="004A4673">
        <w:rPr>
          <w:rFonts w:ascii="Times New Roman" w:hAnsi="Times New Roman" w:cs="Times New Roman"/>
          <w:sz w:val="24"/>
          <w:szCs w:val="24"/>
        </w:rPr>
        <w:t>,</w:t>
      </w:r>
      <w:r w:rsidRPr="00D740E1">
        <w:rPr>
          <w:rFonts w:ascii="Times New Roman" w:hAnsi="Times New Roman" w:cs="Times New Roman"/>
          <w:sz w:val="24"/>
          <w:szCs w:val="24"/>
        </w:rPr>
        <w:t xml:space="preserve"> </w:t>
      </w:r>
      <w:r>
        <w:rPr>
          <w:rFonts w:ascii="Times New Roman" w:hAnsi="Times New Roman" w:cs="Times New Roman"/>
          <w:sz w:val="24"/>
          <w:szCs w:val="24"/>
        </w:rPr>
        <w:t xml:space="preserve">którym przyznano odstępstwa (ust. </w:t>
      </w:r>
      <w:r w:rsidR="00FC6407">
        <w:rPr>
          <w:rFonts w:ascii="Times New Roman" w:hAnsi="Times New Roman" w:cs="Times New Roman"/>
          <w:sz w:val="24"/>
          <w:szCs w:val="24"/>
        </w:rPr>
        <w:t>9</w:t>
      </w:r>
      <w:r>
        <w:rPr>
          <w:rFonts w:ascii="Times New Roman" w:hAnsi="Times New Roman" w:cs="Times New Roman"/>
          <w:sz w:val="24"/>
          <w:szCs w:val="24"/>
        </w:rPr>
        <w:t>)</w:t>
      </w:r>
      <w:r w:rsidRPr="00D740E1">
        <w:rPr>
          <w:rFonts w:ascii="Times New Roman" w:hAnsi="Times New Roman" w:cs="Times New Roman"/>
          <w:sz w:val="24"/>
          <w:szCs w:val="24"/>
        </w:rPr>
        <w:t>. Kontrola ta ma dotyczyć sposobu realizacji projektu w zakresie przestrzegania warunków określonych w decyzji administracyjnej.</w:t>
      </w:r>
      <w:r>
        <w:rPr>
          <w:rFonts w:ascii="Times New Roman" w:hAnsi="Times New Roman" w:cs="Times New Roman"/>
          <w:sz w:val="24"/>
          <w:szCs w:val="24"/>
        </w:rPr>
        <w:t xml:space="preserve"> Po przeprowadzeniu kontroli, w sytuacji stwierdzenia </w:t>
      </w:r>
      <w:r w:rsidRPr="00D740E1">
        <w:rPr>
          <w:rFonts w:ascii="Times New Roman" w:hAnsi="Times New Roman" w:cs="Times New Roman"/>
          <w:sz w:val="24"/>
          <w:szCs w:val="24"/>
        </w:rPr>
        <w:t>nieprzestrzega</w:t>
      </w:r>
      <w:r>
        <w:rPr>
          <w:rFonts w:ascii="Times New Roman" w:hAnsi="Times New Roman" w:cs="Times New Roman"/>
          <w:sz w:val="24"/>
          <w:szCs w:val="24"/>
        </w:rPr>
        <w:t>nia</w:t>
      </w:r>
      <w:r w:rsidRPr="00D740E1">
        <w:rPr>
          <w:rFonts w:ascii="Times New Roman" w:hAnsi="Times New Roman" w:cs="Times New Roman"/>
          <w:sz w:val="24"/>
          <w:szCs w:val="24"/>
        </w:rPr>
        <w:t xml:space="preserve"> warunków określonych w decyzji administracyjnej, Prezes URE zobowiązany jest do wezwania podmiotu kontrolowanego do usunięcia naruszeń z pouczeniem, </w:t>
      </w:r>
      <w:r>
        <w:rPr>
          <w:rFonts w:ascii="Times New Roman" w:hAnsi="Times New Roman" w:cs="Times New Roman"/>
          <w:sz w:val="24"/>
          <w:szCs w:val="24"/>
        </w:rPr>
        <w:t>iż</w:t>
      </w:r>
      <w:r w:rsidRPr="00D740E1">
        <w:rPr>
          <w:rFonts w:ascii="Times New Roman" w:hAnsi="Times New Roman" w:cs="Times New Roman"/>
          <w:sz w:val="24"/>
          <w:szCs w:val="24"/>
        </w:rPr>
        <w:t xml:space="preserve"> ich nieusunięcie w określonym w wezwaniu terminie, spowoduje cofnięcie </w:t>
      </w:r>
      <w:r>
        <w:rPr>
          <w:rFonts w:ascii="Times New Roman" w:hAnsi="Times New Roman" w:cs="Times New Roman"/>
          <w:sz w:val="24"/>
          <w:szCs w:val="24"/>
        </w:rPr>
        <w:t>odstępstw</w:t>
      </w:r>
      <w:r w:rsidRPr="00D740E1">
        <w:rPr>
          <w:rFonts w:ascii="Times New Roman" w:hAnsi="Times New Roman" w:cs="Times New Roman"/>
          <w:sz w:val="24"/>
          <w:szCs w:val="24"/>
        </w:rPr>
        <w:t>.</w:t>
      </w:r>
    </w:p>
    <w:p w14:paraId="0384416B" w14:textId="77777777" w:rsidR="00482750" w:rsidRDefault="00482750" w:rsidP="00482750">
      <w:pPr>
        <w:spacing w:line="360" w:lineRule="auto"/>
        <w:ind w:firstLine="708"/>
        <w:jc w:val="both"/>
        <w:rPr>
          <w:rFonts w:ascii="Times New Roman" w:hAnsi="Times New Roman" w:cs="Times New Roman"/>
          <w:sz w:val="24"/>
          <w:szCs w:val="24"/>
        </w:rPr>
      </w:pPr>
      <w:r w:rsidRPr="00D740E1">
        <w:rPr>
          <w:rFonts w:ascii="Times New Roman" w:hAnsi="Times New Roman" w:cs="Times New Roman"/>
          <w:sz w:val="24"/>
          <w:szCs w:val="24"/>
        </w:rPr>
        <w:t>W ramach przyznanych zwolnień, projekt przedmiotowej regulacji nakłada na wnioskodawcę określone obowiązk</w:t>
      </w:r>
      <w:r>
        <w:rPr>
          <w:rFonts w:ascii="Times New Roman" w:hAnsi="Times New Roman" w:cs="Times New Roman"/>
          <w:sz w:val="24"/>
          <w:szCs w:val="24"/>
        </w:rPr>
        <w:t>i informacyjne względem kręgu potencjalnych zainteresowanych oraz Prezesa URE.</w:t>
      </w:r>
      <w:r w:rsidRPr="00D740E1">
        <w:rPr>
          <w:rFonts w:ascii="Times New Roman" w:hAnsi="Times New Roman" w:cs="Times New Roman"/>
          <w:sz w:val="24"/>
          <w:szCs w:val="24"/>
        </w:rPr>
        <w:t xml:space="preserve"> </w:t>
      </w:r>
    </w:p>
    <w:p w14:paraId="4334F671" w14:textId="1C64BF52" w:rsidR="00482750" w:rsidRPr="00A758E8" w:rsidRDefault="00FF4397" w:rsidP="00A758E8">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Projektowana regulacja zobowiązuje </w:t>
      </w:r>
      <w:r w:rsidR="00482750">
        <w:rPr>
          <w:rFonts w:ascii="Times New Roman" w:hAnsi="Times New Roman" w:cs="Times New Roman"/>
          <w:sz w:val="24"/>
          <w:szCs w:val="24"/>
        </w:rPr>
        <w:t>Prezes URE</w:t>
      </w:r>
      <w:r>
        <w:rPr>
          <w:rFonts w:ascii="Times New Roman" w:hAnsi="Times New Roman" w:cs="Times New Roman"/>
          <w:sz w:val="24"/>
          <w:szCs w:val="24"/>
        </w:rPr>
        <w:t xml:space="preserve"> aby</w:t>
      </w:r>
      <w:r w:rsidR="00482750">
        <w:rPr>
          <w:rFonts w:ascii="Times New Roman" w:hAnsi="Times New Roman" w:cs="Times New Roman"/>
          <w:sz w:val="24"/>
          <w:szCs w:val="24"/>
        </w:rPr>
        <w:t xml:space="preserve"> w ramach</w:t>
      </w:r>
      <w:r w:rsidR="00482750" w:rsidRPr="00D740E1">
        <w:rPr>
          <w:rFonts w:ascii="Times New Roman" w:hAnsi="Times New Roman" w:cs="Times New Roman"/>
          <w:sz w:val="24"/>
          <w:szCs w:val="24"/>
        </w:rPr>
        <w:t xml:space="preserve"> sprawozdania, </w:t>
      </w:r>
      <w:r w:rsidR="00482750">
        <w:rPr>
          <w:rFonts w:ascii="Times New Roman" w:hAnsi="Times New Roman" w:cs="Times New Roman"/>
          <w:sz w:val="24"/>
          <w:szCs w:val="24"/>
        </w:rPr>
        <w:t>o</w:t>
      </w:r>
      <w:r w:rsidR="00482750" w:rsidRPr="00D740E1">
        <w:rPr>
          <w:rFonts w:ascii="Times New Roman" w:hAnsi="Times New Roman" w:cs="Times New Roman"/>
          <w:sz w:val="24"/>
          <w:szCs w:val="24"/>
        </w:rPr>
        <w:t xml:space="preserve"> którym </w:t>
      </w:r>
      <w:r w:rsidR="00482750">
        <w:rPr>
          <w:rFonts w:ascii="Times New Roman" w:hAnsi="Times New Roman" w:cs="Times New Roman"/>
          <w:sz w:val="24"/>
          <w:szCs w:val="24"/>
        </w:rPr>
        <w:t>mowa w art. 24 ustawy – Prawo energetyczne, przedstawi</w:t>
      </w:r>
      <w:r>
        <w:rPr>
          <w:rFonts w:ascii="Times New Roman" w:hAnsi="Times New Roman" w:cs="Times New Roman"/>
          <w:sz w:val="24"/>
          <w:szCs w:val="24"/>
        </w:rPr>
        <w:t>ł</w:t>
      </w:r>
      <w:r w:rsidR="00482750" w:rsidRPr="00D740E1">
        <w:rPr>
          <w:rFonts w:ascii="Times New Roman" w:hAnsi="Times New Roman" w:cs="Times New Roman"/>
          <w:sz w:val="24"/>
          <w:szCs w:val="24"/>
        </w:rPr>
        <w:t xml:space="preserve"> postęp</w:t>
      </w:r>
      <w:r>
        <w:rPr>
          <w:rFonts w:ascii="Times New Roman" w:hAnsi="Times New Roman" w:cs="Times New Roman"/>
          <w:sz w:val="24"/>
          <w:szCs w:val="24"/>
        </w:rPr>
        <w:t>y</w:t>
      </w:r>
      <w:r w:rsidR="00482750" w:rsidRPr="00D740E1">
        <w:rPr>
          <w:rFonts w:ascii="Times New Roman" w:hAnsi="Times New Roman" w:cs="Times New Roman"/>
          <w:sz w:val="24"/>
          <w:szCs w:val="24"/>
        </w:rPr>
        <w:t xml:space="preserve"> z realizacji projektów, wnioski wynikające z zakończonych projektów oraz ocen</w:t>
      </w:r>
      <w:r w:rsidR="00482750">
        <w:rPr>
          <w:rFonts w:ascii="Times New Roman" w:hAnsi="Times New Roman" w:cs="Times New Roman"/>
          <w:sz w:val="24"/>
          <w:szCs w:val="24"/>
        </w:rPr>
        <w:t>ę</w:t>
      </w:r>
      <w:r w:rsidR="00482750" w:rsidRPr="00D740E1">
        <w:rPr>
          <w:rFonts w:ascii="Times New Roman" w:hAnsi="Times New Roman" w:cs="Times New Roman"/>
          <w:sz w:val="24"/>
          <w:szCs w:val="24"/>
        </w:rPr>
        <w:t xml:space="preserve"> wpływu udzielonych </w:t>
      </w:r>
      <w:r w:rsidR="00482750">
        <w:rPr>
          <w:rFonts w:ascii="Times New Roman" w:hAnsi="Times New Roman" w:cs="Times New Roman"/>
          <w:sz w:val="24"/>
          <w:szCs w:val="24"/>
        </w:rPr>
        <w:t>odstępstw</w:t>
      </w:r>
      <w:r w:rsidR="00482750" w:rsidRPr="00D740E1">
        <w:rPr>
          <w:rFonts w:ascii="Times New Roman" w:hAnsi="Times New Roman" w:cs="Times New Roman"/>
          <w:sz w:val="24"/>
          <w:szCs w:val="24"/>
        </w:rPr>
        <w:t xml:space="preserve"> na realizację celów przeprowadzonych projektów</w:t>
      </w:r>
      <w:r w:rsidR="00482750">
        <w:rPr>
          <w:rFonts w:ascii="Times New Roman" w:hAnsi="Times New Roman" w:cs="Times New Roman"/>
          <w:sz w:val="24"/>
          <w:szCs w:val="24"/>
        </w:rPr>
        <w:t>.</w:t>
      </w:r>
    </w:p>
    <w:p w14:paraId="66A635D7" w14:textId="77777777" w:rsidR="00E06314" w:rsidRPr="00FE5691" w:rsidRDefault="00E06314" w:rsidP="00FE5691">
      <w:pPr>
        <w:spacing w:line="360" w:lineRule="auto"/>
        <w:ind w:firstLine="708"/>
        <w:jc w:val="both"/>
        <w:rPr>
          <w:rFonts w:ascii="Times New Roman" w:hAnsi="Times New Roman" w:cs="Times New Roman"/>
          <w:sz w:val="24"/>
          <w:szCs w:val="24"/>
        </w:rPr>
      </w:pPr>
    </w:p>
    <w:p w14:paraId="7D459033" w14:textId="3B29DD65" w:rsidR="009161DD" w:rsidRPr="00613198" w:rsidRDefault="00D740E1" w:rsidP="00A31158">
      <w:pPr>
        <w:spacing w:line="360" w:lineRule="auto"/>
        <w:ind w:firstLine="360"/>
        <w:jc w:val="both"/>
        <w:rPr>
          <w:rFonts w:ascii="Times New Roman" w:hAnsi="Times New Roman" w:cs="Times New Roman"/>
          <w:b/>
          <w:bCs/>
          <w:sz w:val="24"/>
          <w:szCs w:val="24"/>
        </w:rPr>
      </w:pPr>
      <w:r>
        <w:rPr>
          <w:rFonts w:ascii="Times New Roman" w:hAnsi="Times New Roman" w:cs="Times New Roman"/>
          <w:b/>
          <w:bCs/>
          <w:sz w:val="24"/>
          <w:szCs w:val="24"/>
        </w:rPr>
        <w:t>Ad 1</w:t>
      </w:r>
      <w:r w:rsidR="007559F0">
        <w:rPr>
          <w:rFonts w:ascii="Times New Roman" w:hAnsi="Times New Roman" w:cs="Times New Roman"/>
          <w:b/>
          <w:bCs/>
          <w:sz w:val="24"/>
          <w:szCs w:val="24"/>
        </w:rPr>
        <w:t>5</w:t>
      </w:r>
      <w:r>
        <w:rPr>
          <w:rFonts w:ascii="Times New Roman" w:hAnsi="Times New Roman" w:cs="Times New Roman"/>
          <w:b/>
          <w:bCs/>
          <w:sz w:val="24"/>
          <w:szCs w:val="24"/>
        </w:rPr>
        <w:t xml:space="preserve">. </w:t>
      </w:r>
      <w:r w:rsidR="002C1F05" w:rsidRPr="00613198">
        <w:rPr>
          <w:rFonts w:ascii="Times New Roman" w:hAnsi="Times New Roman" w:cs="Times New Roman"/>
          <w:b/>
          <w:bCs/>
          <w:sz w:val="24"/>
          <w:szCs w:val="24"/>
        </w:rPr>
        <w:t>Przepisy</w:t>
      </w:r>
      <w:r w:rsidR="009161DD" w:rsidRPr="00613198">
        <w:rPr>
          <w:rFonts w:ascii="Times New Roman" w:hAnsi="Times New Roman" w:cs="Times New Roman"/>
          <w:b/>
          <w:bCs/>
          <w:sz w:val="24"/>
          <w:szCs w:val="24"/>
        </w:rPr>
        <w:t xml:space="preserve"> dotycząc</w:t>
      </w:r>
      <w:r w:rsidR="002C1F05" w:rsidRPr="00613198">
        <w:rPr>
          <w:rFonts w:ascii="Times New Roman" w:hAnsi="Times New Roman" w:cs="Times New Roman"/>
          <w:b/>
          <w:bCs/>
          <w:sz w:val="24"/>
          <w:szCs w:val="24"/>
        </w:rPr>
        <w:t>e</w:t>
      </w:r>
      <w:r w:rsidR="009161DD" w:rsidRPr="00613198">
        <w:rPr>
          <w:rFonts w:ascii="Times New Roman" w:hAnsi="Times New Roman" w:cs="Times New Roman"/>
          <w:b/>
          <w:bCs/>
          <w:sz w:val="24"/>
          <w:szCs w:val="24"/>
        </w:rPr>
        <w:t xml:space="preserve"> znaku towarowego operatora systemu dystrybucyjnego </w:t>
      </w:r>
    </w:p>
    <w:p w14:paraId="07DF3C4F" w14:textId="17AFC9B7" w:rsidR="00A52BAA" w:rsidRPr="00613198" w:rsidRDefault="009161DD" w:rsidP="009161DD">
      <w:pPr>
        <w:spacing w:beforeLines="60" w:before="144" w:afterLines="60" w:after="144" w:line="360" w:lineRule="auto"/>
        <w:ind w:firstLine="360"/>
        <w:jc w:val="both"/>
        <w:rPr>
          <w:rFonts w:ascii="Times" w:hAnsi="Times" w:cs="Times"/>
          <w:sz w:val="24"/>
          <w:szCs w:val="24"/>
        </w:rPr>
      </w:pPr>
      <w:r w:rsidRPr="00613198">
        <w:rPr>
          <w:rFonts w:ascii="Times" w:hAnsi="Times" w:cs="Times"/>
          <w:sz w:val="24"/>
          <w:szCs w:val="24"/>
        </w:rPr>
        <w:t xml:space="preserve">Na stronie 317 Sprawozdania z działalności Prezesa URE w 2017 r. czytamy: Należy także wskazać, że takie same logo OSD oraz podobna nazwa w odniesieniu do spółki obrotu wchodzącej w skład tej samej, co OSD z grupy kapitałowej, wprowadzają odbiorców w błąd, co do niezależności OSD. Ponadto dotychczasowa praktyka niezasadnie premiuje spółkę obrotu z grupy kapitałowej OSD, poprzez sugerowanie, że właśnie ten sprzedawca w najlepszym stopniu zapewni bezpieczeństwo dostaw energii lub paliw gazowych do odbiorcy. Regulator jest zatem za odrębnym logo OSD funkcjonującym w przedsiębiorstwie zintegrowanym pionowo. Ponadto, w świetle art. </w:t>
      </w:r>
      <w:r w:rsidR="00405834">
        <w:rPr>
          <w:rFonts w:ascii="Times" w:hAnsi="Times" w:cs="Times"/>
          <w:sz w:val="24"/>
          <w:szCs w:val="24"/>
        </w:rPr>
        <w:t>35</w:t>
      </w:r>
      <w:r w:rsidR="00405834" w:rsidRPr="00613198">
        <w:rPr>
          <w:rFonts w:ascii="Times" w:hAnsi="Times" w:cs="Times"/>
          <w:sz w:val="24"/>
          <w:szCs w:val="24"/>
        </w:rPr>
        <w:t xml:space="preserve"> </w:t>
      </w:r>
      <w:r w:rsidRPr="00613198">
        <w:rPr>
          <w:rFonts w:ascii="Times" w:hAnsi="Times" w:cs="Times"/>
          <w:sz w:val="24"/>
          <w:szCs w:val="24"/>
        </w:rPr>
        <w:t xml:space="preserve">ust. 3 dyrektywy </w:t>
      </w:r>
      <w:r w:rsidR="00405834">
        <w:rPr>
          <w:rFonts w:ascii="Times" w:hAnsi="Times" w:cs="Times"/>
          <w:sz w:val="24"/>
          <w:szCs w:val="24"/>
        </w:rPr>
        <w:t>2019/944</w:t>
      </w:r>
      <w:r w:rsidRPr="00613198">
        <w:rPr>
          <w:rFonts w:ascii="Times" w:hAnsi="Times" w:cs="Times"/>
          <w:sz w:val="24"/>
          <w:szCs w:val="24"/>
        </w:rPr>
        <w:t xml:space="preserve"> w szczególności pionowo zintegrowani operatorzy systemu dystrybucyjnego nie mogą powodować — w zakresie komunikacji i marki — nieporozumień w odniesieniu do odrębnej tożsamości części przedsiębiorstwa zintegrowanego pionowo zajmującej się dostawami. </w:t>
      </w:r>
    </w:p>
    <w:p w14:paraId="6B37D23C" w14:textId="7B8F5676" w:rsidR="00D03AD3" w:rsidRPr="00613198" w:rsidRDefault="009161DD" w:rsidP="00405834">
      <w:pPr>
        <w:spacing w:beforeLines="60" w:before="144" w:afterLines="60" w:after="144" w:line="360" w:lineRule="auto"/>
        <w:ind w:firstLine="360"/>
        <w:jc w:val="both"/>
        <w:rPr>
          <w:rFonts w:ascii="Times" w:hAnsi="Times" w:cs="Times"/>
          <w:sz w:val="24"/>
          <w:szCs w:val="24"/>
        </w:rPr>
      </w:pPr>
      <w:r w:rsidRPr="00613198">
        <w:rPr>
          <w:rFonts w:ascii="Times" w:hAnsi="Times" w:cs="Times"/>
          <w:sz w:val="24"/>
          <w:szCs w:val="24"/>
        </w:rPr>
        <w:t xml:space="preserve">Wprowadzenie przepisu, zgodnie z którym znak towarowy OSD będącego częścią przedsiębiorstwa zintegrowanego pionowo nie będzie mógł wprowadzać w błąd co do odrębnej tożsamości sprzedawcy będącego częścią tego samego przedsiębiorstwa zintegrowanego pionowo stanowi zatem wypełnienie postulatu zawartego w ww. </w:t>
      </w:r>
      <w:r w:rsidR="00405834">
        <w:rPr>
          <w:rFonts w:ascii="Times" w:hAnsi="Times" w:cs="Times"/>
          <w:sz w:val="24"/>
          <w:szCs w:val="24"/>
        </w:rPr>
        <w:t>s</w:t>
      </w:r>
      <w:r w:rsidR="00405834" w:rsidRPr="00613198">
        <w:rPr>
          <w:rFonts w:ascii="Times" w:hAnsi="Times" w:cs="Times"/>
          <w:sz w:val="24"/>
          <w:szCs w:val="24"/>
        </w:rPr>
        <w:t xml:space="preserve">prawozdaniu </w:t>
      </w:r>
      <w:r w:rsidRPr="00613198">
        <w:rPr>
          <w:rFonts w:ascii="Times" w:hAnsi="Times" w:cs="Times"/>
          <w:sz w:val="24"/>
          <w:szCs w:val="24"/>
        </w:rPr>
        <w:t>oraz normy określonej w dyrektywie</w:t>
      </w:r>
      <w:r w:rsidR="00113DFC">
        <w:rPr>
          <w:rFonts w:ascii="Times" w:hAnsi="Times" w:cs="Times"/>
          <w:sz w:val="24"/>
          <w:szCs w:val="24"/>
        </w:rPr>
        <w:t xml:space="preserve"> 2019/944</w:t>
      </w:r>
      <w:r w:rsidRPr="00613198">
        <w:rPr>
          <w:rFonts w:ascii="Times" w:hAnsi="Times" w:cs="Times"/>
          <w:sz w:val="24"/>
          <w:szCs w:val="24"/>
        </w:rPr>
        <w:t>.</w:t>
      </w:r>
      <w:r w:rsidR="00405834">
        <w:rPr>
          <w:rFonts w:ascii="Times" w:hAnsi="Times" w:cs="Times"/>
          <w:sz w:val="24"/>
          <w:szCs w:val="24"/>
        </w:rPr>
        <w:t xml:space="preserve"> </w:t>
      </w:r>
      <w:r w:rsidRPr="00613198">
        <w:rPr>
          <w:rFonts w:ascii="Times" w:hAnsi="Times" w:cs="Times"/>
          <w:sz w:val="24"/>
          <w:szCs w:val="24"/>
        </w:rPr>
        <w:t xml:space="preserve"> </w:t>
      </w:r>
      <w:r w:rsidR="00A5404E">
        <w:rPr>
          <w:rFonts w:ascii="Times" w:hAnsi="Times" w:cs="Times"/>
          <w:sz w:val="24"/>
          <w:szCs w:val="24"/>
        </w:rPr>
        <w:t xml:space="preserve">Zgodnie z </w:t>
      </w:r>
      <w:r w:rsidR="00A5404E" w:rsidRPr="003E4547">
        <w:rPr>
          <w:rFonts w:ascii="Times" w:hAnsi="Times" w:cs="Times"/>
          <w:sz w:val="24"/>
          <w:szCs w:val="24"/>
        </w:rPr>
        <w:t xml:space="preserve">art. </w:t>
      </w:r>
      <w:r w:rsidR="001226FC">
        <w:rPr>
          <w:rFonts w:ascii="Times" w:hAnsi="Times" w:cs="Times"/>
          <w:sz w:val="24"/>
          <w:szCs w:val="24"/>
        </w:rPr>
        <w:t>30</w:t>
      </w:r>
      <w:r w:rsidR="0007489A" w:rsidRPr="003E4547">
        <w:rPr>
          <w:rFonts w:ascii="Times" w:hAnsi="Times" w:cs="Times"/>
          <w:sz w:val="24"/>
          <w:szCs w:val="24"/>
        </w:rPr>
        <w:t xml:space="preserve"> </w:t>
      </w:r>
      <w:r w:rsidR="00A5404E" w:rsidRPr="003E4547">
        <w:rPr>
          <w:rFonts w:ascii="Times" w:hAnsi="Times" w:cs="Times"/>
          <w:sz w:val="24"/>
          <w:szCs w:val="24"/>
        </w:rPr>
        <w:t>pkt</w:t>
      </w:r>
      <w:r w:rsidR="00AB23DB" w:rsidRPr="003E4547">
        <w:rPr>
          <w:rFonts w:ascii="Times" w:hAnsi="Times" w:cs="Times"/>
          <w:sz w:val="24"/>
          <w:szCs w:val="24"/>
        </w:rPr>
        <w:t xml:space="preserve"> 4</w:t>
      </w:r>
      <w:r w:rsidR="00A5404E" w:rsidRPr="003E4547">
        <w:rPr>
          <w:rFonts w:ascii="Times" w:hAnsi="Times" w:cs="Times"/>
          <w:sz w:val="24"/>
          <w:szCs w:val="24"/>
        </w:rPr>
        <w:t xml:space="preserve"> projektu ustawy</w:t>
      </w:r>
      <w:r w:rsidR="00A5404E">
        <w:rPr>
          <w:rFonts w:ascii="Times" w:hAnsi="Times" w:cs="Times"/>
          <w:sz w:val="24"/>
          <w:szCs w:val="24"/>
        </w:rPr>
        <w:t>, przepis</w:t>
      </w:r>
      <w:r w:rsidRPr="00613198">
        <w:rPr>
          <w:rFonts w:ascii="Times" w:hAnsi="Times" w:cs="Times"/>
          <w:sz w:val="24"/>
          <w:szCs w:val="24"/>
        </w:rPr>
        <w:t xml:space="preserve"> </w:t>
      </w:r>
      <w:r w:rsidR="00A5404E">
        <w:rPr>
          <w:rFonts w:ascii="Times" w:hAnsi="Times" w:cs="Times"/>
          <w:sz w:val="24"/>
          <w:szCs w:val="24"/>
        </w:rPr>
        <w:t xml:space="preserve">art. 9c ust. 4c ustawy – Prawo energetyczne, wprowadzający ww. zmianę wejdzie w życie </w:t>
      </w:r>
      <w:r w:rsidR="00A5404E" w:rsidRPr="00A5404E">
        <w:rPr>
          <w:rFonts w:ascii="Times" w:hAnsi="Times" w:cs="Times"/>
          <w:sz w:val="24"/>
          <w:szCs w:val="24"/>
        </w:rPr>
        <w:t>po upływie 12 miesięcy od dnia ogłoszenia</w:t>
      </w:r>
      <w:r w:rsidR="00A5404E">
        <w:rPr>
          <w:rFonts w:ascii="Times" w:hAnsi="Times" w:cs="Times"/>
          <w:sz w:val="24"/>
          <w:szCs w:val="24"/>
        </w:rPr>
        <w:t xml:space="preserve">. </w:t>
      </w:r>
    </w:p>
    <w:p w14:paraId="1A31B0D4" w14:textId="01C4CE0C" w:rsidR="00A446A6" w:rsidRPr="00613198" w:rsidRDefault="00A446A6" w:rsidP="00B36147">
      <w:pPr>
        <w:spacing w:line="360" w:lineRule="auto"/>
        <w:ind w:left="360" w:firstLine="348"/>
        <w:jc w:val="both"/>
        <w:rPr>
          <w:rFonts w:ascii="Times New Roman" w:hAnsi="Times New Roman" w:cs="Times New Roman"/>
          <w:b/>
          <w:bCs/>
          <w:sz w:val="24"/>
          <w:szCs w:val="24"/>
        </w:rPr>
      </w:pPr>
      <w:r w:rsidRPr="00613198">
        <w:rPr>
          <w:rFonts w:ascii="Times New Roman" w:hAnsi="Times New Roman" w:cs="Times New Roman"/>
          <w:b/>
          <w:bCs/>
          <w:sz w:val="24"/>
          <w:szCs w:val="24"/>
        </w:rPr>
        <w:t xml:space="preserve">Ad </w:t>
      </w:r>
      <w:r w:rsidR="00925345" w:rsidRPr="00613198">
        <w:rPr>
          <w:rFonts w:ascii="Times New Roman" w:hAnsi="Times New Roman" w:cs="Times New Roman"/>
          <w:b/>
          <w:bCs/>
          <w:sz w:val="24"/>
          <w:szCs w:val="24"/>
        </w:rPr>
        <w:t>1</w:t>
      </w:r>
      <w:r w:rsidR="007559F0">
        <w:rPr>
          <w:rFonts w:ascii="Times New Roman" w:hAnsi="Times New Roman" w:cs="Times New Roman"/>
          <w:b/>
          <w:bCs/>
          <w:sz w:val="24"/>
          <w:szCs w:val="24"/>
        </w:rPr>
        <w:t>6</w:t>
      </w:r>
      <w:r w:rsidR="002C1F05" w:rsidRPr="00613198">
        <w:rPr>
          <w:rFonts w:ascii="Times New Roman" w:hAnsi="Times New Roman" w:cs="Times New Roman"/>
          <w:b/>
          <w:bCs/>
          <w:sz w:val="24"/>
          <w:szCs w:val="24"/>
        </w:rPr>
        <w:t>.</w:t>
      </w:r>
      <w:r w:rsidRPr="00613198">
        <w:rPr>
          <w:rFonts w:ascii="Times New Roman" w:hAnsi="Times New Roman" w:cs="Times New Roman"/>
          <w:b/>
          <w:bCs/>
          <w:sz w:val="24"/>
          <w:szCs w:val="24"/>
        </w:rPr>
        <w:t xml:space="preserve"> Wprowadzenie wzorca umowy o świadczenie usług przesyłania paliw gazowych</w:t>
      </w:r>
    </w:p>
    <w:p w14:paraId="22E67738" w14:textId="161DE054" w:rsidR="00B763FF" w:rsidRPr="00613198" w:rsidRDefault="00B763FF" w:rsidP="00B763FF">
      <w:pPr>
        <w:spacing w:beforeLines="60" w:before="144" w:afterLines="60" w:after="144" w:line="360" w:lineRule="auto"/>
        <w:ind w:firstLine="360"/>
        <w:jc w:val="both"/>
        <w:rPr>
          <w:rFonts w:ascii="Times" w:hAnsi="Times" w:cs="Times"/>
          <w:b/>
          <w:bCs/>
          <w:sz w:val="24"/>
          <w:szCs w:val="24"/>
        </w:rPr>
      </w:pPr>
      <w:r w:rsidRPr="00613198">
        <w:rPr>
          <w:rFonts w:ascii="Times" w:hAnsi="Times" w:cs="Times"/>
          <w:b/>
          <w:bCs/>
          <w:sz w:val="24"/>
          <w:szCs w:val="24"/>
        </w:rPr>
        <w:t xml:space="preserve">Zmiana w art. 5 ustawy - </w:t>
      </w:r>
      <w:r w:rsidR="00BF79A7" w:rsidRPr="00613198">
        <w:rPr>
          <w:rFonts w:ascii="Times" w:hAnsi="Times" w:cs="Times"/>
          <w:b/>
          <w:bCs/>
          <w:sz w:val="24"/>
          <w:szCs w:val="24"/>
        </w:rPr>
        <w:t>Prawo energetyczne</w:t>
      </w:r>
      <w:r w:rsidRPr="00613198">
        <w:rPr>
          <w:rFonts w:ascii="Times" w:hAnsi="Times" w:cs="Times"/>
          <w:b/>
          <w:bCs/>
          <w:sz w:val="24"/>
          <w:szCs w:val="24"/>
        </w:rPr>
        <w:t>, dodanie ust. 4ab</w:t>
      </w:r>
    </w:p>
    <w:p w14:paraId="7E7870DD" w14:textId="1A37468F" w:rsidR="00B763FF" w:rsidRPr="00613198" w:rsidRDefault="00B763FF" w:rsidP="00B763FF">
      <w:pPr>
        <w:spacing w:beforeLines="60" w:before="144" w:afterLines="60" w:after="144" w:line="360" w:lineRule="auto"/>
        <w:ind w:firstLine="360"/>
        <w:jc w:val="both"/>
        <w:rPr>
          <w:rFonts w:ascii="Times" w:hAnsi="Times" w:cs="Times"/>
          <w:sz w:val="24"/>
          <w:szCs w:val="24"/>
        </w:rPr>
      </w:pPr>
      <w:r w:rsidRPr="00613198">
        <w:rPr>
          <w:rFonts w:ascii="Times" w:hAnsi="Times" w:cs="Times"/>
          <w:sz w:val="24"/>
          <w:szCs w:val="24"/>
        </w:rPr>
        <w:t xml:space="preserve">W projektowanej ustawie proponuje się dodanie w art. 5 ust. 4ab, zgodnie z którym umowę o świadczenie usług przesyłania paliw gazowych zawiera się w oparciu o ustalony przez przedsiębiorstwo energetyczne wzorzec umowy. Zgodnie z projektowanym ust. 4ab, operator systemu przesyłowego gazowego i operator systemu połączonego gazowego będzie odpowiedzialny za opracowanie wzorców i w dalszej kolejności opublikowanie ich na swojej </w:t>
      </w:r>
      <w:r w:rsidRPr="00613198">
        <w:rPr>
          <w:rFonts w:ascii="Times" w:hAnsi="Times" w:cs="Times"/>
          <w:sz w:val="24"/>
          <w:szCs w:val="24"/>
        </w:rPr>
        <w:lastRenderedPageBreak/>
        <w:t>stronie internetowej oraz udostępnienie ich w swoich siedzibach. Proponowana zmiana ma na celu ustanowienie podstawy prawnej do przyjętej już praktyki, polegającej na określeniu postanowień umów przesyłowych paliw gazowych w Ogólnych Warunkach Umów, w tym zmian wprowadzanych w umowach przesyłowych. Zmiana zapewni ujednolicenie warunków świadczenia usług przesyłowych dla wszystkich użytkowników systemu.</w:t>
      </w:r>
    </w:p>
    <w:p w14:paraId="2828940A" w14:textId="76215DD9" w:rsidR="00A446A6" w:rsidRDefault="00B763FF" w:rsidP="002C1F05">
      <w:pPr>
        <w:spacing w:beforeLines="60" w:before="144" w:afterLines="60" w:after="144" w:line="360" w:lineRule="auto"/>
        <w:ind w:firstLine="360"/>
        <w:jc w:val="both"/>
        <w:rPr>
          <w:rFonts w:ascii="Times" w:hAnsi="Times" w:cs="Times"/>
          <w:sz w:val="24"/>
          <w:szCs w:val="24"/>
        </w:rPr>
      </w:pPr>
      <w:r w:rsidRPr="003E4547">
        <w:rPr>
          <w:rFonts w:ascii="Times" w:hAnsi="Times" w:cs="Times"/>
          <w:sz w:val="24"/>
          <w:szCs w:val="24"/>
        </w:rPr>
        <w:t xml:space="preserve">W art. </w:t>
      </w:r>
      <w:r w:rsidR="003E4547" w:rsidRPr="003E4547">
        <w:rPr>
          <w:rFonts w:ascii="Times" w:hAnsi="Times" w:cs="Times"/>
          <w:sz w:val="24"/>
          <w:szCs w:val="24"/>
        </w:rPr>
        <w:t>1</w:t>
      </w:r>
      <w:r w:rsidR="007A6E78">
        <w:rPr>
          <w:rFonts w:ascii="Times" w:hAnsi="Times" w:cs="Times"/>
          <w:sz w:val="24"/>
          <w:szCs w:val="24"/>
        </w:rPr>
        <w:t>7</w:t>
      </w:r>
      <w:r w:rsidRPr="003E4547">
        <w:rPr>
          <w:rFonts w:ascii="Times" w:hAnsi="Times" w:cs="Times"/>
          <w:sz w:val="24"/>
          <w:szCs w:val="24"/>
        </w:rPr>
        <w:t xml:space="preserve"> projektu ustawy</w:t>
      </w:r>
      <w:r w:rsidRPr="00613198">
        <w:rPr>
          <w:rFonts w:ascii="Times" w:hAnsi="Times" w:cs="Times"/>
          <w:sz w:val="24"/>
          <w:szCs w:val="24"/>
        </w:rPr>
        <w:t xml:space="preserve"> dodano przepis przejściowy, który ma na celu zapewnienie operatorowi systemu przesyłowego gazowego oraz operatorowi systemu połączonego gazowego odpowiedniej ilości czasu (3 miesiące o dnia wejścia w życie ustawy) na opracowanie oraz opublikowanie wzorców umów o świadczenie usług przesyłania paliw gazowych.</w:t>
      </w:r>
    </w:p>
    <w:p w14:paraId="788649D1" w14:textId="02784935" w:rsidR="00A446A6" w:rsidRPr="00613198" w:rsidRDefault="00A446A6" w:rsidP="00B36147">
      <w:pPr>
        <w:spacing w:line="360" w:lineRule="auto"/>
        <w:ind w:firstLine="360"/>
        <w:jc w:val="both"/>
        <w:rPr>
          <w:rFonts w:ascii="Times New Roman" w:hAnsi="Times New Roman" w:cs="Times New Roman"/>
          <w:b/>
          <w:bCs/>
          <w:sz w:val="24"/>
          <w:szCs w:val="24"/>
        </w:rPr>
      </w:pPr>
      <w:r w:rsidRPr="00613198">
        <w:rPr>
          <w:rFonts w:ascii="Times New Roman" w:hAnsi="Times New Roman" w:cs="Times New Roman"/>
          <w:b/>
          <w:bCs/>
          <w:sz w:val="24"/>
          <w:szCs w:val="24"/>
        </w:rPr>
        <w:t xml:space="preserve">Ad </w:t>
      </w:r>
      <w:r w:rsidR="00925345" w:rsidRPr="00613198">
        <w:rPr>
          <w:rFonts w:ascii="Times New Roman" w:hAnsi="Times New Roman" w:cs="Times New Roman"/>
          <w:b/>
          <w:bCs/>
          <w:sz w:val="24"/>
          <w:szCs w:val="24"/>
        </w:rPr>
        <w:t>1</w:t>
      </w:r>
      <w:r w:rsidR="00602418">
        <w:rPr>
          <w:rFonts w:ascii="Times New Roman" w:hAnsi="Times New Roman" w:cs="Times New Roman"/>
          <w:b/>
          <w:bCs/>
          <w:sz w:val="24"/>
          <w:szCs w:val="24"/>
        </w:rPr>
        <w:t>7</w:t>
      </w:r>
      <w:r w:rsidR="002C1F05" w:rsidRPr="00613198">
        <w:rPr>
          <w:rFonts w:ascii="Times New Roman" w:hAnsi="Times New Roman" w:cs="Times New Roman"/>
          <w:b/>
          <w:bCs/>
          <w:sz w:val="24"/>
          <w:szCs w:val="24"/>
        </w:rPr>
        <w:t>. Wprowadzenie p</w:t>
      </w:r>
      <w:r w:rsidRPr="00613198">
        <w:rPr>
          <w:rFonts w:ascii="Times New Roman" w:hAnsi="Times New Roman" w:cs="Times New Roman"/>
          <w:b/>
          <w:bCs/>
          <w:sz w:val="24"/>
          <w:szCs w:val="24"/>
        </w:rPr>
        <w:t xml:space="preserve">odstawy prawnej do </w:t>
      </w:r>
      <w:r w:rsidR="000858C0">
        <w:rPr>
          <w:rFonts w:ascii="Times New Roman" w:hAnsi="Times New Roman" w:cs="Times New Roman"/>
          <w:b/>
          <w:bCs/>
          <w:sz w:val="24"/>
          <w:szCs w:val="24"/>
        </w:rPr>
        <w:t xml:space="preserve">koordynowania działań i </w:t>
      </w:r>
      <w:r w:rsidRPr="00613198">
        <w:rPr>
          <w:rFonts w:ascii="Times New Roman" w:hAnsi="Times New Roman" w:cs="Times New Roman"/>
          <w:b/>
          <w:bCs/>
          <w:sz w:val="24"/>
          <w:szCs w:val="24"/>
        </w:rPr>
        <w:t xml:space="preserve">wymiany informacji w przypadku wniosków o przyłączenie do sieci gazowej i sieci elektroenergetycznej </w:t>
      </w:r>
    </w:p>
    <w:p w14:paraId="0D5D0EE0" w14:textId="564DA974" w:rsidR="00B763FF" w:rsidRPr="00613198" w:rsidRDefault="00B763FF" w:rsidP="00B763FF">
      <w:pPr>
        <w:spacing w:beforeLines="60" w:before="144" w:afterLines="60" w:after="144" w:line="360" w:lineRule="auto"/>
        <w:ind w:firstLine="360"/>
        <w:jc w:val="both"/>
        <w:rPr>
          <w:rFonts w:ascii="Times" w:hAnsi="Times" w:cs="Times"/>
          <w:sz w:val="24"/>
          <w:szCs w:val="24"/>
        </w:rPr>
      </w:pPr>
      <w:r w:rsidRPr="00613198">
        <w:rPr>
          <w:rFonts w:ascii="Times" w:hAnsi="Times" w:cs="Times"/>
          <w:sz w:val="24"/>
          <w:szCs w:val="24"/>
        </w:rPr>
        <w:t xml:space="preserve">W art. 7 ustawy – </w:t>
      </w:r>
      <w:r w:rsidR="00BF79A7" w:rsidRPr="00613198">
        <w:rPr>
          <w:rFonts w:ascii="Times" w:hAnsi="Times" w:cs="Times"/>
          <w:sz w:val="24"/>
          <w:szCs w:val="24"/>
        </w:rPr>
        <w:t>Prawo energetyczne</w:t>
      </w:r>
      <w:r w:rsidRPr="00613198">
        <w:rPr>
          <w:rFonts w:ascii="Times" w:hAnsi="Times" w:cs="Times"/>
          <w:sz w:val="24"/>
          <w:szCs w:val="24"/>
        </w:rPr>
        <w:t>, proponuje się dodanie ustępów 3</w:t>
      </w:r>
      <w:r w:rsidR="002124FC">
        <w:rPr>
          <w:rFonts w:ascii="Times" w:hAnsi="Times" w:cs="Times"/>
          <w:sz w:val="24"/>
          <w:szCs w:val="24"/>
        </w:rPr>
        <w:t>f</w:t>
      </w:r>
      <w:r w:rsidRPr="00613198">
        <w:rPr>
          <w:rFonts w:ascii="Times" w:hAnsi="Times" w:cs="Times"/>
          <w:sz w:val="24"/>
          <w:szCs w:val="24"/>
        </w:rPr>
        <w:t xml:space="preserve"> – 3</w:t>
      </w:r>
      <w:r w:rsidR="002124FC">
        <w:rPr>
          <w:rFonts w:ascii="Times" w:hAnsi="Times" w:cs="Times"/>
          <w:sz w:val="24"/>
          <w:szCs w:val="24"/>
        </w:rPr>
        <w:t>l</w:t>
      </w:r>
      <w:r w:rsidRPr="00613198">
        <w:rPr>
          <w:rFonts w:ascii="Times" w:hAnsi="Times" w:cs="Times"/>
          <w:sz w:val="24"/>
          <w:szCs w:val="24"/>
        </w:rPr>
        <w:t>, które mają na celu zapewnienie przedsiębiorstwom energetycznym zajmującym się przesyłaniem lub dystrybucją energii elektrycznej oraz przedsiębiorstwom energetycznym zajmującym się przesyłaniem lub dystrybucją paliw gazow</w:t>
      </w:r>
      <w:r w:rsidR="00602418">
        <w:rPr>
          <w:rFonts w:ascii="Times" w:hAnsi="Times" w:cs="Times"/>
          <w:sz w:val="24"/>
          <w:szCs w:val="24"/>
        </w:rPr>
        <w:t>ych</w:t>
      </w:r>
      <w:r w:rsidRPr="00613198">
        <w:rPr>
          <w:rFonts w:ascii="Times" w:hAnsi="Times" w:cs="Times"/>
          <w:sz w:val="24"/>
          <w:szCs w:val="24"/>
        </w:rPr>
        <w:t xml:space="preserve"> podstawy do wymiany informacji oraz koordynowania działań, w zakresie:</w:t>
      </w:r>
    </w:p>
    <w:p w14:paraId="461060FF" w14:textId="563A76DA" w:rsidR="00B763FF" w:rsidRPr="00613198" w:rsidRDefault="00B763FF" w:rsidP="00B763FF">
      <w:pPr>
        <w:spacing w:beforeLines="60" w:before="144" w:afterLines="60" w:after="144" w:line="360" w:lineRule="auto"/>
        <w:ind w:firstLine="360"/>
        <w:jc w:val="both"/>
        <w:rPr>
          <w:rFonts w:ascii="Times" w:hAnsi="Times" w:cs="Times"/>
          <w:sz w:val="24"/>
          <w:szCs w:val="24"/>
        </w:rPr>
      </w:pPr>
      <w:r w:rsidRPr="00613198">
        <w:rPr>
          <w:rFonts w:ascii="Times" w:hAnsi="Times" w:cs="Times"/>
          <w:sz w:val="24"/>
          <w:szCs w:val="24"/>
        </w:rPr>
        <w:t>1) złożonych wniosków o wydanie warunków przyłączenia jednostek wytwórczych energii elektrycznej zasilanych paliwem gazowym do sieci przesyłowej gazowej i sieci przesyłowej elektroenergetycznej oraz niezbędnych informacji zawartych w wydanych warunkach przyłączenia (a także okoliczności cofnięcia warunków);</w:t>
      </w:r>
    </w:p>
    <w:p w14:paraId="7D65E442" w14:textId="24993397" w:rsidR="00B763FF" w:rsidRPr="00613198" w:rsidRDefault="00B763FF" w:rsidP="00B763FF">
      <w:pPr>
        <w:spacing w:beforeLines="60" w:before="144" w:afterLines="60" w:after="144" w:line="360" w:lineRule="auto"/>
        <w:ind w:firstLine="360"/>
        <w:jc w:val="both"/>
        <w:rPr>
          <w:rFonts w:ascii="Times" w:hAnsi="Times" w:cs="Times"/>
          <w:sz w:val="24"/>
          <w:szCs w:val="24"/>
        </w:rPr>
      </w:pPr>
      <w:r w:rsidRPr="00613198">
        <w:rPr>
          <w:rFonts w:ascii="Times" w:hAnsi="Times" w:cs="Times"/>
          <w:sz w:val="24"/>
          <w:szCs w:val="24"/>
        </w:rPr>
        <w:t>2) zawierania i realizacji umów o przyłączenie jednostek wytwórczych energii elektrycznej zasilanych paliwem gazowym do sieci przesyłowej gazowej i sieci przesyłowej elektroenergetycznej; oraz</w:t>
      </w:r>
    </w:p>
    <w:p w14:paraId="48F2BF12" w14:textId="77777777" w:rsidR="00B763FF" w:rsidRPr="00613198" w:rsidRDefault="00B763FF" w:rsidP="00B763FF">
      <w:pPr>
        <w:spacing w:beforeLines="60" w:before="144" w:afterLines="60" w:after="144" w:line="360" w:lineRule="auto"/>
        <w:ind w:firstLine="360"/>
        <w:jc w:val="both"/>
        <w:rPr>
          <w:rFonts w:ascii="Times" w:hAnsi="Times" w:cs="Times"/>
          <w:sz w:val="24"/>
          <w:szCs w:val="24"/>
        </w:rPr>
      </w:pPr>
      <w:r w:rsidRPr="00613198">
        <w:rPr>
          <w:rFonts w:ascii="Times" w:hAnsi="Times" w:cs="Times"/>
          <w:sz w:val="24"/>
          <w:szCs w:val="24"/>
        </w:rPr>
        <w:t>3) uzgodnienia harmonogramów przyłączenia do sieci gazowej i elektroenergetycznej.</w:t>
      </w:r>
    </w:p>
    <w:p w14:paraId="23990290" w14:textId="77777777" w:rsidR="00B763FF" w:rsidRPr="00613198" w:rsidRDefault="00B763FF" w:rsidP="00B763FF">
      <w:pPr>
        <w:spacing w:beforeLines="60" w:before="144" w:afterLines="60" w:after="144" w:line="360" w:lineRule="auto"/>
        <w:ind w:firstLine="360"/>
        <w:jc w:val="both"/>
        <w:rPr>
          <w:rFonts w:ascii="Times" w:hAnsi="Times" w:cs="Times"/>
          <w:sz w:val="24"/>
          <w:szCs w:val="24"/>
        </w:rPr>
      </w:pPr>
      <w:r w:rsidRPr="00613198">
        <w:rPr>
          <w:rFonts w:ascii="Times" w:hAnsi="Times" w:cs="Times"/>
          <w:sz w:val="24"/>
          <w:szCs w:val="24"/>
        </w:rPr>
        <w:t>Ponadto, proponowana zmiana reguluje zasady na jakich ww. przedsiębiorstwa energetyczne przekazują sobie informacje o jednostkach wytwórczych, które będą przyłączane do sieci przesyłowej gazowej i elektroenergetycznej.</w:t>
      </w:r>
    </w:p>
    <w:p w14:paraId="40040CCE" w14:textId="0B6CEF2D" w:rsidR="00B763FF" w:rsidRPr="00613198" w:rsidRDefault="00B763FF" w:rsidP="00B763FF">
      <w:pPr>
        <w:spacing w:beforeLines="60" w:before="144" w:afterLines="60" w:after="144" w:line="360" w:lineRule="auto"/>
        <w:ind w:firstLine="360"/>
        <w:jc w:val="both"/>
        <w:rPr>
          <w:rFonts w:ascii="Times" w:hAnsi="Times" w:cs="Times"/>
          <w:sz w:val="24"/>
          <w:szCs w:val="24"/>
        </w:rPr>
      </w:pPr>
      <w:r w:rsidRPr="00613198">
        <w:rPr>
          <w:rFonts w:ascii="Times" w:hAnsi="Times" w:cs="Times"/>
          <w:sz w:val="24"/>
          <w:szCs w:val="24"/>
        </w:rPr>
        <w:t xml:space="preserve">Koordynacja i usprawnienie procesu przyłączenia jednostek wytwórczych do sieci przesyłowej gazowej i elektroenergetycznej wymaga wymiany pomiędzy przedsiębiorstwami </w:t>
      </w:r>
      <w:r w:rsidRPr="00613198">
        <w:rPr>
          <w:rFonts w:ascii="Times" w:hAnsi="Times" w:cs="Times"/>
          <w:sz w:val="24"/>
          <w:szCs w:val="24"/>
        </w:rPr>
        <w:lastRenderedPageBreak/>
        <w:t>energetycznymi zajmującymi się przesyłaniem lub dystrybucją energii elektrycznej oraz  przedsiębiorstwami energetycznymi zajmującymi się przesyłaniem lub dystrybucją paliwa gazowego - danych i informacji dotyczących planowanych przez podmioty ubiegające się o przyłączenie zamierzeń inwestycyjnych związanych z budową jednostek wytwórczych energii elektrycznej zasilanych paliwem gazowym i ich przyłączenia do ww. sieci przesyłowych, w tym informacji wynikających z wniosków o określenie warunków przyłączenia.</w:t>
      </w:r>
    </w:p>
    <w:p w14:paraId="59C2E52F" w14:textId="1CB7B279" w:rsidR="00B763FF" w:rsidRPr="00613198" w:rsidRDefault="00B763FF" w:rsidP="00B763FF">
      <w:pPr>
        <w:spacing w:beforeLines="60" w:before="144" w:afterLines="60" w:after="144" w:line="360" w:lineRule="auto"/>
        <w:ind w:firstLine="360"/>
        <w:jc w:val="both"/>
        <w:rPr>
          <w:rFonts w:ascii="Times" w:hAnsi="Times" w:cs="Times"/>
          <w:sz w:val="24"/>
          <w:szCs w:val="24"/>
        </w:rPr>
      </w:pPr>
      <w:r w:rsidRPr="00613198">
        <w:rPr>
          <w:rFonts w:ascii="Times" w:hAnsi="Times" w:cs="Times"/>
          <w:sz w:val="24"/>
          <w:szCs w:val="24"/>
        </w:rPr>
        <w:t>Dodanie w projekcie ustawy do art. 7 ust. 8g</w:t>
      </w:r>
      <w:r w:rsidRPr="00613198">
        <w:rPr>
          <w:rFonts w:ascii="Times" w:hAnsi="Times" w:cs="Times"/>
          <w:sz w:val="24"/>
          <w:szCs w:val="24"/>
          <w:vertAlign w:val="superscript"/>
        </w:rPr>
        <w:t>8</w:t>
      </w:r>
      <w:r w:rsidRPr="00613198">
        <w:rPr>
          <w:rFonts w:ascii="Times" w:hAnsi="Times" w:cs="Times"/>
          <w:sz w:val="24"/>
          <w:szCs w:val="24"/>
        </w:rPr>
        <w:t xml:space="preserve"> ma na celu doprecyzowanie początku biegu terminu od którego przedsiębiorstwa energetyczne zajmujące się przesyłaniem lub dystrybucją energii elektrycznej lub paliw gazowych zobowiązane są do wydania warunków przyłączenia podmiotowi ubiegającemu się o przyłączenie do sieci gazowej oraz sieci elektroenergetycznej. Zmiana jest następstwem dodania do art. 7 ust. 3</w:t>
      </w:r>
      <w:r w:rsidR="002124FC">
        <w:rPr>
          <w:rFonts w:ascii="Times" w:hAnsi="Times" w:cs="Times"/>
          <w:sz w:val="24"/>
          <w:szCs w:val="24"/>
        </w:rPr>
        <w:t>f</w:t>
      </w:r>
      <w:r w:rsidRPr="00613198">
        <w:rPr>
          <w:rFonts w:ascii="Times" w:hAnsi="Times" w:cs="Times"/>
          <w:sz w:val="24"/>
          <w:szCs w:val="24"/>
        </w:rPr>
        <w:t>.</w:t>
      </w:r>
    </w:p>
    <w:p w14:paraId="427A5362" w14:textId="4911298B" w:rsidR="00571256" w:rsidRPr="00613198" w:rsidRDefault="00571256" w:rsidP="00F6173B">
      <w:pPr>
        <w:spacing w:beforeLines="60" w:before="144" w:afterLines="60" w:after="144" w:line="360" w:lineRule="auto"/>
        <w:ind w:firstLine="360"/>
        <w:jc w:val="both"/>
        <w:rPr>
          <w:rFonts w:ascii="Times" w:hAnsi="Times" w:cs="Times"/>
          <w:sz w:val="24"/>
          <w:szCs w:val="24"/>
        </w:rPr>
      </w:pPr>
      <w:r w:rsidRPr="00613198">
        <w:rPr>
          <w:rFonts w:ascii="Times" w:hAnsi="Times" w:cs="Times"/>
          <w:sz w:val="24"/>
          <w:szCs w:val="24"/>
        </w:rPr>
        <w:t>Dodatkowo dokonuje się zmiany art. 16 ust. 2</w:t>
      </w:r>
      <w:r w:rsidR="001B28BC" w:rsidRPr="00613198">
        <w:rPr>
          <w:rFonts w:ascii="Times" w:hAnsi="Times" w:cs="Times"/>
          <w:sz w:val="24"/>
          <w:szCs w:val="24"/>
        </w:rPr>
        <w:t>4</w:t>
      </w:r>
      <w:r w:rsidRPr="00613198">
        <w:rPr>
          <w:rFonts w:ascii="Times" w:hAnsi="Times" w:cs="Times"/>
          <w:sz w:val="24"/>
          <w:szCs w:val="24"/>
        </w:rPr>
        <w:t xml:space="preserve"> ustawy – </w:t>
      </w:r>
      <w:r w:rsidR="00BF79A7" w:rsidRPr="00613198">
        <w:rPr>
          <w:rFonts w:ascii="Times" w:hAnsi="Times" w:cs="Times"/>
          <w:sz w:val="24"/>
          <w:szCs w:val="24"/>
        </w:rPr>
        <w:t>Prawo energetyczne</w:t>
      </w:r>
      <w:r w:rsidRPr="00613198">
        <w:rPr>
          <w:rFonts w:ascii="Times" w:hAnsi="Times" w:cs="Times"/>
          <w:sz w:val="24"/>
          <w:szCs w:val="24"/>
        </w:rPr>
        <w:t xml:space="preserve">. Proponuje się nałożenie na operatora systemu dystrybucyjnego gazowego obowiązku </w:t>
      </w:r>
      <w:r w:rsidR="006E0AA1" w:rsidRPr="006E0AA1">
        <w:rPr>
          <w:rFonts w:ascii="Times" w:hAnsi="Times" w:cs="Times"/>
          <w:sz w:val="24"/>
          <w:szCs w:val="24"/>
        </w:rPr>
        <w:t>publik</w:t>
      </w:r>
      <w:r w:rsidR="006E0AA1">
        <w:rPr>
          <w:rFonts w:ascii="Times" w:hAnsi="Times" w:cs="Times"/>
          <w:sz w:val="24"/>
          <w:szCs w:val="24"/>
        </w:rPr>
        <w:t>acji</w:t>
      </w:r>
      <w:r w:rsidR="006E0AA1" w:rsidRPr="006E0AA1">
        <w:rPr>
          <w:rFonts w:ascii="Times" w:hAnsi="Times" w:cs="Times"/>
          <w:sz w:val="24"/>
          <w:szCs w:val="24"/>
        </w:rPr>
        <w:t xml:space="preserve"> i </w:t>
      </w:r>
      <w:r w:rsidR="006E0AA1">
        <w:rPr>
          <w:rFonts w:ascii="Times" w:hAnsi="Times" w:cs="Times"/>
          <w:sz w:val="24"/>
          <w:szCs w:val="24"/>
        </w:rPr>
        <w:t xml:space="preserve">regularnej </w:t>
      </w:r>
      <w:r w:rsidR="006E0AA1" w:rsidRPr="006E0AA1">
        <w:rPr>
          <w:rFonts w:ascii="Times" w:hAnsi="Times" w:cs="Times"/>
          <w:sz w:val="24"/>
          <w:szCs w:val="24"/>
        </w:rPr>
        <w:t>aktualiz</w:t>
      </w:r>
      <w:r w:rsidR="006E0AA1">
        <w:rPr>
          <w:rFonts w:ascii="Times" w:hAnsi="Times" w:cs="Times"/>
          <w:sz w:val="24"/>
          <w:szCs w:val="24"/>
        </w:rPr>
        <w:t>acji</w:t>
      </w:r>
      <w:r w:rsidR="006E0AA1" w:rsidRPr="006E0AA1">
        <w:rPr>
          <w:rFonts w:ascii="Times" w:hAnsi="Times" w:cs="Times"/>
          <w:sz w:val="24"/>
          <w:szCs w:val="24"/>
        </w:rPr>
        <w:t xml:space="preserve"> na swojej stronie internetowej informacj</w:t>
      </w:r>
      <w:r w:rsidR="006E0AA1">
        <w:rPr>
          <w:rFonts w:ascii="Times" w:hAnsi="Times" w:cs="Times"/>
          <w:sz w:val="24"/>
          <w:szCs w:val="24"/>
        </w:rPr>
        <w:t>i</w:t>
      </w:r>
      <w:r w:rsidR="006E0AA1" w:rsidRPr="006E0AA1">
        <w:rPr>
          <w:rFonts w:ascii="Times" w:hAnsi="Times" w:cs="Times"/>
          <w:sz w:val="24"/>
          <w:szCs w:val="24"/>
        </w:rPr>
        <w:t xml:space="preserve"> o dostępnych rezerwach przepustowości w punktach wyjścia do dystrybucyjnych sieci gazowych wraz z aktualnymi parametrami techniczno-pomiarowymi tych punktów</w:t>
      </w:r>
      <w:r w:rsidRPr="00613198">
        <w:rPr>
          <w:rFonts w:ascii="Times" w:hAnsi="Times" w:cs="Times"/>
          <w:sz w:val="24"/>
          <w:szCs w:val="24"/>
        </w:rPr>
        <w:t>. Powyższe ma na celu usprawnienie zarządzania rozwojem sieci przesyłowej poprzez zapewnienie informacji umożliwiających planowanie rozbudowy sieci przesyłowej, ustalania terminów oraz zakresów remontów związanych ze zwiększonym przepływem paliw gazowych generowanym przez przyłączane jednostki. Zmiana wpłynie pozytywnie na całość procesów związanych z bieżącym utrzymaniem infrastruktury oraz zarzadzaniem przepływami paliw gazowych w sieci, co będzie sprzyjać trafniejszemu lokowaniu środków oraz w efekcie zmniejszeniu kosztów związanych z rozwojem sieci przesyłowej.</w:t>
      </w:r>
    </w:p>
    <w:p w14:paraId="4F870CF5" w14:textId="1680A093" w:rsidR="00A446A6" w:rsidRPr="00613198" w:rsidRDefault="00A446A6" w:rsidP="00B36147">
      <w:pPr>
        <w:pStyle w:val="Akapitzlist"/>
        <w:spacing w:line="360" w:lineRule="auto"/>
        <w:ind w:left="0" w:firstLine="360"/>
        <w:jc w:val="both"/>
        <w:rPr>
          <w:rFonts w:ascii="Times New Roman" w:hAnsi="Times New Roman" w:cs="Times New Roman"/>
          <w:b/>
          <w:bCs/>
          <w:sz w:val="24"/>
          <w:szCs w:val="24"/>
        </w:rPr>
      </w:pPr>
      <w:r w:rsidRPr="00613198">
        <w:rPr>
          <w:rFonts w:ascii="Times" w:hAnsi="Times" w:cs="Times"/>
          <w:b/>
          <w:bCs/>
          <w:sz w:val="24"/>
          <w:szCs w:val="24"/>
        </w:rPr>
        <w:t xml:space="preserve">Ad </w:t>
      </w:r>
      <w:r w:rsidR="00925345" w:rsidRPr="00613198">
        <w:rPr>
          <w:rFonts w:ascii="Times" w:hAnsi="Times" w:cs="Times"/>
          <w:b/>
          <w:bCs/>
          <w:sz w:val="24"/>
          <w:szCs w:val="24"/>
        </w:rPr>
        <w:t>1</w:t>
      </w:r>
      <w:r w:rsidR="00145383">
        <w:rPr>
          <w:rFonts w:ascii="Times" w:hAnsi="Times" w:cs="Times"/>
          <w:b/>
          <w:bCs/>
          <w:sz w:val="24"/>
          <w:szCs w:val="24"/>
        </w:rPr>
        <w:t>8</w:t>
      </w:r>
      <w:r w:rsidR="002C1F05" w:rsidRPr="00613198">
        <w:rPr>
          <w:rFonts w:ascii="Times" w:hAnsi="Times" w:cs="Times"/>
          <w:b/>
          <w:bCs/>
          <w:sz w:val="24"/>
          <w:szCs w:val="24"/>
        </w:rPr>
        <w:t>.</w:t>
      </w:r>
      <w:r w:rsidRPr="00613198">
        <w:rPr>
          <w:rFonts w:ascii="Times" w:hAnsi="Times" w:cs="Times"/>
          <w:b/>
          <w:bCs/>
          <w:sz w:val="24"/>
          <w:szCs w:val="24"/>
        </w:rPr>
        <w:t xml:space="preserve"> </w:t>
      </w:r>
      <w:r w:rsidR="002C1F05" w:rsidRPr="00613198">
        <w:rPr>
          <w:rFonts w:ascii="Times New Roman" w:hAnsi="Times New Roman" w:cs="Times New Roman"/>
          <w:b/>
          <w:bCs/>
          <w:sz w:val="24"/>
          <w:szCs w:val="24"/>
        </w:rPr>
        <w:t>P</w:t>
      </w:r>
      <w:r w:rsidRPr="00613198">
        <w:rPr>
          <w:rFonts w:ascii="Times New Roman" w:hAnsi="Times New Roman" w:cs="Times New Roman"/>
          <w:b/>
          <w:bCs/>
          <w:sz w:val="24"/>
          <w:szCs w:val="24"/>
        </w:rPr>
        <w:t>rowadzeni</w:t>
      </w:r>
      <w:r w:rsidR="002C1F05" w:rsidRPr="00613198">
        <w:rPr>
          <w:rFonts w:ascii="Times New Roman" w:hAnsi="Times New Roman" w:cs="Times New Roman"/>
          <w:b/>
          <w:bCs/>
          <w:sz w:val="24"/>
          <w:szCs w:val="24"/>
        </w:rPr>
        <w:t>e</w:t>
      </w:r>
      <w:r w:rsidRPr="00613198">
        <w:rPr>
          <w:rFonts w:ascii="Times New Roman" w:hAnsi="Times New Roman" w:cs="Times New Roman"/>
          <w:b/>
          <w:bCs/>
          <w:sz w:val="24"/>
          <w:szCs w:val="24"/>
        </w:rPr>
        <w:t xml:space="preserve"> przez operatora systemu magazynowania działalności w zakresie skraplania lub regazyfikacji gazu ziemnego</w:t>
      </w:r>
      <w:r w:rsidR="002838E8" w:rsidRPr="00613198">
        <w:rPr>
          <w:rFonts w:ascii="Times New Roman" w:hAnsi="Times New Roman" w:cs="Times New Roman"/>
          <w:b/>
          <w:bCs/>
          <w:sz w:val="24"/>
          <w:szCs w:val="24"/>
        </w:rPr>
        <w:t xml:space="preserve">. </w:t>
      </w:r>
      <w:r w:rsidR="002838E8" w:rsidRPr="00613198">
        <w:rPr>
          <w:rFonts w:ascii="Times" w:hAnsi="Times" w:cs="Times"/>
          <w:b/>
          <w:bCs/>
          <w:sz w:val="24"/>
          <w:szCs w:val="24"/>
        </w:rPr>
        <w:t>Odzyskiwanie energii z procesów technologicznych.</w:t>
      </w:r>
    </w:p>
    <w:p w14:paraId="24DF1E3B" w14:textId="2AF57657" w:rsidR="00B763FF" w:rsidRPr="00613198" w:rsidRDefault="00B763FF" w:rsidP="00B763FF">
      <w:pPr>
        <w:spacing w:beforeLines="60" w:before="144" w:afterLines="60" w:after="144" w:line="360" w:lineRule="auto"/>
        <w:ind w:firstLine="360"/>
        <w:jc w:val="both"/>
        <w:rPr>
          <w:rFonts w:ascii="Times" w:hAnsi="Times" w:cs="Times"/>
          <w:b/>
          <w:bCs/>
          <w:sz w:val="24"/>
          <w:szCs w:val="24"/>
        </w:rPr>
      </w:pPr>
      <w:r w:rsidRPr="00613198">
        <w:rPr>
          <w:rFonts w:ascii="Times" w:hAnsi="Times" w:cs="Times"/>
          <w:b/>
          <w:bCs/>
          <w:sz w:val="24"/>
          <w:szCs w:val="24"/>
        </w:rPr>
        <w:t xml:space="preserve">Zmiany w art. 9d ustawy - </w:t>
      </w:r>
      <w:r w:rsidR="00BF79A7" w:rsidRPr="00613198">
        <w:rPr>
          <w:rFonts w:ascii="Times" w:hAnsi="Times" w:cs="Times"/>
          <w:b/>
          <w:bCs/>
          <w:sz w:val="24"/>
          <w:szCs w:val="24"/>
        </w:rPr>
        <w:t>Prawo energetyczne</w:t>
      </w:r>
    </w:p>
    <w:p w14:paraId="1E979554" w14:textId="14A07534" w:rsidR="00B763FF" w:rsidRPr="00613198" w:rsidRDefault="00B763FF" w:rsidP="00B36147">
      <w:pPr>
        <w:spacing w:beforeLines="60" w:before="144" w:afterLines="60" w:after="144" w:line="360" w:lineRule="auto"/>
        <w:ind w:firstLine="708"/>
        <w:jc w:val="both"/>
        <w:rPr>
          <w:rFonts w:ascii="Times" w:hAnsi="Times" w:cs="Times"/>
          <w:b/>
          <w:bCs/>
          <w:sz w:val="24"/>
          <w:szCs w:val="24"/>
        </w:rPr>
      </w:pPr>
      <w:r w:rsidRPr="00613198">
        <w:rPr>
          <w:rFonts w:ascii="Times" w:hAnsi="Times" w:cs="Times"/>
          <w:b/>
          <w:bCs/>
          <w:sz w:val="24"/>
          <w:szCs w:val="24"/>
        </w:rPr>
        <w:t>a)</w:t>
      </w:r>
      <w:r w:rsidR="002838E8" w:rsidRPr="00613198">
        <w:rPr>
          <w:rFonts w:ascii="Times" w:hAnsi="Times" w:cs="Times"/>
          <w:b/>
          <w:bCs/>
          <w:sz w:val="24"/>
          <w:szCs w:val="24"/>
        </w:rPr>
        <w:t xml:space="preserve"> </w:t>
      </w:r>
      <w:r w:rsidRPr="00613198">
        <w:rPr>
          <w:rFonts w:ascii="Times" w:hAnsi="Times" w:cs="Times"/>
          <w:b/>
          <w:bCs/>
          <w:sz w:val="24"/>
          <w:szCs w:val="24"/>
        </w:rPr>
        <w:t>zmiana w ust. 1f</w:t>
      </w:r>
    </w:p>
    <w:p w14:paraId="3FB27ADD" w14:textId="75292A00" w:rsidR="002A4151" w:rsidRPr="00613198" w:rsidRDefault="00B763FF" w:rsidP="00EC01C5">
      <w:pPr>
        <w:spacing w:beforeLines="60" w:before="144" w:afterLines="60" w:after="144" w:line="360" w:lineRule="auto"/>
        <w:ind w:firstLine="360"/>
        <w:jc w:val="both"/>
        <w:rPr>
          <w:rFonts w:ascii="Times" w:hAnsi="Times" w:cs="Times"/>
          <w:sz w:val="24"/>
          <w:szCs w:val="24"/>
        </w:rPr>
      </w:pPr>
      <w:r w:rsidRPr="00613198">
        <w:rPr>
          <w:rFonts w:ascii="Times" w:hAnsi="Times" w:cs="Times"/>
          <w:sz w:val="24"/>
          <w:szCs w:val="24"/>
        </w:rPr>
        <w:t>Proponowana zmiana ma na celu rozstrzygnięcie wątpliwości dotyczących możliwości prowadzenia przez operatora systemu magazynowania działalności w zakresie skraplania lub regazyfikacji gazu ziemnego</w:t>
      </w:r>
      <w:r w:rsidR="00EC01C5">
        <w:rPr>
          <w:rFonts w:ascii="Times" w:hAnsi="Times" w:cs="Times"/>
          <w:sz w:val="24"/>
          <w:szCs w:val="24"/>
        </w:rPr>
        <w:t xml:space="preserve">. </w:t>
      </w:r>
      <w:r w:rsidR="002A4151" w:rsidRPr="002A4151">
        <w:rPr>
          <w:rFonts w:ascii="Times" w:hAnsi="Times" w:cs="Times"/>
          <w:sz w:val="24"/>
          <w:szCs w:val="24"/>
        </w:rPr>
        <w:t xml:space="preserve">Zgodnie bowiem z art. 9h ust. 1 ustawy - Prawa energetycznego Prezes URE, na wniosek właściciela sieci przesyłowej, sieci dystrybucyjnej, instalacji </w:t>
      </w:r>
      <w:r w:rsidR="002A4151" w:rsidRPr="002A4151">
        <w:rPr>
          <w:rFonts w:ascii="Times" w:hAnsi="Times" w:cs="Times"/>
          <w:sz w:val="24"/>
          <w:szCs w:val="24"/>
        </w:rPr>
        <w:lastRenderedPageBreak/>
        <w:t>magazynowej lub instalacji skroplonego gazu ziemnego, wyznacza, w drodze decyzji, na czas określony, operatora systemu przesyłowego, systemu dystrybucyjnego, systemu magazynowania, systemu skraplania gazu ziemnego lub operatora systemu połączonego oraz określa obszar, sieci lub instalacje, na których będzie wykonywana działalność gospodarcza, z zastrzeżeniem ust. 1a–2. Art. 9d ust. 1f w aktualnie obowiązującym brzmieniu nie przewiduje natomiast by operator systemu magazynowania mógł wykonywać działalność związaną ze skraplaniem gazu ziemnego, co rodziło dotychczas wątpliwości interpretacyjne. Dlatego też kwestia ta wymaga ostatecznego rozstrzygnięcia na drodze jasno sformułowanego przepisu ustawy, która taką możliwość przewiduje.</w:t>
      </w:r>
    </w:p>
    <w:p w14:paraId="4D9C3FAD" w14:textId="70FF1AE9" w:rsidR="00B763FF" w:rsidRPr="00613198" w:rsidRDefault="002838E8" w:rsidP="00B36147">
      <w:pPr>
        <w:spacing w:beforeLines="60" w:before="144" w:afterLines="60" w:after="144" w:line="360" w:lineRule="auto"/>
        <w:ind w:firstLine="708"/>
        <w:jc w:val="both"/>
        <w:rPr>
          <w:rFonts w:ascii="Times" w:hAnsi="Times" w:cs="Times"/>
          <w:b/>
          <w:bCs/>
          <w:sz w:val="24"/>
          <w:szCs w:val="24"/>
        </w:rPr>
      </w:pPr>
      <w:r w:rsidRPr="00613198">
        <w:rPr>
          <w:rFonts w:ascii="Times" w:hAnsi="Times" w:cs="Times"/>
          <w:b/>
          <w:bCs/>
          <w:sz w:val="24"/>
          <w:szCs w:val="24"/>
        </w:rPr>
        <w:t>b) dodanie</w:t>
      </w:r>
      <w:r w:rsidR="00B763FF" w:rsidRPr="00613198">
        <w:rPr>
          <w:rFonts w:ascii="Times" w:hAnsi="Times" w:cs="Times"/>
          <w:b/>
          <w:bCs/>
          <w:sz w:val="24"/>
          <w:szCs w:val="24"/>
        </w:rPr>
        <w:t xml:space="preserve"> ust. 1ha</w:t>
      </w:r>
    </w:p>
    <w:p w14:paraId="7E43BAB1" w14:textId="1EB104FC" w:rsidR="00B763FF" w:rsidRPr="00613198" w:rsidRDefault="00B763FF" w:rsidP="00B763FF">
      <w:pPr>
        <w:spacing w:beforeLines="60" w:before="144" w:afterLines="60" w:after="144" w:line="360" w:lineRule="auto"/>
        <w:ind w:firstLine="360"/>
        <w:jc w:val="both"/>
        <w:rPr>
          <w:rFonts w:ascii="Times" w:hAnsi="Times" w:cs="Times"/>
          <w:sz w:val="24"/>
          <w:szCs w:val="24"/>
        </w:rPr>
      </w:pPr>
      <w:r w:rsidRPr="00613198">
        <w:rPr>
          <w:rFonts w:ascii="Times" w:hAnsi="Times" w:cs="Times"/>
          <w:sz w:val="24"/>
          <w:szCs w:val="24"/>
        </w:rPr>
        <w:t>Projekt ustawy zakłada również dodanie w art. 9 ust. 1ha, który dopuszcza możliwość prowadzenia przez operatora systemu przesyłowego gazowego, operatora systemu połączonego gazowego, operatora systemu dystrybucyjnego gazowego</w:t>
      </w:r>
      <w:r w:rsidR="002A534B">
        <w:rPr>
          <w:rFonts w:ascii="Times" w:hAnsi="Times" w:cs="Times"/>
          <w:sz w:val="24"/>
          <w:szCs w:val="24"/>
        </w:rPr>
        <w:t>, operatora systemu magazynowania</w:t>
      </w:r>
      <w:r w:rsidRPr="00613198">
        <w:rPr>
          <w:rFonts w:ascii="Times" w:hAnsi="Times" w:cs="Times"/>
          <w:sz w:val="24"/>
          <w:szCs w:val="24"/>
        </w:rPr>
        <w:t xml:space="preserve"> oraz operatora systemu skraplania gazu ziemnego działalności w zakresie odzyskiwania energii z procesów technologicznych związanych z realizowanymi przez nich zadaniami, w szczególności odzyskiwania energii odpadowej, w tym energii rozprężania gazu ziemnego, regazyfikacji lub skraplania gazu. Działania te mają służyć poprawie efektywności energetycznej, która jest jednym z podstawowych celów polityki </w:t>
      </w:r>
      <w:proofErr w:type="spellStart"/>
      <w:r w:rsidRPr="00613198">
        <w:rPr>
          <w:rFonts w:ascii="Times" w:hAnsi="Times" w:cs="Times"/>
          <w:sz w:val="24"/>
          <w:szCs w:val="24"/>
        </w:rPr>
        <w:t>klimatyczno</w:t>
      </w:r>
      <w:proofErr w:type="spellEnd"/>
      <w:r w:rsidRPr="00613198">
        <w:rPr>
          <w:rFonts w:ascii="Times" w:hAnsi="Times" w:cs="Times"/>
          <w:sz w:val="24"/>
          <w:szCs w:val="24"/>
        </w:rPr>
        <w:t>–energetycznej, w tym w szczególności realizowania przedsięwzięć, o których mowa w art. 19 ust. 1 pkt 4 i 5 lit. b oraz pkt 6 ustawy z dnia 20 maja 2016 r. o efektywności energetycznej  (Dz. U. z 202</w:t>
      </w:r>
      <w:r w:rsidR="00995F22">
        <w:rPr>
          <w:rFonts w:ascii="Times" w:hAnsi="Times" w:cs="Times"/>
          <w:sz w:val="24"/>
          <w:szCs w:val="24"/>
        </w:rPr>
        <w:t>1</w:t>
      </w:r>
      <w:r w:rsidRPr="00613198">
        <w:rPr>
          <w:rFonts w:ascii="Times" w:hAnsi="Times" w:cs="Times"/>
          <w:sz w:val="24"/>
          <w:szCs w:val="24"/>
        </w:rPr>
        <w:t xml:space="preserve"> r. poz. </w:t>
      </w:r>
      <w:r w:rsidR="00AF3E23">
        <w:rPr>
          <w:rFonts w:ascii="Times" w:hAnsi="Times" w:cs="Times"/>
          <w:sz w:val="24"/>
          <w:szCs w:val="24"/>
        </w:rPr>
        <w:t>2166</w:t>
      </w:r>
      <w:r w:rsidRPr="00613198">
        <w:rPr>
          <w:rFonts w:ascii="Times" w:hAnsi="Times" w:cs="Times"/>
          <w:sz w:val="24"/>
          <w:szCs w:val="24"/>
        </w:rPr>
        <w:t>), tj. odzyskiwania energii, w tym odzyskiwania energii w procesach przemysłowych; ograniczania strat sieciowych związanych z przesyłaniem lub dystrybucją energii elektrycznej lub gazu ziemnego; stosowania, do ogrzewania lub chłodzenia obiektów, energii wytwarzanej w instalacjach odnawialnego źródła energii, ciepła użytkowego w wysokosprawnej kogeneracji w rozumieniu ustawy</w:t>
      </w:r>
      <w:r w:rsidR="00EC01C5">
        <w:rPr>
          <w:rFonts w:ascii="Times" w:hAnsi="Times" w:cs="Times"/>
          <w:sz w:val="24"/>
          <w:szCs w:val="24"/>
        </w:rPr>
        <w:t xml:space="preserve"> -</w:t>
      </w:r>
      <w:r w:rsidRPr="00613198">
        <w:rPr>
          <w:rFonts w:ascii="Times" w:hAnsi="Times" w:cs="Times"/>
          <w:sz w:val="24"/>
          <w:szCs w:val="24"/>
        </w:rPr>
        <w:t xml:space="preserve"> </w:t>
      </w:r>
      <w:r w:rsidR="00BF79A7" w:rsidRPr="00613198">
        <w:rPr>
          <w:rFonts w:ascii="Times" w:hAnsi="Times" w:cs="Times"/>
          <w:sz w:val="24"/>
          <w:szCs w:val="24"/>
        </w:rPr>
        <w:t>Prawo energetyczne</w:t>
      </w:r>
      <w:r w:rsidRPr="00613198">
        <w:rPr>
          <w:rFonts w:ascii="Times" w:hAnsi="Times" w:cs="Times"/>
          <w:sz w:val="24"/>
          <w:szCs w:val="24"/>
        </w:rPr>
        <w:t xml:space="preserve"> lub ciepła odpadowego z instalacji przemysłowych. Podkreślić przy tym należy, że proponowane przepisy mają na celu wyłącznie poprawę efektywności energetycznej umożliwiając operatorom wykorzystanie na potrzeby własne energii traconej w toku prowadzonej działalności, operatorzy nie tworzą natomiast konkurencji na rynku obrotu energią. Co istotne, mając na uwadze dotychczasową praktykę stosowania przepisów Dyrektywy Parlamentu Europejskiego i Rady 2009/73/WE z dnia 13 lipca 2009 r. dotycząca wspólnych zasad rynku wewnętrznego gazu ziemnego i uchylającej dyrektywę 2003/55/WE2009/73, należy stwierdzić, że Komisja Europejska nie kwestionuje możliwości spełniania kryteriów niezależności przez operatora systemu przesyłowego gazowego, </w:t>
      </w:r>
      <w:r w:rsidRPr="00613198">
        <w:rPr>
          <w:rFonts w:ascii="Times" w:hAnsi="Times" w:cs="Times"/>
          <w:sz w:val="24"/>
          <w:szCs w:val="24"/>
        </w:rPr>
        <w:lastRenderedPageBreak/>
        <w:t xml:space="preserve">działającego w modelu rozdziału własnościowego, który prowadzi działalność w zakresie wytwarzania energii elektrycznej, jeżeli wielkość tej produkcji jest nieznaczna i nie wpływa na rynek energii elektrycznej. Wskazać przy tym należy, że przedsięwzięcia obejmujące odzyskiwanie energii z procesów technologicznych związanych np. z </w:t>
      </w:r>
      <w:proofErr w:type="spellStart"/>
      <w:r w:rsidRPr="00613198">
        <w:rPr>
          <w:rFonts w:ascii="Times" w:hAnsi="Times" w:cs="Times"/>
          <w:sz w:val="24"/>
          <w:szCs w:val="24"/>
        </w:rPr>
        <w:t>przesyłem</w:t>
      </w:r>
      <w:proofErr w:type="spellEnd"/>
      <w:r w:rsidRPr="00613198">
        <w:rPr>
          <w:rFonts w:ascii="Times" w:hAnsi="Times" w:cs="Times"/>
          <w:sz w:val="24"/>
          <w:szCs w:val="24"/>
        </w:rPr>
        <w:t xml:space="preserve"> gazu ziemnego są aktualnie realizowane m. in. przez hiszpańskiego operatora systemu przesyłowego gazowego (wytwarzanie energii elektrycznej w ramach stacji redukcyjnych i tłoczni gazu).</w:t>
      </w:r>
    </w:p>
    <w:p w14:paraId="075E1942" w14:textId="77777777" w:rsidR="00B763FF" w:rsidRPr="00613198" w:rsidRDefault="00B763FF" w:rsidP="00B763FF">
      <w:pPr>
        <w:spacing w:beforeLines="60" w:before="144" w:afterLines="60" w:after="144" w:line="360" w:lineRule="auto"/>
        <w:ind w:firstLine="360"/>
        <w:jc w:val="both"/>
        <w:rPr>
          <w:rFonts w:ascii="Times" w:hAnsi="Times" w:cs="Times"/>
          <w:sz w:val="24"/>
          <w:szCs w:val="24"/>
        </w:rPr>
      </w:pPr>
      <w:r w:rsidRPr="00613198">
        <w:rPr>
          <w:rFonts w:ascii="Times" w:hAnsi="Times" w:cs="Times"/>
          <w:sz w:val="24"/>
          <w:szCs w:val="24"/>
        </w:rPr>
        <w:t>Konsekwentnie, uregulowanie przedmiotowej kwestii w ustawie, należy uznać za w pełni uzasadnione.</w:t>
      </w:r>
    </w:p>
    <w:p w14:paraId="01470ECE" w14:textId="63E2858A" w:rsidR="00B763FF" w:rsidRPr="00613198" w:rsidRDefault="00B763FF" w:rsidP="00B36147">
      <w:pPr>
        <w:pStyle w:val="Akapitzlist"/>
        <w:numPr>
          <w:ilvl w:val="0"/>
          <w:numId w:val="13"/>
        </w:numPr>
        <w:spacing w:beforeLines="60" w:before="144" w:afterLines="60" w:after="144" w:line="360" w:lineRule="auto"/>
        <w:jc w:val="both"/>
        <w:rPr>
          <w:rFonts w:ascii="Times" w:hAnsi="Times" w:cs="Times"/>
          <w:b/>
          <w:bCs/>
          <w:sz w:val="24"/>
          <w:szCs w:val="24"/>
        </w:rPr>
      </w:pPr>
      <w:r w:rsidRPr="00613198">
        <w:rPr>
          <w:rFonts w:ascii="Times" w:hAnsi="Times" w:cs="Times"/>
          <w:b/>
          <w:bCs/>
          <w:sz w:val="24"/>
          <w:szCs w:val="24"/>
        </w:rPr>
        <w:t>dodanie ust. 2a</w:t>
      </w:r>
    </w:p>
    <w:p w14:paraId="32CF09F0" w14:textId="0818E8A1" w:rsidR="00B763FF" w:rsidRDefault="00B763FF" w:rsidP="00B36147">
      <w:pPr>
        <w:spacing w:beforeLines="60" w:before="144" w:afterLines="60" w:after="144" w:line="360" w:lineRule="auto"/>
        <w:ind w:firstLine="708"/>
        <w:jc w:val="both"/>
        <w:rPr>
          <w:rFonts w:ascii="Times" w:hAnsi="Times" w:cs="Times"/>
          <w:sz w:val="24"/>
          <w:szCs w:val="24"/>
        </w:rPr>
      </w:pPr>
      <w:r w:rsidRPr="00A31158">
        <w:rPr>
          <w:rFonts w:ascii="Times" w:hAnsi="Times" w:cs="Times"/>
          <w:sz w:val="24"/>
          <w:szCs w:val="24"/>
        </w:rPr>
        <w:t>Zmiana art. 9d poprzez dodanie ust. 2a ma na celu wyraźne wskazanie, że katalog usług, które może świadczyć operator systemu przesyłowego gazowego obejmuje również usługi sprężania paliwa gazowego.</w:t>
      </w:r>
    </w:p>
    <w:p w14:paraId="40E4147F" w14:textId="234912F6" w:rsidR="00AA18C2" w:rsidRDefault="00AA18C2" w:rsidP="007A0F65">
      <w:pPr>
        <w:spacing w:beforeLines="60" w:before="144" w:afterLines="60" w:after="144" w:line="360" w:lineRule="auto"/>
        <w:ind w:firstLine="360"/>
        <w:jc w:val="both"/>
        <w:rPr>
          <w:rFonts w:ascii="Times New Roman" w:hAnsi="Times New Roman" w:cs="Times New Roman"/>
          <w:b/>
          <w:bCs/>
          <w:sz w:val="24"/>
          <w:szCs w:val="24"/>
        </w:rPr>
      </w:pPr>
      <w:r w:rsidRPr="007E01F2">
        <w:rPr>
          <w:rFonts w:ascii="Times New Roman" w:hAnsi="Times New Roman" w:cs="Times New Roman"/>
          <w:b/>
          <w:bCs/>
          <w:sz w:val="24"/>
          <w:szCs w:val="24"/>
        </w:rPr>
        <w:t xml:space="preserve">Ad </w:t>
      </w:r>
      <w:r w:rsidR="007A6E78">
        <w:rPr>
          <w:rFonts w:ascii="Times New Roman" w:hAnsi="Times New Roman" w:cs="Times New Roman"/>
          <w:b/>
          <w:bCs/>
          <w:sz w:val="24"/>
          <w:szCs w:val="24"/>
        </w:rPr>
        <w:t>19</w:t>
      </w:r>
      <w:r w:rsidRPr="007E01F2">
        <w:rPr>
          <w:rFonts w:ascii="Times New Roman" w:hAnsi="Times New Roman" w:cs="Times New Roman"/>
          <w:b/>
          <w:bCs/>
          <w:sz w:val="24"/>
          <w:szCs w:val="24"/>
        </w:rPr>
        <w:t xml:space="preserve">. </w:t>
      </w:r>
      <w:bookmarkStart w:id="13" w:name="_Hlk88575045"/>
      <w:r w:rsidRPr="007E01F2">
        <w:rPr>
          <w:rFonts w:ascii="Times New Roman" w:hAnsi="Times New Roman" w:cs="Times New Roman"/>
          <w:b/>
          <w:bCs/>
          <w:sz w:val="24"/>
          <w:szCs w:val="24"/>
        </w:rPr>
        <w:t>Zniesienie możliwości prowadzenia działalności gospodarczej w zakresie obrotu gazem bez uzyskania koncesji</w:t>
      </w:r>
      <w:bookmarkEnd w:id="13"/>
    </w:p>
    <w:p w14:paraId="235936C9" w14:textId="0491ED03" w:rsidR="00AA18C2" w:rsidRDefault="00AA18C2" w:rsidP="007A0F65">
      <w:pPr>
        <w:spacing w:beforeLines="60" w:before="144" w:afterLines="60" w:after="144" w:line="360" w:lineRule="auto"/>
        <w:ind w:firstLine="360"/>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W aktualnym stanie prawnym, zgodnie z art. 32 ust. 1 pkt 4 lit. a, istnieje możliwość </w:t>
      </w:r>
      <w:r w:rsidRPr="007E01F2">
        <w:rPr>
          <w:rFonts w:ascii="Times New Roman" w:hAnsi="Times New Roman" w:cs="Times New Roman"/>
          <w:color w:val="000000" w:themeColor="text1"/>
          <w:sz w:val="24"/>
          <w:szCs w:val="24"/>
        </w:rPr>
        <w:t>obrotu paliwami gazowymi, jeżeli roczna wartość obrotu nie przekracza równowartości 100 000 euro</w:t>
      </w:r>
      <w:r w:rsidR="00E22DA0">
        <w:rPr>
          <w:rFonts w:ascii="Times New Roman" w:hAnsi="Times New Roman" w:cs="Times New Roman"/>
          <w:color w:val="000000" w:themeColor="text1"/>
          <w:sz w:val="24"/>
          <w:szCs w:val="24"/>
        </w:rPr>
        <w:t>, bez uzyskania koncesji</w:t>
      </w:r>
      <w:r>
        <w:rPr>
          <w:rFonts w:ascii="Times New Roman" w:hAnsi="Times New Roman" w:cs="Times New Roman"/>
          <w:color w:val="000000" w:themeColor="text1"/>
          <w:sz w:val="24"/>
          <w:szCs w:val="24"/>
        </w:rPr>
        <w:t>.</w:t>
      </w:r>
      <w:r w:rsidR="00E22DA0">
        <w:rPr>
          <w:rFonts w:ascii="Times New Roman" w:hAnsi="Times New Roman" w:cs="Times New Roman"/>
          <w:color w:val="000000" w:themeColor="text1"/>
          <w:sz w:val="24"/>
          <w:szCs w:val="24"/>
        </w:rPr>
        <w:t xml:space="preserve"> Celem zniesienia powyższego wyłączenia jest przede wszystkim wzmocnienie ochrony odbiorców z gospodarstw domowych. Jak wskazuje dotychczasowe praktyka, z powyższego wyłączenia korzystają przede wszystkim podmioty, którym Prezes URE cofnął koncesję na obrót gospodarczy, co wyklucza możliwość dalszego działania na rynku obrotu gazem. Jednakże, celem dalszej kontynuacji działalności, podmioty te częstokroć dokonują podziału na szereg mniejszych spółek, tak aby spełnić warunek wysokości obrotu, umożliwiający sprzedaż paliw gazowych bez koncesji. Prezes URE otrzymuje liczne skargi od konsumentów, którzy informują o nieuczciwych praktykach rynkowych oraz licznych naruszeniach zbiorowych interesów konsumentów, których dopuszczają się tego typu podmioty. Zmiana polegająca na objęciu obowiązkiem uzyskania koncesji każdego przedsiębiorcy, który chce dokonywać sprzedaży paliw gazowych przyczyni się do wzmocnienia poziomu ochrony konsumentów oraz rozszerzy wachlarz możliwości interwencji Prezesa URE, które będzie mógł pełnić nad nimi ściślejszy nadzór.</w:t>
      </w:r>
    </w:p>
    <w:p w14:paraId="11F5D000" w14:textId="794A423C" w:rsidR="00E22DA0" w:rsidRPr="007E01F2" w:rsidRDefault="00E22DA0" w:rsidP="007A0F65">
      <w:pPr>
        <w:spacing w:beforeLines="60" w:before="144" w:afterLines="60" w:after="144" w:line="360" w:lineRule="auto"/>
        <w:ind w:firstLine="360"/>
        <w:jc w:val="both"/>
        <w:rPr>
          <w:rFonts w:ascii="Times New Roman" w:hAnsi="Times New Roman" w:cs="Times New Roman"/>
          <w:b/>
          <w:bCs/>
          <w:color w:val="000000" w:themeColor="text1"/>
          <w:sz w:val="24"/>
          <w:szCs w:val="24"/>
        </w:rPr>
      </w:pPr>
      <w:r w:rsidRPr="007E01F2">
        <w:rPr>
          <w:rFonts w:ascii="Times New Roman" w:hAnsi="Times New Roman" w:cs="Times New Roman"/>
          <w:b/>
          <w:bCs/>
          <w:color w:val="000000" w:themeColor="text1"/>
          <w:sz w:val="24"/>
          <w:szCs w:val="24"/>
        </w:rPr>
        <w:t>Ad 2</w:t>
      </w:r>
      <w:r w:rsidR="007A6E78">
        <w:rPr>
          <w:rFonts w:ascii="Times New Roman" w:hAnsi="Times New Roman" w:cs="Times New Roman"/>
          <w:b/>
          <w:bCs/>
          <w:color w:val="000000" w:themeColor="text1"/>
          <w:sz w:val="24"/>
          <w:szCs w:val="24"/>
        </w:rPr>
        <w:t>0</w:t>
      </w:r>
      <w:r w:rsidRPr="007E01F2">
        <w:rPr>
          <w:rFonts w:ascii="Times New Roman" w:hAnsi="Times New Roman" w:cs="Times New Roman"/>
          <w:b/>
          <w:bCs/>
          <w:color w:val="000000" w:themeColor="text1"/>
          <w:sz w:val="24"/>
          <w:szCs w:val="24"/>
        </w:rPr>
        <w:t>. Zmiana definicji sieci gazowej</w:t>
      </w:r>
    </w:p>
    <w:p w14:paraId="52B62205" w14:textId="40C129AD" w:rsidR="00B056EF" w:rsidRPr="001725EE" w:rsidRDefault="00B056EF" w:rsidP="007E01F2">
      <w:pPr>
        <w:spacing w:line="360" w:lineRule="auto"/>
        <w:jc w:val="both"/>
        <w:rPr>
          <w:rFonts w:ascii="Times New Roman" w:hAnsi="Times New Roman" w:cs="Times New Roman"/>
        </w:rPr>
      </w:pPr>
      <w:r>
        <w:rPr>
          <w:rFonts w:ascii="Times New Roman" w:hAnsi="Times New Roman" w:cs="Times New Roman"/>
          <w:sz w:val="24"/>
          <w:szCs w:val="24"/>
        </w:rPr>
        <w:t xml:space="preserve">Zgodnie z nowym brzmieniem art. 3 pkt 11a </w:t>
      </w:r>
      <w:r w:rsidRPr="007E01F2">
        <w:rPr>
          <w:rFonts w:ascii="Times New Roman" w:hAnsi="Times New Roman" w:cs="Times New Roman"/>
          <w:sz w:val="24"/>
          <w:szCs w:val="24"/>
        </w:rPr>
        <w:t xml:space="preserve">siecią przesyłową jest sieć gazowa wysokich i </w:t>
      </w:r>
      <w:r w:rsidRPr="007E01F2">
        <w:rPr>
          <w:rFonts w:ascii="Times New Roman" w:hAnsi="Times New Roman" w:cs="Times New Roman"/>
          <w:sz w:val="24"/>
          <w:szCs w:val="24"/>
        </w:rPr>
        <w:lastRenderedPageBreak/>
        <w:t>średnich ciśnień funkcjonalnie ze sobą związanych, z wyłączeniem gazociągów kopalnianych i bezpośrednich, albo sieć elektroenergetyczną najwyższych lub wysokich napięć, za której ruch sieciowy jest odpowiedzialny operator systemu przesyłowego</w:t>
      </w:r>
      <w:r w:rsidRPr="00B056EF">
        <w:rPr>
          <w:rFonts w:ascii="Times New Roman" w:hAnsi="Times New Roman" w:cs="Times New Roman"/>
          <w:sz w:val="24"/>
          <w:szCs w:val="24"/>
        </w:rPr>
        <w:t xml:space="preserve">. Zmiana polega na dodaniu do definicji sieci średnich ciśnień, która jest funkcjonalnie powiązana z siecią gazową wysokich ciśnień. </w:t>
      </w:r>
      <w:r w:rsidRPr="007E01F2">
        <w:rPr>
          <w:rFonts w:ascii="Times New Roman" w:hAnsi="Times New Roman" w:cs="Times New Roman"/>
          <w:sz w:val="24"/>
          <w:szCs w:val="24"/>
        </w:rPr>
        <w:t>Możliwość stosowania w ramach sieci przesyłowej większego zakresu ciśnień pozwoli na bardziej efektywne podejście w zakresie modernizacji i planowania rozwoju gazociągów przesyłowych na styku z siecią gazową operatorów systemów dystrybucyjnych i odbiorców końcowych.</w:t>
      </w:r>
      <w:r>
        <w:rPr>
          <w:rFonts w:ascii="Times New Roman" w:hAnsi="Times New Roman" w:cs="Times New Roman"/>
          <w:sz w:val="24"/>
          <w:szCs w:val="24"/>
        </w:rPr>
        <w:t xml:space="preserve"> </w:t>
      </w:r>
      <w:r w:rsidRPr="007E01F2">
        <w:rPr>
          <w:rFonts w:ascii="Times New Roman" w:hAnsi="Times New Roman" w:cs="Times New Roman"/>
          <w:sz w:val="24"/>
          <w:szCs w:val="24"/>
        </w:rPr>
        <w:t>Co istotne budowa gazociągów podwyższonego średniego i średniego ciśnienia umożliwi OSP gazowemu oszczędność nakładów finansowych związanych z ich modernizacją przy jednoczesnym zachowaniu założonych parametrów dla punktów wyjścia z systemu przesyłowego. Także konieczne nakłady związane z kosztami przyłączenia, które będą musiały zostać poniesione przez OSP gazowego lub ewentualnie odbiorców końcowych, będą niższe niż w przypadku przyłączania się do sieci wysokiego ciśnienia.</w:t>
      </w:r>
    </w:p>
    <w:p w14:paraId="4EB7D77E" w14:textId="3EA4DD66" w:rsidR="00CD7FE6" w:rsidRPr="00A31158" w:rsidRDefault="009E0E0A" w:rsidP="00A31158">
      <w:pPr>
        <w:spacing w:beforeLines="60" w:before="144" w:afterLines="60" w:after="144" w:line="360" w:lineRule="auto"/>
        <w:jc w:val="both"/>
        <w:rPr>
          <w:rFonts w:ascii="Times New Roman" w:hAnsi="Times New Roman" w:cs="Times New Roman"/>
          <w:b/>
          <w:szCs w:val="24"/>
        </w:rPr>
      </w:pPr>
      <w:r>
        <w:rPr>
          <w:rFonts w:ascii="Times New Roman" w:hAnsi="Times New Roman" w:cs="Times New Roman"/>
          <w:sz w:val="24"/>
          <w:szCs w:val="32"/>
        </w:rPr>
        <w:tab/>
      </w:r>
      <w:r w:rsidR="00CD7FE6" w:rsidRPr="00A31158">
        <w:rPr>
          <w:rFonts w:ascii="Times New Roman" w:hAnsi="Times New Roman" w:cs="Times New Roman"/>
          <w:b/>
          <w:sz w:val="24"/>
          <w:szCs w:val="24"/>
        </w:rPr>
        <w:t xml:space="preserve">Ad </w:t>
      </w:r>
      <w:r w:rsidR="00E22DA0" w:rsidRPr="00B57D18">
        <w:rPr>
          <w:rFonts w:ascii="Times New Roman" w:hAnsi="Times New Roman" w:cs="Times New Roman"/>
          <w:b/>
          <w:sz w:val="24"/>
          <w:szCs w:val="24"/>
        </w:rPr>
        <w:t>2</w:t>
      </w:r>
      <w:r w:rsidR="007A6E78">
        <w:rPr>
          <w:rFonts w:ascii="Times New Roman" w:hAnsi="Times New Roman" w:cs="Times New Roman"/>
          <w:b/>
          <w:sz w:val="24"/>
          <w:szCs w:val="24"/>
        </w:rPr>
        <w:t>1</w:t>
      </w:r>
      <w:r w:rsidR="00E22DA0" w:rsidRPr="00B57D18">
        <w:rPr>
          <w:rFonts w:ascii="Times New Roman" w:hAnsi="Times New Roman" w:cs="Times New Roman"/>
          <w:b/>
          <w:sz w:val="24"/>
          <w:szCs w:val="24"/>
        </w:rPr>
        <w:t>.</w:t>
      </w:r>
      <w:r w:rsidR="002F2FC0" w:rsidRPr="00A31158">
        <w:rPr>
          <w:rFonts w:ascii="Times New Roman" w:hAnsi="Times New Roman" w:cs="Times New Roman"/>
          <w:b/>
          <w:sz w:val="24"/>
          <w:szCs w:val="24"/>
        </w:rPr>
        <w:t xml:space="preserve"> Rękojmia prawidłowego wykonywania działalności objętej koncesją</w:t>
      </w:r>
    </w:p>
    <w:p w14:paraId="6180F45B" w14:textId="75F75442" w:rsidR="00CD7FE6" w:rsidRDefault="00CD7FE6" w:rsidP="00A31158">
      <w:pPr>
        <w:pStyle w:val="ARTartustawynprozporzdzenia"/>
        <w:ind w:firstLine="708"/>
        <w:rPr>
          <w:rFonts w:ascii="Times New Roman" w:hAnsi="Times New Roman" w:cs="Times New Roman"/>
          <w:bCs/>
          <w:szCs w:val="24"/>
        </w:rPr>
      </w:pPr>
      <w:bookmarkStart w:id="14" w:name="_Hlk88576247"/>
      <w:r>
        <w:rPr>
          <w:rFonts w:ascii="Times New Roman" w:hAnsi="Times New Roman" w:cs="Times New Roman"/>
          <w:bCs/>
          <w:szCs w:val="24"/>
        </w:rPr>
        <w:t>Wprowadza się dodatkową przesłankę udzielenia, zmiany i cofnięcia koncesji w postaci rękojmi prawidłowego wykonywania działalności objętej koncesję</w:t>
      </w:r>
      <w:bookmarkEnd w:id="14"/>
      <w:r>
        <w:rPr>
          <w:rFonts w:ascii="Times New Roman" w:hAnsi="Times New Roman" w:cs="Times New Roman"/>
          <w:bCs/>
          <w:szCs w:val="24"/>
        </w:rPr>
        <w:t xml:space="preserve">. W art. 33 dodaje się ust. 3d, na podstawie którego </w:t>
      </w:r>
      <w:r w:rsidRPr="00CD7FE6">
        <w:rPr>
          <w:rFonts w:ascii="Times New Roman" w:hAnsi="Times New Roman" w:cs="Times New Roman"/>
          <w:bCs/>
          <w:szCs w:val="24"/>
        </w:rPr>
        <w:t>Prezes URE może odmówić udzielenia koncesji wnioskodawcy, który nie daje rękojmi prawidłowego wykonywania działalności objętej koncesją</w:t>
      </w:r>
      <w:r>
        <w:rPr>
          <w:rFonts w:ascii="Times New Roman" w:hAnsi="Times New Roman" w:cs="Times New Roman"/>
          <w:bCs/>
          <w:szCs w:val="24"/>
        </w:rPr>
        <w:t xml:space="preserve">. </w:t>
      </w:r>
    </w:p>
    <w:p w14:paraId="323216DD" w14:textId="30EF62BF" w:rsidR="00CD7FE6" w:rsidRDefault="00CD7FE6" w:rsidP="00482750">
      <w:pPr>
        <w:pStyle w:val="ARTartustawynprozporzdzenia"/>
        <w:ind w:firstLine="0"/>
        <w:rPr>
          <w:rFonts w:ascii="Times New Roman" w:hAnsi="Times New Roman" w:cs="Times New Roman"/>
          <w:bCs/>
          <w:szCs w:val="24"/>
        </w:rPr>
      </w:pPr>
      <w:r>
        <w:rPr>
          <w:rFonts w:ascii="Times New Roman" w:hAnsi="Times New Roman" w:cs="Times New Roman"/>
          <w:bCs/>
          <w:szCs w:val="24"/>
        </w:rPr>
        <w:t>Ponadto, dodaje się art. 35</w:t>
      </w:r>
      <w:r w:rsidR="00AE037E">
        <w:rPr>
          <w:rFonts w:ascii="Times New Roman" w:hAnsi="Times New Roman" w:cs="Times New Roman"/>
          <w:bCs/>
          <w:szCs w:val="24"/>
        </w:rPr>
        <w:t>a</w:t>
      </w:r>
      <w:r>
        <w:rPr>
          <w:rFonts w:ascii="Times New Roman" w:hAnsi="Times New Roman" w:cs="Times New Roman"/>
          <w:bCs/>
          <w:szCs w:val="24"/>
        </w:rPr>
        <w:t xml:space="preserve">, który wskazuje, że </w:t>
      </w:r>
      <w:r w:rsidR="002F2FC0">
        <w:rPr>
          <w:rFonts w:ascii="Times New Roman" w:hAnsi="Times New Roman" w:cs="Times New Roman"/>
          <w:bCs/>
          <w:szCs w:val="24"/>
        </w:rPr>
        <w:t>p</w:t>
      </w:r>
      <w:r w:rsidRPr="00CD7FE6">
        <w:rPr>
          <w:rFonts w:ascii="Times New Roman" w:hAnsi="Times New Roman" w:cs="Times New Roman"/>
          <w:bCs/>
          <w:szCs w:val="24"/>
        </w:rPr>
        <w:t>rzed podjęciem decyzji w sprawie udzielenia koncesji lub jej zmiany Prezes URE może dokonać sprawdzenia faktów podanych we wniosku o udzielenie koncesji w celu stwierdzenia, czy przedsiębiorca spełnia warunki wykonywania działalności gospodarczej objętej koncesją oraz czy daje rękojmię prawidłowego wykonywania działalności objętej koncesją</w:t>
      </w:r>
      <w:r>
        <w:rPr>
          <w:rFonts w:ascii="Times New Roman" w:hAnsi="Times New Roman" w:cs="Times New Roman"/>
          <w:bCs/>
          <w:szCs w:val="24"/>
        </w:rPr>
        <w:t xml:space="preserve">. </w:t>
      </w:r>
    </w:p>
    <w:p w14:paraId="42530722" w14:textId="2DAD3CC9" w:rsidR="00CD7FE6" w:rsidRDefault="00CD7FE6" w:rsidP="00482750">
      <w:pPr>
        <w:pStyle w:val="ARTartustawynprozporzdzenia"/>
        <w:ind w:firstLine="0"/>
        <w:rPr>
          <w:rFonts w:ascii="Times New Roman" w:hAnsi="Times New Roman" w:cs="Times New Roman"/>
          <w:bCs/>
          <w:szCs w:val="24"/>
        </w:rPr>
      </w:pPr>
      <w:r>
        <w:rPr>
          <w:rFonts w:ascii="Times New Roman" w:hAnsi="Times New Roman" w:cs="Times New Roman"/>
          <w:bCs/>
          <w:szCs w:val="24"/>
        </w:rPr>
        <w:t xml:space="preserve">Co więcej, w art. 41 w ust. 4 dodano pkt 7, na podstawie którego Prezes URE </w:t>
      </w:r>
      <w:r w:rsidRPr="00CD7FE6">
        <w:rPr>
          <w:rFonts w:ascii="Times New Roman" w:hAnsi="Times New Roman" w:cs="Times New Roman"/>
          <w:bCs/>
          <w:szCs w:val="24"/>
        </w:rPr>
        <w:t>może cofnąć koncesję albo zmienić jej zakres w przypadku stwierdzenia, że koncesjonariusz nie daje rękojmi prawidłowego wykonywania działalności objętej koncesją</w:t>
      </w:r>
      <w:r w:rsidR="002F2FC0">
        <w:rPr>
          <w:rFonts w:ascii="Times New Roman" w:hAnsi="Times New Roman" w:cs="Times New Roman"/>
          <w:bCs/>
          <w:szCs w:val="24"/>
        </w:rPr>
        <w:t xml:space="preserve">. </w:t>
      </w:r>
    </w:p>
    <w:p w14:paraId="343AB1C7" w14:textId="77777777" w:rsidR="003C23D7" w:rsidRDefault="002F2FC0" w:rsidP="00A31158">
      <w:pPr>
        <w:pStyle w:val="ARTartustawynprozporzdzenia"/>
        <w:ind w:firstLine="708"/>
        <w:rPr>
          <w:rFonts w:ascii="Times New Roman" w:hAnsi="Times New Roman" w:cs="Times New Roman"/>
          <w:bCs/>
          <w:szCs w:val="24"/>
        </w:rPr>
      </w:pPr>
      <w:r>
        <w:rPr>
          <w:rFonts w:ascii="Times New Roman" w:hAnsi="Times New Roman" w:cs="Times New Roman"/>
          <w:bCs/>
          <w:szCs w:val="24"/>
        </w:rPr>
        <w:t xml:space="preserve">Powyższe zmiany mają na celu odpowiedź na potrzebę nadania Prezesowi URE możliwości oceny całokształtu okoliczności faktycznych i prawnych wnioskodawcy, tak ażeby koncesje były udzielane przedsiębiorstwom, które dają rękojmie prawidłowego wykonywania działalności nimi objętej. </w:t>
      </w:r>
    </w:p>
    <w:p w14:paraId="3512EC20" w14:textId="39D97C42" w:rsidR="00134E61" w:rsidRDefault="003C23D7" w:rsidP="002F2FC0">
      <w:pPr>
        <w:pStyle w:val="ARTartustawynprozporzdzenia"/>
        <w:ind w:firstLine="0"/>
        <w:rPr>
          <w:rFonts w:ascii="Times New Roman" w:hAnsi="Times New Roman" w:cs="Times New Roman"/>
          <w:bCs/>
          <w:szCs w:val="24"/>
        </w:rPr>
      </w:pPr>
      <w:r>
        <w:rPr>
          <w:rFonts w:ascii="Times New Roman" w:hAnsi="Times New Roman" w:cs="Times New Roman"/>
          <w:bCs/>
          <w:szCs w:val="24"/>
        </w:rPr>
        <w:t xml:space="preserve">Ponadto, projektowane zmiany nawiązują do utrwalonego orzecznictwa na tle </w:t>
      </w:r>
      <w:r w:rsidRPr="003C23D7">
        <w:rPr>
          <w:rFonts w:ascii="Times New Roman" w:hAnsi="Times New Roman" w:cs="Times New Roman"/>
          <w:bCs/>
          <w:szCs w:val="24"/>
        </w:rPr>
        <w:t xml:space="preserve">art. 50 pkt 2 nieobowiązującej już ustawy z dnia 2 lipca 2004 r. o swobodzie działalności gospodarczej (Dz. </w:t>
      </w:r>
      <w:r w:rsidRPr="003C23D7">
        <w:rPr>
          <w:rFonts w:ascii="Times New Roman" w:hAnsi="Times New Roman" w:cs="Times New Roman"/>
          <w:bCs/>
          <w:szCs w:val="24"/>
        </w:rPr>
        <w:lastRenderedPageBreak/>
        <w:t>U. z 201</w:t>
      </w:r>
      <w:r w:rsidR="00AE037E">
        <w:rPr>
          <w:rFonts w:ascii="Times New Roman" w:hAnsi="Times New Roman" w:cs="Times New Roman"/>
          <w:bCs/>
          <w:szCs w:val="24"/>
        </w:rPr>
        <w:t>7</w:t>
      </w:r>
      <w:r w:rsidRPr="003C23D7">
        <w:rPr>
          <w:rFonts w:ascii="Times New Roman" w:hAnsi="Times New Roman" w:cs="Times New Roman"/>
          <w:bCs/>
          <w:szCs w:val="24"/>
        </w:rPr>
        <w:t xml:space="preserve"> r. poz. </w:t>
      </w:r>
      <w:r w:rsidR="00AE037E">
        <w:rPr>
          <w:rFonts w:ascii="Times New Roman" w:hAnsi="Times New Roman" w:cs="Times New Roman"/>
          <w:bCs/>
          <w:szCs w:val="24"/>
        </w:rPr>
        <w:t>2168</w:t>
      </w:r>
      <w:r w:rsidRPr="003C23D7">
        <w:rPr>
          <w:rFonts w:ascii="Times New Roman" w:hAnsi="Times New Roman" w:cs="Times New Roman"/>
          <w:bCs/>
          <w:szCs w:val="24"/>
        </w:rPr>
        <w:t xml:space="preserve"> z </w:t>
      </w:r>
      <w:proofErr w:type="spellStart"/>
      <w:r w:rsidRPr="003C23D7">
        <w:rPr>
          <w:rFonts w:ascii="Times New Roman" w:hAnsi="Times New Roman" w:cs="Times New Roman"/>
          <w:bCs/>
          <w:szCs w:val="24"/>
        </w:rPr>
        <w:t>późn</w:t>
      </w:r>
      <w:proofErr w:type="spellEnd"/>
      <w:r w:rsidRPr="003C23D7">
        <w:rPr>
          <w:rFonts w:ascii="Times New Roman" w:hAnsi="Times New Roman" w:cs="Times New Roman"/>
          <w:bCs/>
          <w:szCs w:val="24"/>
        </w:rPr>
        <w:t>. zm.</w:t>
      </w:r>
      <w:r>
        <w:rPr>
          <w:rFonts w:ascii="Times New Roman" w:hAnsi="Times New Roman" w:cs="Times New Roman"/>
          <w:bCs/>
          <w:szCs w:val="24"/>
        </w:rPr>
        <w:t>), zgodnie z którym</w:t>
      </w:r>
      <w:r w:rsidRPr="003C23D7">
        <w:rPr>
          <w:rFonts w:ascii="Times New Roman" w:hAnsi="Times New Roman" w:cs="Times New Roman"/>
          <w:bCs/>
          <w:szCs w:val="24"/>
        </w:rPr>
        <w:t xml:space="preserve"> brak dawania rękojmi prawidłowego wykonywania działalności objętej koncesją mógł stanowić samodzielną podstawę do odmowy udzielenia koncesji (tak np. w wyroku Sądu Apelacyjnego w Warszawie z dnia 2 kwietnia 2008 r., sygn. akt VI </w:t>
      </w:r>
      <w:proofErr w:type="spellStart"/>
      <w:r w:rsidRPr="003C23D7">
        <w:rPr>
          <w:rFonts w:ascii="Times New Roman" w:hAnsi="Times New Roman" w:cs="Times New Roman"/>
          <w:bCs/>
          <w:szCs w:val="24"/>
        </w:rPr>
        <w:t>ACa</w:t>
      </w:r>
      <w:proofErr w:type="spellEnd"/>
      <w:r w:rsidRPr="003C23D7">
        <w:rPr>
          <w:rFonts w:ascii="Times New Roman" w:hAnsi="Times New Roman" w:cs="Times New Roman"/>
          <w:bCs/>
          <w:szCs w:val="24"/>
        </w:rPr>
        <w:t xml:space="preserve"> 1230/07</w:t>
      </w:r>
      <w:r>
        <w:rPr>
          <w:rFonts w:ascii="Times New Roman" w:hAnsi="Times New Roman" w:cs="Times New Roman"/>
          <w:bCs/>
          <w:szCs w:val="24"/>
        </w:rPr>
        <w:t xml:space="preserve">; </w:t>
      </w:r>
      <w:r w:rsidRPr="003C23D7">
        <w:rPr>
          <w:rFonts w:ascii="Times New Roman" w:hAnsi="Times New Roman" w:cs="Times New Roman"/>
          <w:bCs/>
          <w:szCs w:val="24"/>
        </w:rPr>
        <w:t xml:space="preserve">w wyroku Sądu Apelacyjnego w Warszawie z dnia 12 grudnia 2007 r., sygn. akt VI </w:t>
      </w:r>
      <w:proofErr w:type="spellStart"/>
      <w:r w:rsidRPr="003C23D7">
        <w:rPr>
          <w:rFonts w:ascii="Times New Roman" w:hAnsi="Times New Roman" w:cs="Times New Roman"/>
          <w:bCs/>
          <w:szCs w:val="24"/>
        </w:rPr>
        <w:t>ACa</w:t>
      </w:r>
      <w:proofErr w:type="spellEnd"/>
      <w:r w:rsidRPr="003C23D7">
        <w:rPr>
          <w:rFonts w:ascii="Times New Roman" w:hAnsi="Times New Roman" w:cs="Times New Roman"/>
          <w:bCs/>
          <w:szCs w:val="24"/>
        </w:rPr>
        <w:t xml:space="preserve"> 1019/07</w:t>
      </w:r>
      <w:r>
        <w:rPr>
          <w:rFonts w:ascii="Times New Roman" w:hAnsi="Times New Roman" w:cs="Times New Roman"/>
          <w:bCs/>
          <w:szCs w:val="24"/>
        </w:rPr>
        <w:t xml:space="preserve">). Należy podkreślić, że </w:t>
      </w:r>
      <w:r w:rsidR="00084288">
        <w:rPr>
          <w:rFonts w:ascii="Times New Roman" w:hAnsi="Times New Roman" w:cs="Times New Roman"/>
          <w:bCs/>
          <w:szCs w:val="24"/>
        </w:rPr>
        <w:t>odmowa udzielenia</w:t>
      </w:r>
      <w:r w:rsidRPr="003C23D7">
        <w:rPr>
          <w:rFonts w:ascii="Times New Roman" w:hAnsi="Times New Roman" w:cs="Times New Roman"/>
          <w:bCs/>
          <w:szCs w:val="24"/>
        </w:rPr>
        <w:t xml:space="preserve"> koncesji</w:t>
      </w:r>
      <w:r w:rsidR="003C2720">
        <w:rPr>
          <w:rFonts w:ascii="Times New Roman" w:hAnsi="Times New Roman" w:cs="Times New Roman"/>
          <w:bCs/>
          <w:szCs w:val="24"/>
        </w:rPr>
        <w:t xml:space="preserve"> na tle projektowanych przepisów odnosi się w szczególności do sytuacji prawomocnego skazania za </w:t>
      </w:r>
      <w:r w:rsidRPr="003C23D7">
        <w:rPr>
          <w:rFonts w:ascii="Times New Roman" w:hAnsi="Times New Roman" w:cs="Times New Roman"/>
          <w:bCs/>
          <w:szCs w:val="24"/>
        </w:rPr>
        <w:t xml:space="preserve">przestępstwa mające </w:t>
      </w:r>
      <w:r w:rsidR="003C2720">
        <w:rPr>
          <w:rFonts w:ascii="Times New Roman" w:hAnsi="Times New Roman" w:cs="Times New Roman"/>
          <w:bCs/>
          <w:szCs w:val="24"/>
        </w:rPr>
        <w:t>związek</w:t>
      </w:r>
      <w:r w:rsidRPr="003C23D7">
        <w:rPr>
          <w:rFonts w:ascii="Times New Roman" w:hAnsi="Times New Roman" w:cs="Times New Roman"/>
          <w:bCs/>
          <w:szCs w:val="24"/>
        </w:rPr>
        <w:t xml:space="preserve"> z prowadzoną działalnością gospodarczą</w:t>
      </w:r>
      <w:r w:rsidR="003C2720">
        <w:rPr>
          <w:rFonts w:ascii="Times New Roman" w:hAnsi="Times New Roman" w:cs="Times New Roman"/>
          <w:bCs/>
          <w:szCs w:val="24"/>
        </w:rPr>
        <w:t xml:space="preserve"> i</w:t>
      </w:r>
      <w:r w:rsidRPr="003C23D7">
        <w:rPr>
          <w:rFonts w:ascii="Times New Roman" w:hAnsi="Times New Roman" w:cs="Times New Roman"/>
          <w:bCs/>
          <w:szCs w:val="24"/>
        </w:rPr>
        <w:t xml:space="preserve"> świadczące o braku dawania rękojmi prawidłowego wykonywania działalności objętej koncesją</w:t>
      </w:r>
      <w:r w:rsidR="00134E61">
        <w:rPr>
          <w:rFonts w:ascii="Times New Roman" w:hAnsi="Times New Roman" w:cs="Times New Roman"/>
          <w:bCs/>
          <w:szCs w:val="24"/>
        </w:rPr>
        <w:t xml:space="preserve">. </w:t>
      </w:r>
    </w:p>
    <w:p w14:paraId="4937B527" w14:textId="1713407B" w:rsidR="003C2720" w:rsidRPr="003C2720" w:rsidRDefault="00134E61" w:rsidP="00A31158">
      <w:pPr>
        <w:pStyle w:val="ARTartustawynprozporzdzenia"/>
        <w:ind w:firstLine="0"/>
        <w:rPr>
          <w:rFonts w:ascii="Times New Roman" w:hAnsi="Times New Roman" w:cs="Times New Roman"/>
          <w:bCs/>
          <w:szCs w:val="24"/>
        </w:rPr>
      </w:pPr>
      <w:r>
        <w:rPr>
          <w:rFonts w:ascii="Times New Roman" w:hAnsi="Times New Roman" w:cs="Times New Roman"/>
          <w:bCs/>
          <w:szCs w:val="24"/>
        </w:rPr>
        <w:t>Co więcej, dzięki projektowanej regulacji zwiększony zostanie zakres</w:t>
      </w:r>
      <w:r w:rsidRPr="003C2720">
        <w:rPr>
          <w:rFonts w:ascii="Times New Roman" w:hAnsi="Times New Roman" w:cs="Times New Roman"/>
          <w:bCs/>
          <w:szCs w:val="24"/>
        </w:rPr>
        <w:t xml:space="preserve"> okoliczności objętych kontrolą </w:t>
      </w:r>
      <w:r>
        <w:rPr>
          <w:rFonts w:ascii="Times New Roman" w:hAnsi="Times New Roman" w:cs="Times New Roman"/>
          <w:bCs/>
          <w:szCs w:val="24"/>
        </w:rPr>
        <w:t>Prezesa URE, co</w:t>
      </w:r>
      <w:r w:rsidRPr="003C2720">
        <w:rPr>
          <w:rFonts w:ascii="Times New Roman" w:hAnsi="Times New Roman" w:cs="Times New Roman"/>
          <w:bCs/>
          <w:szCs w:val="24"/>
        </w:rPr>
        <w:t xml:space="preserve"> pozwoli </w:t>
      </w:r>
      <w:r>
        <w:rPr>
          <w:rFonts w:ascii="Times New Roman" w:hAnsi="Times New Roman" w:cs="Times New Roman"/>
          <w:bCs/>
          <w:szCs w:val="24"/>
        </w:rPr>
        <w:t>na nieudzielenie lub cofnięcie koncesji wobec podmiotów</w:t>
      </w:r>
      <w:r w:rsidRPr="003C2720">
        <w:rPr>
          <w:rFonts w:ascii="Times New Roman" w:hAnsi="Times New Roman" w:cs="Times New Roman"/>
          <w:bCs/>
          <w:szCs w:val="24"/>
        </w:rPr>
        <w:t>, co do których istnieją uzasadnione okoliczności, że nie będą prawidłowo wykonywać działalności gospodarczej objętej koncesją.</w:t>
      </w:r>
      <w:r>
        <w:rPr>
          <w:rFonts w:ascii="Times New Roman" w:hAnsi="Times New Roman" w:cs="Times New Roman"/>
          <w:bCs/>
          <w:szCs w:val="24"/>
        </w:rPr>
        <w:t xml:space="preserve"> W szczególności, przedmiotowa regulacja pozwoli Prezesowi URE na szybsze reagowanie w sytuacji </w:t>
      </w:r>
      <w:r w:rsidR="00EE372D">
        <w:rPr>
          <w:rFonts w:ascii="Times New Roman" w:hAnsi="Times New Roman" w:cs="Times New Roman"/>
          <w:bCs/>
          <w:szCs w:val="24"/>
        </w:rPr>
        <w:t xml:space="preserve">bardzo </w:t>
      </w:r>
      <w:r>
        <w:rPr>
          <w:rFonts w:ascii="Times New Roman" w:hAnsi="Times New Roman" w:cs="Times New Roman"/>
          <w:bCs/>
          <w:szCs w:val="24"/>
        </w:rPr>
        <w:t xml:space="preserve">licznych skarg odbiorców na działania naruszające ich prawa, takie jak celowe i na szeroką skalę wprowadzanie odbiorców w błąd. </w:t>
      </w:r>
      <w:r w:rsidR="003C2720" w:rsidRPr="003C2720">
        <w:rPr>
          <w:rFonts w:ascii="Times New Roman" w:hAnsi="Times New Roman" w:cs="Times New Roman"/>
          <w:bCs/>
          <w:szCs w:val="24"/>
        </w:rPr>
        <w:t>Zwiększy się zatem zakres ochrony rynku i odbiorców</w:t>
      </w:r>
      <w:r w:rsidR="00EE372D">
        <w:rPr>
          <w:rFonts w:ascii="Times New Roman" w:hAnsi="Times New Roman" w:cs="Times New Roman"/>
          <w:bCs/>
          <w:szCs w:val="24"/>
        </w:rPr>
        <w:t>,</w:t>
      </w:r>
      <w:r w:rsidR="003C2720" w:rsidRPr="003C2720">
        <w:rPr>
          <w:rFonts w:ascii="Times New Roman" w:hAnsi="Times New Roman" w:cs="Times New Roman"/>
          <w:bCs/>
          <w:szCs w:val="24"/>
        </w:rPr>
        <w:t xml:space="preserve"> </w:t>
      </w:r>
      <w:r w:rsidR="00EE372D">
        <w:rPr>
          <w:rFonts w:ascii="Times New Roman" w:hAnsi="Times New Roman" w:cs="Times New Roman"/>
          <w:bCs/>
          <w:szCs w:val="24"/>
        </w:rPr>
        <w:t>zwłaszcza</w:t>
      </w:r>
      <w:r w:rsidR="003C2720" w:rsidRPr="003C2720">
        <w:rPr>
          <w:rFonts w:ascii="Times New Roman" w:hAnsi="Times New Roman" w:cs="Times New Roman"/>
          <w:bCs/>
          <w:szCs w:val="24"/>
        </w:rPr>
        <w:t xml:space="preserve"> w gospodarstwach domowych. </w:t>
      </w:r>
    </w:p>
    <w:p w14:paraId="655CE2A0" w14:textId="55198803" w:rsidR="002F2FC0" w:rsidRPr="00A31158" w:rsidRDefault="002F2FC0" w:rsidP="00A31158">
      <w:pPr>
        <w:pStyle w:val="ARTartustawynprozporzdzenia"/>
        <w:rPr>
          <w:rFonts w:ascii="Times New Roman" w:hAnsi="Times New Roman" w:cs="Times New Roman"/>
          <w:b/>
          <w:szCs w:val="24"/>
        </w:rPr>
      </w:pPr>
      <w:r w:rsidRPr="00A31158">
        <w:rPr>
          <w:rFonts w:ascii="Times New Roman" w:hAnsi="Times New Roman" w:cs="Times New Roman"/>
          <w:b/>
          <w:szCs w:val="24"/>
        </w:rPr>
        <w:t xml:space="preserve">Ad </w:t>
      </w:r>
      <w:r w:rsidR="00E22DA0">
        <w:rPr>
          <w:rFonts w:ascii="Times New Roman" w:hAnsi="Times New Roman" w:cs="Times New Roman"/>
          <w:b/>
          <w:szCs w:val="24"/>
        </w:rPr>
        <w:t>2</w:t>
      </w:r>
      <w:r w:rsidR="007A6E78">
        <w:rPr>
          <w:rFonts w:ascii="Times New Roman" w:hAnsi="Times New Roman" w:cs="Times New Roman"/>
          <w:b/>
          <w:szCs w:val="24"/>
        </w:rPr>
        <w:t>2</w:t>
      </w:r>
      <w:r w:rsidRPr="00A31158">
        <w:rPr>
          <w:rFonts w:ascii="Times New Roman" w:hAnsi="Times New Roman" w:cs="Times New Roman"/>
          <w:b/>
          <w:szCs w:val="24"/>
        </w:rPr>
        <w:t>. Nakazanie dalszego wykonywania działalności objętej koncesją</w:t>
      </w:r>
    </w:p>
    <w:p w14:paraId="77945B4F" w14:textId="4F83D034" w:rsidR="00CD7FE6" w:rsidRPr="00A31158" w:rsidRDefault="002F2FC0" w:rsidP="00A31158">
      <w:pPr>
        <w:pStyle w:val="ARTartustawynprozporzdzenia"/>
        <w:rPr>
          <w:rFonts w:ascii="Times New Roman" w:hAnsi="Times New Roman" w:cs="Times New Roman"/>
          <w:bCs/>
          <w:szCs w:val="24"/>
        </w:rPr>
      </w:pPr>
      <w:r>
        <w:rPr>
          <w:rFonts w:ascii="Times New Roman" w:hAnsi="Times New Roman" w:cs="Times New Roman"/>
          <w:bCs/>
          <w:szCs w:val="24"/>
        </w:rPr>
        <w:t xml:space="preserve">Celem zmiany brzmienia art. 40 ust. 1-3 jest wprost wskazanie w </w:t>
      </w:r>
      <w:r w:rsidR="00AE037E">
        <w:rPr>
          <w:rFonts w:ascii="Times New Roman" w:hAnsi="Times New Roman" w:cs="Times New Roman"/>
          <w:bCs/>
          <w:szCs w:val="24"/>
        </w:rPr>
        <w:t xml:space="preserve">ustawie - </w:t>
      </w:r>
      <w:r>
        <w:rPr>
          <w:rFonts w:ascii="Times New Roman" w:hAnsi="Times New Roman" w:cs="Times New Roman"/>
          <w:bCs/>
          <w:szCs w:val="24"/>
        </w:rPr>
        <w:t>Praw</w:t>
      </w:r>
      <w:r w:rsidR="00AE037E">
        <w:rPr>
          <w:rFonts w:ascii="Times New Roman" w:hAnsi="Times New Roman" w:cs="Times New Roman"/>
          <w:bCs/>
          <w:szCs w:val="24"/>
        </w:rPr>
        <w:t>o</w:t>
      </w:r>
      <w:r>
        <w:rPr>
          <w:rFonts w:ascii="Times New Roman" w:hAnsi="Times New Roman" w:cs="Times New Roman"/>
          <w:bCs/>
          <w:szCs w:val="24"/>
        </w:rPr>
        <w:t xml:space="preserve"> energetycznym, że przysługująca Prezesowi URE </w:t>
      </w:r>
      <w:bookmarkStart w:id="15" w:name="_Hlk88576527"/>
      <w:r>
        <w:rPr>
          <w:rFonts w:ascii="Times New Roman" w:hAnsi="Times New Roman" w:cs="Times New Roman"/>
          <w:bCs/>
          <w:szCs w:val="24"/>
        </w:rPr>
        <w:t>możliwość nakazania przedsiębiorstwu energetycznemu dalszego prowadzenia działalności objętej koncesja</w:t>
      </w:r>
      <w:bookmarkEnd w:id="15"/>
      <w:r>
        <w:rPr>
          <w:rFonts w:ascii="Times New Roman" w:hAnsi="Times New Roman" w:cs="Times New Roman"/>
          <w:bCs/>
          <w:szCs w:val="24"/>
        </w:rPr>
        <w:t xml:space="preserve"> na okres nie dłuższy niż 2 lata, także dotyczy przedsiębiorstw w upadłości. Powyższe zostało połączone jest z prawem do pokrycia strat od Skarbu Państwa za okres objęty decyzją Prezesa URE. Dodatkowo, w ust. 3 doprecyzowano, że Prezes URE ma prawo weryfikacji kosztów związany</w:t>
      </w:r>
      <w:r w:rsidR="009639A6">
        <w:rPr>
          <w:rFonts w:ascii="Times New Roman" w:hAnsi="Times New Roman" w:cs="Times New Roman"/>
          <w:bCs/>
          <w:szCs w:val="24"/>
        </w:rPr>
        <w:t xml:space="preserve">ch </w:t>
      </w:r>
      <w:r>
        <w:rPr>
          <w:rFonts w:ascii="Times New Roman" w:hAnsi="Times New Roman" w:cs="Times New Roman"/>
          <w:bCs/>
          <w:szCs w:val="24"/>
        </w:rPr>
        <w:t xml:space="preserve">ze stratami, które </w:t>
      </w:r>
      <w:r w:rsidR="009639A6" w:rsidRPr="00F45012">
        <w:rPr>
          <w:rFonts w:ascii="Times New Roman" w:hAnsi="Times New Roman" w:cs="Times New Roman"/>
          <w:bCs/>
          <w:szCs w:val="24"/>
        </w:rPr>
        <w:t>poniesiono</w:t>
      </w:r>
      <w:r w:rsidRPr="00F45012">
        <w:rPr>
          <w:rFonts w:ascii="Times New Roman" w:hAnsi="Times New Roman" w:cs="Times New Roman"/>
          <w:bCs/>
          <w:szCs w:val="24"/>
        </w:rPr>
        <w:t xml:space="preserve"> w wyniku wykonania decyzji Prezesa URE. </w:t>
      </w:r>
    </w:p>
    <w:p w14:paraId="247C415F" w14:textId="3B6B5A76" w:rsidR="001400E8" w:rsidRDefault="00F45012" w:rsidP="00A31158">
      <w:pPr>
        <w:pStyle w:val="ARTartustawynprozporzdzenia"/>
        <w:ind w:firstLine="0"/>
        <w:rPr>
          <w:rFonts w:ascii="Times New Roman" w:hAnsi="Times New Roman" w:cs="Times New Roman"/>
          <w:bCs/>
          <w:szCs w:val="24"/>
        </w:rPr>
      </w:pPr>
      <w:r>
        <w:rPr>
          <w:rFonts w:ascii="Times New Roman" w:hAnsi="Times New Roman" w:cs="Times New Roman"/>
          <w:bCs/>
          <w:szCs w:val="24"/>
        </w:rPr>
        <w:t>Należy wskazać, że w przypadku ogłoszenia upadłości, zgodnie z art. 42 u</w:t>
      </w:r>
      <w:r w:rsidR="00AE037E">
        <w:rPr>
          <w:rFonts w:ascii="Times New Roman" w:hAnsi="Times New Roman" w:cs="Times New Roman"/>
          <w:bCs/>
          <w:szCs w:val="24"/>
        </w:rPr>
        <w:t xml:space="preserve">stawy – Prawo </w:t>
      </w:r>
      <w:r w:rsidR="00477C8A">
        <w:rPr>
          <w:rFonts w:ascii="Times New Roman" w:hAnsi="Times New Roman" w:cs="Times New Roman"/>
          <w:bCs/>
          <w:szCs w:val="24"/>
        </w:rPr>
        <w:t>energetyczne</w:t>
      </w:r>
      <w:r>
        <w:rPr>
          <w:rFonts w:ascii="Times New Roman" w:hAnsi="Times New Roman" w:cs="Times New Roman"/>
          <w:bCs/>
          <w:szCs w:val="24"/>
        </w:rPr>
        <w:t xml:space="preserve">, koncesja wygasa najpóźniej z dniem wykreślenia przedsiębiorstwa z </w:t>
      </w:r>
      <w:r w:rsidRPr="00F45012">
        <w:rPr>
          <w:rFonts w:ascii="Times New Roman" w:hAnsi="Times New Roman" w:cs="Times New Roman"/>
          <w:bCs/>
          <w:szCs w:val="24"/>
        </w:rPr>
        <w:t>właściwego rejestru lub ewidencji.</w:t>
      </w:r>
      <w:r>
        <w:rPr>
          <w:rFonts w:ascii="Times New Roman" w:hAnsi="Times New Roman" w:cs="Times New Roman"/>
          <w:bCs/>
          <w:szCs w:val="24"/>
        </w:rPr>
        <w:t xml:space="preserve"> </w:t>
      </w:r>
      <w:r w:rsidR="002525F7">
        <w:rPr>
          <w:rFonts w:ascii="Times New Roman" w:hAnsi="Times New Roman" w:cs="Times New Roman"/>
          <w:bCs/>
          <w:szCs w:val="24"/>
        </w:rPr>
        <w:t>D</w:t>
      </w:r>
      <w:r>
        <w:rPr>
          <w:rFonts w:ascii="Times New Roman" w:hAnsi="Times New Roman" w:cs="Times New Roman"/>
          <w:bCs/>
          <w:szCs w:val="24"/>
        </w:rPr>
        <w:t xml:space="preserve">o tego czasu syndyk </w:t>
      </w:r>
      <w:r w:rsidRPr="00F45012">
        <w:rPr>
          <w:rFonts w:ascii="Times New Roman" w:hAnsi="Times New Roman" w:cs="Times New Roman"/>
          <w:bCs/>
          <w:szCs w:val="24"/>
        </w:rPr>
        <w:t xml:space="preserve">prowadzący przedsiębiorstwo upadłego </w:t>
      </w:r>
      <w:r>
        <w:rPr>
          <w:rFonts w:ascii="Times New Roman" w:hAnsi="Times New Roman" w:cs="Times New Roman"/>
          <w:bCs/>
          <w:szCs w:val="24"/>
        </w:rPr>
        <w:t xml:space="preserve">jest uprawniony do dalszego powadzenia działalności objętej koncesją na podstawie art. 169 ust. 4 ustawy </w:t>
      </w:r>
      <w:r w:rsidRPr="00F45012">
        <w:rPr>
          <w:rFonts w:ascii="Times New Roman" w:hAnsi="Times New Roman" w:cs="Times New Roman"/>
          <w:bCs/>
          <w:szCs w:val="24"/>
        </w:rPr>
        <w:t xml:space="preserve">z dnia 28 lutego 2003 r. </w:t>
      </w:r>
      <w:r w:rsidRPr="00A31158">
        <w:rPr>
          <w:rFonts w:ascii="Times New Roman" w:hAnsi="Times New Roman" w:cs="Times New Roman"/>
          <w:bCs/>
          <w:szCs w:val="24"/>
        </w:rPr>
        <w:t>– Prawo upadłościowe</w:t>
      </w:r>
      <w:r>
        <w:rPr>
          <w:rFonts w:ascii="Times New Roman" w:hAnsi="Times New Roman" w:cs="Times New Roman"/>
          <w:bCs/>
          <w:szCs w:val="24"/>
        </w:rPr>
        <w:t xml:space="preserve"> (</w:t>
      </w:r>
      <w:r w:rsidRPr="00F45012">
        <w:rPr>
          <w:rFonts w:ascii="Times New Roman" w:hAnsi="Times New Roman" w:cs="Times New Roman"/>
          <w:bCs/>
          <w:szCs w:val="24"/>
        </w:rPr>
        <w:t>Dz.U. z 2020 r. poz. 1228</w:t>
      </w:r>
      <w:r w:rsidR="00477C8A">
        <w:rPr>
          <w:rFonts w:ascii="Times New Roman" w:hAnsi="Times New Roman" w:cs="Times New Roman"/>
          <w:bCs/>
          <w:szCs w:val="24"/>
        </w:rPr>
        <w:t xml:space="preserve">, z </w:t>
      </w:r>
      <w:proofErr w:type="spellStart"/>
      <w:r w:rsidR="00477C8A">
        <w:rPr>
          <w:rFonts w:ascii="Times New Roman" w:hAnsi="Times New Roman" w:cs="Times New Roman"/>
          <w:bCs/>
          <w:szCs w:val="24"/>
        </w:rPr>
        <w:t>późn</w:t>
      </w:r>
      <w:proofErr w:type="spellEnd"/>
      <w:r w:rsidR="00477C8A">
        <w:rPr>
          <w:rFonts w:ascii="Times New Roman" w:hAnsi="Times New Roman" w:cs="Times New Roman"/>
          <w:bCs/>
          <w:szCs w:val="24"/>
        </w:rPr>
        <w:t>. zm.)</w:t>
      </w:r>
      <w:r w:rsidRPr="00A31158">
        <w:rPr>
          <w:rFonts w:ascii="Times New Roman" w:hAnsi="Times New Roman" w:cs="Times New Roman"/>
          <w:bCs/>
          <w:szCs w:val="24"/>
        </w:rPr>
        <w:t xml:space="preserve">. </w:t>
      </w:r>
      <w:r w:rsidR="002525F7">
        <w:rPr>
          <w:rFonts w:ascii="Times New Roman" w:hAnsi="Times New Roman" w:cs="Times New Roman"/>
          <w:bCs/>
          <w:szCs w:val="24"/>
        </w:rPr>
        <w:t xml:space="preserve">Jednakże, może dojść do sytuacji, że </w:t>
      </w:r>
      <w:r w:rsidRPr="00A31158">
        <w:rPr>
          <w:rFonts w:ascii="Times New Roman" w:hAnsi="Times New Roman" w:cs="Times New Roman"/>
          <w:bCs/>
          <w:szCs w:val="24"/>
        </w:rPr>
        <w:t xml:space="preserve">koncesja wygaśnie po ogłoszeniu upadłości a przed zakończeniem postępowania upadłościowego. W </w:t>
      </w:r>
      <w:r w:rsidR="002525F7">
        <w:rPr>
          <w:rFonts w:ascii="Times New Roman" w:hAnsi="Times New Roman" w:cs="Times New Roman"/>
          <w:bCs/>
          <w:szCs w:val="24"/>
        </w:rPr>
        <w:t>tym wypadku</w:t>
      </w:r>
      <w:r w:rsidRPr="00A31158">
        <w:rPr>
          <w:rFonts w:ascii="Times New Roman" w:hAnsi="Times New Roman" w:cs="Times New Roman"/>
          <w:bCs/>
          <w:szCs w:val="24"/>
        </w:rPr>
        <w:t xml:space="preserve">, </w:t>
      </w:r>
      <w:r w:rsidR="002525F7">
        <w:rPr>
          <w:rFonts w:ascii="Times New Roman" w:hAnsi="Times New Roman" w:cs="Times New Roman"/>
          <w:bCs/>
          <w:szCs w:val="24"/>
        </w:rPr>
        <w:t xml:space="preserve">gdy jest to uzasadnione </w:t>
      </w:r>
      <w:r w:rsidRPr="00A31158">
        <w:rPr>
          <w:rFonts w:ascii="Times New Roman" w:hAnsi="Times New Roman" w:cs="Times New Roman"/>
          <w:bCs/>
          <w:szCs w:val="24"/>
        </w:rPr>
        <w:t xml:space="preserve">interesem społecznym, zastosowanie </w:t>
      </w:r>
      <w:r w:rsidR="002525F7">
        <w:rPr>
          <w:rFonts w:ascii="Times New Roman" w:hAnsi="Times New Roman" w:cs="Times New Roman"/>
          <w:bCs/>
          <w:szCs w:val="24"/>
        </w:rPr>
        <w:t xml:space="preserve">będzie miała projektowana regulacja. </w:t>
      </w:r>
    </w:p>
    <w:p w14:paraId="68A02092" w14:textId="5B206E42" w:rsidR="00F45012" w:rsidRDefault="002525F7" w:rsidP="00A31158">
      <w:pPr>
        <w:pStyle w:val="ARTartustawynprozporzdzenia"/>
        <w:ind w:firstLine="0"/>
        <w:rPr>
          <w:rFonts w:ascii="Times New Roman" w:hAnsi="Times New Roman" w:cs="Times New Roman"/>
          <w:bCs/>
          <w:szCs w:val="24"/>
        </w:rPr>
      </w:pPr>
      <w:r>
        <w:rPr>
          <w:rFonts w:ascii="Times New Roman" w:hAnsi="Times New Roman" w:cs="Times New Roman"/>
          <w:bCs/>
          <w:szCs w:val="24"/>
        </w:rPr>
        <w:lastRenderedPageBreak/>
        <w:t xml:space="preserve">Ponadto, w projektowanej regulacji zawarto obowiązek wskazania okresu prowadzenia dalszej działalności, dzięki czemu możliwe jest wykorzystanie przedmiotowych przepisów do zapewnienia odpowiedniego czasu, w sytuacji gdy jest to niezbędne do </w:t>
      </w:r>
      <w:r w:rsidRPr="009E7CEF">
        <w:rPr>
          <w:rFonts w:ascii="Times New Roman" w:hAnsi="Times New Roman" w:cs="Times New Roman"/>
          <w:bCs/>
          <w:szCs w:val="24"/>
        </w:rPr>
        <w:t>np.</w:t>
      </w:r>
      <w:r>
        <w:rPr>
          <w:rFonts w:ascii="Times New Roman" w:hAnsi="Times New Roman" w:cs="Times New Roman"/>
          <w:bCs/>
          <w:szCs w:val="24"/>
        </w:rPr>
        <w:t xml:space="preserve"> przeorganizowania dostaw ciepła</w:t>
      </w:r>
      <w:r w:rsidR="00F45012" w:rsidRPr="00A31158">
        <w:rPr>
          <w:rFonts w:ascii="Times New Roman" w:hAnsi="Times New Roman" w:cs="Times New Roman"/>
          <w:bCs/>
          <w:szCs w:val="24"/>
        </w:rPr>
        <w:t>.</w:t>
      </w:r>
      <w:r w:rsidR="001400E8">
        <w:rPr>
          <w:rFonts w:ascii="Times New Roman" w:hAnsi="Times New Roman" w:cs="Times New Roman"/>
          <w:bCs/>
          <w:szCs w:val="24"/>
        </w:rPr>
        <w:t xml:space="preserve"> </w:t>
      </w:r>
    </w:p>
    <w:p w14:paraId="620E7327" w14:textId="7B6CBE83" w:rsidR="00F45012" w:rsidRDefault="002525F7">
      <w:pPr>
        <w:pStyle w:val="ARTartustawynprozporzdzenia"/>
        <w:ind w:firstLine="0"/>
        <w:rPr>
          <w:rFonts w:ascii="Times New Roman" w:hAnsi="Times New Roman" w:cs="Times New Roman"/>
          <w:bCs/>
          <w:szCs w:val="24"/>
        </w:rPr>
      </w:pPr>
      <w:r>
        <w:rPr>
          <w:rFonts w:ascii="Times New Roman" w:hAnsi="Times New Roman" w:cs="Times New Roman"/>
          <w:bCs/>
          <w:szCs w:val="24"/>
        </w:rPr>
        <w:t>Podkreślenia wymaga</w:t>
      </w:r>
      <w:r w:rsidR="001400E8">
        <w:rPr>
          <w:rFonts w:ascii="Times New Roman" w:hAnsi="Times New Roman" w:cs="Times New Roman"/>
          <w:bCs/>
          <w:szCs w:val="24"/>
        </w:rPr>
        <w:t xml:space="preserve"> także</w:t>
      </w:r>
      <w:r>
        <w:rPr>
          <w:rFonts w:ascii="Times New Roman" w:hAnsi="Times New Roman" w:cs="Times New Roman"/>
          <w:bCs/>
          <w:szCs w:val="24"/>
        </w:rPr>
        <w:t xml:space="preserve"> fakt, że p</w:t>
      </w:r>
      <w:r w:rsidR="00F45012" w:rsidRPr="00A31158">
        <w:rPr>
          <w:rFonts w:ascii="Times New Roman" w:hAnsi="Times New Roman" w:cs="Times New Roman"/>
          <w:bCs/>
          <w:szCs w:val="24"/>
        </w:rPr>
        <w:t xml:space="preserve">omimo, że skala zjawiska nie jest wielka – w okresie ostatnich 5 lat URE zastosowało procedurę wskazaną w art. 40 </w:t>
      </w:r>
      <w:r>
        <w:rPr>
          <w:rFonts w:ascii="Times New Roman" w:hAnsi="Times New Roman" w:cs="Times New Roman"/>
          <w:bCs/>
          <w:szCs w:val="24"/>
        </w:rPr>
        <w:t>u</w:t>
      </w:r>
      <w:r w:rsidR="00AE037E">
        <w:rPr>
          <w:rFonts w:ascii="Times New Roman" w:hAnsi="Times New Roman" w:cs="Times New Roman"/>
          <w:bCs/>
          <w:szCs w:val="24"/>
        </w:rPr>
        <w:t xml:space="preserve">stawy – </w:t>
      </w:r>
      <w:r w:rsidR="00F45012" w:rsidRPr="00A31158">
        <w:rPr>
          <w:rFonts w:ascii="Times New Roman" w:hAnsi="Times New Roman" w:cs="Times New Roman"/>
          <w:bCs/>
          <w:szCs w:val="24"/>
        </w:rPr>
        <w:t>P</w:t>
      </w:r>
      <w:r w:rsidR="00AE037E">
        <w:rPr>
          <w:rFonts w:ascii="Times New Roman" w:hAnsi="Times New Roman" w:cs="Times New Roman"/>
          <w:bCs/>
          <w:szCs w:val="24"/>
        </w:rPr>
        <w:t xml:space="preserve">rawo </w:t>
      </w:r>
      <w:r w:rsidR="00F45012" w:rsidRPr="00A31158">
        <w:rPr>
          <w:rFonts w:ascii="Times New Roman" w:hAnsi="Times New Roman" w:cs="Times New Roman"/>
          <w:bCs/>
          <w:szCs w:val="24"/>
        </w:rPr>
        <w:t>e</w:t>
      </w:r>
      <w:r w:rsidR="00AE037E">
        <w:rPr>
          <w:rFonts w:ascii="Times New Roman" w:hAnsi="Times New Roman" w:cs="Times New Roman"/>
          <w:bCs/>
          <w:szCs w:val="24"/>
        </w:rPr>
        <w:t>nergetyczne</w:t>
      </w:r>
      <w:r w:rsidR="00F45012" w:rsidRPr="00A31158">
        <w:rPr>
          <w:rFonts w:ascii="Times New Roman" w:hAnsi="Times New Roman" w:cs="Times New Roman"/>
          <w:bCs/>
          <w:szCs w:val="24"/>
        </w:rPr>
        <w:t xml:space="preserve"> tylko dwukrotnie, z czego jeden z przedsiębiorców znajdował się w upadłości – skutki braku możliwości nakazania upadłemu przedsiębiorcy dalszego prowadzenia działalności</w:t>
      </w:r>
      <w:r w:rsidR="001400E8">
        <w:rPr>
          <w:rFonts w:ascii="Times New Roman" w:hAnsi="Times New Roman" w:cs="Times New Roman"/>
          <w:bCs/>
          <w:szCs w:val="24"/>
        </w:rPr>
        <w:t>,</w:t>
      </w:r>
      <w:r w:rsidR="00F45012" w:rsidRPr="00A31158">
        <w:rPr>
          <w:rFonts w:ascii="Times New Roman" w:hAnsi="Times New Roman" w:cs="Times New Roman"/>
          <w:bCs/>
          <w:szCs w:val="24"/>
        </w:rPr>
        <w:t xml:space="preserve"> pomimo wygaśnięcia koncesji</w:t>
      </w:r>
      <w:r w:rsidR="001400E8">
        <w:rPr>
          <w:rFonts w:ascii="Times New Roman" w:hAnsi="Times New Roman" w:cs="Times New Roman"/>
          <w:bCs/>
          <w:szCs w:val="24"/>
        </w:rPr>
        <w:t>,</w:t>
      </w:r>
      <w:r w:rsidR="00F45012" w:rsidRPr="00A31158">
        <w:rPr>
          <w:rFonts w:ascii="Times New Roman" w:hAnsi="Times New Roman" w:cs="Times New Roman"/>
          <w:bCs/>
          <w:szCs w:val="24"/>
        </w:rPr>
        <w:t xml:space="preserve"> należą do niezwykle uciążliwych dla jego odbiorców.</w:t>
      </w:r>
    </w:p>
    <w:p w14:paraId="315F98F1" w14:textId="3F07F769" w:rsidR="00813DD6" w:rsidRPr="00A31158" w:rsidRDefault="00813DD6" w:rsidP="00A31158">
      <w:pPr>
        <w:pStyle w:val="ARTartustawynprozporzdzenia"/>
        <w:rPr>
          <w:rFonts w:ascii="Times New Roman" w:hAnsi="Times New Roman" w:cs="Times New Roman"/>
          <w:b/>
          <w:szCs w:val="24"/>
        </w:rPr>
      </w:pPr>
      <w:r w:rsidRPr="00A31158">
        <w:rPr>
          <w:rFonts w:ascii="Times New Roman" w:hAnsi="Times New Roman" w:cs="Times New Roman"/>
          <w:b/>
          <w:szCs w:val="24"/>
        </w:rPr>
        <w:t xml:space="preserve">Ad </w:t>
      </w:r>
      <w:r w:rsidR="00AE037E">
        <w:rPr>
          <w:rFonts w:ascii="Times New Roman" w:hAnsi="Times New Roman" w:cs="Times New Roman"/>
          <w:b/>
          <w:szCs w:val="24"/>
        </w:rPr>
        <w:t>2</w:t>
      </w:r>
      <w:r w:rsidR="007A6E78">
        <w:rPr>
          <w:rFonts w:ascii="Times New Roman" w:hAnsi="Times New Roman" w:cs="Times New Roman"/>
          <w:b/>
          <w:szCs w:val="24"/>
        </w:rPr>
        <w:t>3</w:t>
      </w:r>
      <w:r w:rsidR="00477C8A">
        <w:rPr>
          <w:rFonts w:ascii="Times New Roman" w:hAnsi="Times New Roman" w:cs="Times New Roman"/>
          <w:b/>
          <w:szCs w:val="24"/>
        </w:rPr>
        <w:t>.</w:t>
      </w:r>
      <w:r w:rsidRPr="00A31158">
        <w:rPr>
          <w:rFonts w:ascii="Times New Roman" w:hAnsi="Times New Roman" w:cs="Times New Roman"/>
          <w:b/>
          <w:szCs w:val="24"/>
        </w:rPr>
        <w:t xml:space="preserve"> Zmiany w zakresie funkcjonowania centralnego systemu informacji rynku energii.</w:t>
      </w:r>
    </w:p>
    <w:p w14:paraId="3DDA269E" w14:textId="4464944C" w:rsidR="00813DD6" w:rsidRPr="00813DD6" w:rsidRDefault="00813DD6" w:rsidP="00813DD6">
      <w:pPr>
        <w:pStyle w:val="ARTartustawynprozporzdzenia"/>
        <w:rPr>
          <w:rFonts w:ascii="Times New Roman" w:hAnsi="Times New Roman" w:cs="Times New Roman"/>
          <w:bCs/>
          <w:szCs w:val="24"/>
        </w:rPr>
      </w:pPr>
      <w:r w:rsidRPr="00813DD6">
        <w:rPr>
          <w:rFonts w:ascii="Times New Roman" w:hAnsi="Times New Roman" w:cs="Times New Roman"/>
          <w:bCs/>
          <w:szCs w:val="24"/>
        </w:rPr>
        <w:t>Ustawa z dnia 20 maja 2021 r. o zmianie ustawy - Prawo energetyczne oraz niektórych innych ustaw stworzyła ramy prawne do funkcjonowania centralnego systemu informacji rynku energii. W trakcie wypracowywania standardów wymiany informacji centralnego systemu informacji rynku energii na podstawie art. 9g ust. 5c ustawy z dnia 10 kwietnia 1997 r. – Prawo energetyczne oraz art. 17 ust 2 ustawy z dnia 20 maja 2021 r. o zmianie ustawy - Prawo energetyczne oraz niektórych innych ustaw, dostrzeżono zagadnienia, które mogłyby, przy błędnej interpretacji, utrudnić funkcjonowanie centralnego systemu informacji rynku energii. W związku z powyższym zdecydowano się na doprecyzowanie odpowiednich przepisów ustawy.</w:t>
      </w:r>
    </w:p>
    <w:p w14:paraId="750841AE" w14:textId="77777777" w:rsidR="00813DD6" w:rsidRPr="00813DD6" w:rsidRDefault="00813DD6" w:rsidP="00813DD6">
      <w:pPr>
        <w:pStyle w:val="ARTartustawynprozporzdzenia"/>
        <w:rPr>
          <w:rFonts w:ascii="Times New Roman" w:hAnsi="Times New Roman" w:cs="Times New Roman"/>
          <w:bCs/>
          <w:szCs w:val="24"/>
        </w:rPr>
      </w:pPr>
      <w:r w:rsidRPr="00813DD6">
        <w:rPr>
          <w:rFonts w:ascii="Times New Roman" w:hAnsi="Times New Roman" w:cs="Times New Roman"/>
          <w:bCs/>
          <w:szCs w:val="24"/>
        </w:rPr>
        <w:t>Nieuzasadnione jest wskazywanie w umowie sprzedaży mocy umownej, która powinna być (i jest) wskazywana w umowie dystrybucyjnej/przesyłowej. Przedmiotowy parametr jest domeną umów na dystrybucję/</w:t>
      </w:r>
      <w:proofErr w:type="spellStart"/>
      <w:r w:rsidRPr="00813DD6">
        <w:rPr>
          <w:rFonts w:ascii="Times New Roman" w:hAnsi="Times New Roman" w:cs="Times New Roman"/>
          <w:bCs/>
          <w:szCs w:val="24"/>
        </w:rPr>
        <w:t>przesył</w:t>
      </w:r>
      <w:proofErr w:type="spellEnd"/>
      <w:r w:rsidRPr="00813DD6">
        <w:rPr>
          <w:rFonts w:ascii="Times New Roman" w:hAnsi="Times New Roman" w:cs="Times New Roman"/>
          <w:bCs/>
          <w:szCs w:val="24"/>
        </w:rPr>
        <w:t xml:space="preserve"> energii. Powielanie tych danych w umowie sprzedaży może prowadzić do rozbieżności informacji w tych umowach, a tym samym do konfliktów w bazie centralnego systemu informacji rynku energii. Dlatego proponuje się wykreślenie z art. 5 ust. 2 pkt 1 słów „moc umowną oraz warunki wprowadzania jej zmian”.</w:t>
      </w:r>
    </w:p>
    <w:p w14:paraId="58CC9896" w14:textId="77777777" w:rsidR="00813DD6" w:rsidRPr="00813DD6" w:rsidRDefault="00813DD6" w:rsidP="00813DD6">
      <w:pPr>
        <w:pStyle w:val="ARTartustawynprozporzdzenia"/>
        <w:rPr>
          <w:rFonts w:ascii="Times New Roman" w:hAnsi="Times New Roman" w:cs="Times New Roman"/>
          <w:bCs/>
          <w:szCs w:val="24"/>
        </w:rPr>
      </w:pPr>
      <w:r w:rsidRPr="00813DD6">
        <w:rPr>
          <w:rFonts w:ascii="Times New Roman" w:hAnsi="Times New Roman" w:cs="Times New Roman"/>
          <w:bCs/>
          <w:szCs w:val="24"/>
        </w:rPr>
        <w:t xml:space="preserve">W związku z wdrożeniem centralnego systemu informacji rynku energii nie będzie potrzeby do zawierania w umowie dystrybucyjnej informacji nt. sprzedawcy - sprzedawca może się zmieniać niezależnie od umowy dystrybucyjnej i może być nieznany na etapie zawierania tej umowy. Powyższe potwierdza również praktyka rynku. W umowach dystrybucyjnych są zapisy mówiące o tym, iż aktualny sprzedawca jest wskazywany w powiadomieniu o zawartej pomiędzy sprzedawcą oraz odbiorca umowie sprzedaży. Zmiana </w:t>
      </w:r>
      <w:r w:rsidRPr="00813DD6">
        <w:rPr>
          <w:rFonts w:ascii="Times New Roman" w:hAnsi="Times New Roman" w:cs="Times New Roman"/>
          <w:bCs/>
          <w:szCs w:val="24"/>
        </w:rPr>
        <w:lastRenderedPageBreak/>
        <w:t>sprzedawcy nie wymaga aneksowania/aktualizacji umowy dystrybucyjnej. W związku z powyższym proponuje się uchylenie art. 5 ust. 2a pkt 1 lit. a.</w:t>
      </w:r>
    </w:p>
    <w:p w14:paraId="3C068D61" w14:textId="77777777" w:rsidR="00813DD6" w:rsidRPr="00813DD6" w:rsidRDefault="00813DD6" w:rsidP="00813DD6">
      <w:pPr>
        <w:pStyle w:val="ARTartustawynprozporzdzenia"/>
        <w:rPr>
          <w:rFonts w:ascii="Times New Roman" w:hAnsi="Times New Roman" w:cs="Times New Roman"/>
          <w:bCs/>
          <w:szCs w:val="24"/>
        </w:rPr>
      </w:pPr>
      <w:r w:rsidRPr="00813DD6">
        <w:rPr>
          <w:rFonts w:ascii="Times New Roman" w:hAnsi="Times New Roman" w:cs="Times New Roman"/>
          <w:bCs/>
          <w:szCs w:val="24"/>
        </w:rPr>
        <w:t xml:space="preserve">W związku z wdrożeniem centralnego systemu informacji rynku energii nie będzie potrzeby do zawierania w umowie dystrybucyjnej informacji nt. podmiotu odpowiedzialnego za bilansowanie handlowe (POB) - POB może się zmieniać niezależnie od umowy dystrybucyjnej i może być nieznany na etapie zawierania tej umowy. W związku z powyższym proponuje się uchylenie art. 5 ust. 2a pkt 2. </w:t>
      </w:r>
    </w:p>
    <w:p w14:paraId="626AA8BD" w14:textId="77777777" w:rsidR="00813DD6" w:rsidRPr="00813DD6" w:rsidRDefault="00813DD6" w:rsidP="00813DD6">
      <w:pPr>
        <w:pStyle w:val="ARTartustawynprozporzdzenia"/>
        <w:rPr>
          <w:rFonts w:ascii="Times New Roman" w:hAnsi="Times New Roman" w:cs="Times New Roman"/>
          <w:bCs/>
          <w:szCs w:val="24"/>
        </w:rPr>
      </w:pPr>
      <w:r w:rsidRPr="00813DD6">
        <w:rPr>
          <w:rFonts w:ascii="Times New Roman" w:hAnsi="Times New Roman" w:cs="Times New Roman"/>
          <w:bCs/>
          <w:szCs w:val="24"/>
        </w:rPr>
        <w:t>W związku z zmianami treści umów sprzedaży oraz umów o świadczenie usług dystrybucji energii elektrycznej (art. 5), proponuje się aby w celu uniknięcia konieczności rozwiązywania tych umów pozostały one w mocy przez okres na jaki zostały zawarte.</w:t>
      </w:r>
    </w:p>
    <w:p w14:paraId="30D84715" w14:textId="77777777" w:rsidR="00813DD6" w:rsidRPr="00813DD6" w:rsidRDefault="00813DD6" w:rsidP="00813DD6">
      <w:pPr>
        <w:pStyle w:val="ARTartustawynprozporzdzenia"/>
        <w:rPr>
          <w:rFonts w:ascii="Times New Roman" w:hAnsi="Times New Roman" w:cs="Times New Roman"/>
          <w:bCs/>
          <w:szCs w:val="24"/>
        </w:rPr>
      </w:pPr>
      <w:r w:rsidRPr="00813DD6">
        <w:rPr>
          <w:rFonts w:ascii="Times New Roman" w:hAnsi="Times New Roman" w:cs="Times New Roman"/>
          <w:bCs/>
          <w:szCs w:val="24"/>
        </w:rPr>
        <w:t>Zgodnie z rekomendacjami Urzędu Regulacji Energetyki oraz prowadzonymi rozmowami w zakresie implementacji w centralnym systemie informacji rynku energii obowiązków tzw. właścicieli urządzeń, instalacji lub sieci, w przypadku gdy  użytkownik  systemu przyłączony jest do urządzeń, instalacji lub sieci, na których nie wyznaczono operatora systemu  elektroenergetycznego, zrezygnowano z odniesienia w ustawie do tych właścicieli. Przedmiotowy zabieg jest tym bardziej uzasadniony, że zgodnie z art. 15 ustawy z dnia 8 stycznia 2010 r. o zmianie ustawy – Prawo energetyczne oraz niektórych innych ustaw (Dz.  U.  z  2010  r.  Nr  21,  poz.  104,  z  2014 r. poz. 490) na każdym fragmencie sieci powinien zostać ustanowiony operator systemu elektroenergetycznego. W świetle tego przepisu:</w:t>
      </w:r>
    </w:p>
    <w:p w14:paraId="742BC419" w14:textId="77777777" w:rsidR="00813DD6" w:rsidRPr="00A31158" w:rsidRDefault="00813DD6" w:rsidP="00813DD6">
      <w:pPr>
        <w:pStyle w:val="ARTartustawynprozporzdzenia"/>
        <w:rPr>
          <w:rFonts w:ascii="Times New Roman" w:hAnsi="Times New Roman" w:cs="Times New Roman"/>
          <w:bCs/>
          <w:i/>
          <w:iCs/>
          <w:szCs w:val="24"/>
        </w:rPr>
      </w:pPr>
      <w:r w:rsidRPr="00A31158">
        <w:rPr>
          <w:rFonts w:ascii="Times New Roman" w:hAnsi="Times New Roman" w:cs="Times New Roman"/>
          <w:bCs/>
          <w:i/>
          <w:iCs/>
          <w:szCs w:val="24"/>
        </w:rPr>
        <w:t xml:space="preserve">Art. 15. 1.  W terminie 6 miesięcy od dnia wejścia w życie niniejszej ustawy, właściciel, o którym mowa w art. 9h ust. 1 ustawy zmienianej w art. 1, w brzmieniu nadanym niniejszą ustawą:  </w:t>
      </w:r>
    </w:p>
    <w:p w14:paraId="4E0EDA42" w14:textId="77777777" w:rsidR="00813DD6" w:rsidRPr="00A31158" w:rsidRDefault="00813DD6" w:rsidP="00813DD6">
      <w:pPr>
        <w:pStyle w:val="ARTartustawynprozporzdzenia"/>
        <w:rPr>
          <w:rFonts w:ascii="Times New Roman" w:hAnsi="Times New Roman" w:cs="Times New Roman"/>
          <w:bCs/>
          <w:i/>
          <w:iCs/>
          <w:szCs w:val="24"/>
        </w:rPr>
      </w:pPr>
      <w:r w:rsidRPr="00A31158">
        <w:rPr>
          <w:rFonts w:ascii="Times New Roman" w:hAnsi="Times New Roman" w:cs="Times New Roman"/>
          <w:bCs/>
          <w:i/>
          <w:iCs/>
          <w:szCs w:val="24"/>
        </w:rPr>
        <w:t xml:space="preserve">1)  wystąpi  z  wnioskiem  do  Prezesa  Urzędu  Regulacji  Energetyki o wyznaczenie  go  odpowiednio  operatorem  systemu  dystrybucyjnego  gazowego  lub  elektroenergetycznego,  systemu  magazynowania  paliw  gazowych, systemu skraplania gazu ziemnego albo </w:t>
      </w:r>
    </w:p>
    <w:p w14:paraId="2AD7F476" w14:textId="77777777" w:rsidR="00813DD6" w:rsidRPr="00A31158" w:rsidRDefault="00813DD6" w:rsidP="00813DD6">
      <w:pPr>
        <w:pStyle w:val="ARTartustawynprozporzdzenia"/>
        <w:rPr>
          <w:rFonts w:ascii="Times New Roman" w:hAnsi="Times New Roman" w:cs="Times New Roman"/>
          <w:bCs/>
          <w:i/>
          <w:iCs/>
          <w:szCs w:val="24"/>
        </w:rPr>
      </w:pPr>
      <w:r w:rsidRPr="00A31158">
        <w:rPr>
          <w:rFonts w:ascii="Times New Roman" w:hAnsi="Times New Roman" w:cs="Times New Roman"/>
          <w:bCs/>
          <w:i/>
          <w:iCs/>
          <w:szCs w:val="24"/>
        </w:rPr>
        <w:t xml:space="preserve">2)  powierzy innemu przedsiębiorstwu energetycznemu, w drodze umowy, pełnienie odpowiednio obowiązków operatora systemu przesyłowego, systemu dystrybucyjnego, systemu  magazynowania,  systemu  skraplania  gazu  ziemnego lub systemu połączonego i wystąpi z wnioskiem do Prezesa Urzędu Regulacji  Energetyki o wyznaczenie tego przedsiębiorstwa operatorem dla jego sieci lub instalacji. </w:t>
      </w:r>
    </w:p>
    <w:p w14:paraId="39CA2E95" w14:textId="77777777" w:rsidR="00813DD6" w:rsidRPr="00A31158" w:rsidRDefault="00813DD6" w:rsidP="00813DD6">
      <w:pPr>
        <w:pStyle w:val="ARTartustawynprozporzdzenia"/>
        <w:rPr>
          <w:rFonts w:ascii="Times New Roman" w:hAnsi="Times New Roman" w:cs="Times New Roman"/>
          <w:bCs/>
          <w:i/>
          <w:iCs/>
          <w:szCs w:val="24"/>
        </w:rPr>
      </w:pPr>
      <w:r w:rsidRPr="00A31158">
        <w:rPr>
          <w:rFonts w:ascii="Times New Roman" w:hAnsi="Times New Roman" w:cs="Times New Roman"/>
          <w:bCs/>
          <w:i/>
          <w:iCs/>
          <w:szCs w:val="24"/>
        </w:rPr>
        <w:t xml:space="preserve">2.  Przepisy ust. 1 stosuje się do właściciela sieci lub instalacji, o którym  mowa  w art. 9h ust. 1 ustawy zmienianej w art. 1, w brzmieniu nadanym niniejszą ustawą, dla których w dniu </w:t>
      </w:r>
      <w:r w:rsidRPr="00A31158">
        <w:rPr>
          <w:rFonts w:ascii="Times New Roman" w:hAnsi="Times New Roman" w:cs="Times New Roman"/>
          <w:bCs/>
          <w:i/>
          <w:iCs/>
          <w:szCs w:val="24"/>
        </w:rPr>
        <w:lastRenderedPageBreak/>
        <w:t>wejścia w życie tej ustawy nie wyznaczono operatora systemu przesyłowego, systemu dystrybucyjnego, systemu magazynowania, systemu skraplania gazu ziemnego lub systemu połączonego albo dla których właściciel ten nie wystąpił przed tym dniem z wnioskiem do Prezesa Urzędu Regulacji Energetyki o wyznaczenie operatora.</w:t>
      </w:r>
    </w:p>
    <w:p w14:paraId="1C69CA32" w14:textId="77777777" w:rsidR="00813DD6" w:rsidRPr="00813DD6" w:rsidRDefault="00813DD6" w:rsidP="00813DD6">
      <w:pPr>
        <w:pStyle w:val="ARTartustawynprozporzdzenia"/>
        <w:rPr>
          <w:rFonts w:ascii="Times New Roman" w:hAnsi="Times New Roman" w:cs="Times New Roman"/>
          <w:bCs/>
          <w:szCs w:val="24"/>
        </w:rPr>
      </w:pPr>
      <w:r w:rsidRPr="00813DD6">
        <w:rPr>
          <w:rFonts w:ascii="Times New Roman" w:hAnsi="Times New Roman" w:cs="Times New Roman"/>
          <w:bCs/>
          <w:szCs w:val="24"/>
        </w:rPr>
        <w:t>Aktualny przepis art. 20 ustawy z dnia 20 maja 2021 r. o zmianie ustawy - Prawo energetyczne oraz niektórych innych ustaw może być interpretowany jako obowiązek jednokrotnego dostarczenia danych na potrzeby zasilenia inicjalnego centralnego systemu informacji rynku energii. Prowadziłoby to do sytuacji, że dane które otrzyma operator informacji rynku energii będą niskiej jakości, jak również będą danymi wzajemnie niespójnymi. Z doświadczenia krajów, gdzie już uruchomiono rozwiązania analogiczne do centralnego systemu informacji rynku energii wynika, że wymagane są wielokrotne iteracje dostarczania danych inicjalnych. Każda iteracja powinna dostarczać danych inicjalnych o lepszej jakości, gdyż w ramach każdej iteracji jest dokonywana ocena jakości danych, wskazanie odstępstw od wymaganych wzorców, a także poprawa danych w systemach źródłowych podmiotów odpowiedzialnych za ich dostarczenie. W związku z powyższym rozszerzono zakres instrukcji ruchu i eksploatacji sieci przesyłowej (części dotyczącej standardów wymiany informacji centralnego systemu informacji rynku energii) o zakres oraz sposób przekazania informacji rynku energii niezbędnych do uruchomienia centralnego systemu informacji rynku energii.</w:t>
      </w:r>
    </w:p>
    <w:p w14:paraId="217E9F42" w14:textId="77777777" w:rsidR="00813DD6" w:rsidRPr="00813DD6" w:rsidRDefault="00813DD6" w:rsidP="00813DD6">
      <w:pPr>
        <w:pStyle w:val="ARTartustawynprozporzdzenia"/>
        <w:rPr>
          <w:rFonts w:ascii="Times New Roman" w:hAnsi="Times New Roman" w:cs="Times New Roman"/>
          <w:bCs/>
          <w:szCs w:val="24"/>
        </w:rPr>
      </w:pPr>
      <w:r w:rsidRPr="00813DD6">
        <w:rPr>
          <w:rFonts w:ascii="Times New Roman" w:hAnsi="Times New Roman" w:cs="Times New Roman"/>
          <w:bCs/>
          <w:szCs w:val="24"/>
        </w:rPr>
        <w:t xml:space="preserve">Dokonano również rozstrzygnięcia wątpliwości prawnej dot. charakteru prawnego podmiotu odpowiedzialnego za bilansowanie (POB). Pewność prawna jest wymagana ze względu na wolę uzupełnienia katalogu podmiotów zobowiązanych do realizowania procesów rynku energii. Określenie wprost, że POB jest użytkownikiem systemu mityguje ryzyko prawne interpretacji odmiennej tj., że POB nie jest użytkownikiem systemu. W związku z powyższym doprecyzowano art. 11z ust. 1 dodając podmiot odpowiedzialny za bilansowanie handlowe do tego przepisu. </w:t>
      </w:r>
    </w:p>
    <w:p w14:paraId="11B05835" w14:textId="1D1D372D" w:rsidR="00813DD6" w:rsidRPr="00813DD6" w:rsidRDefault="00813DD6" w:rsidP="00813DD6">
      <w:pPr>
        <w:pStyle w:val="ARTartustawynprozporzdzenia"/>
        <w:rPr>
          <w:rFonts w:ascii="Times New Roman" w:hAnsi="Times New Roman" w:cs="Times New Roman"/>
          <w:bCs/>
          <w:szCs w:val="24"/>
        </w:rPr>
      </w:pPr>
      <w:r w:rsidRPr="00813DD6">
        <w:rPr>
          <w:rFonts w:ascii="Times New Roman" w:hAnsi="Times New Roman" w:cs="Times New Roman"/>
          <w:bCs/>
          <w:szCs w:val="24"/>
        </w:rPr>
        <w:t>Ze względu na zatwierdzanie przez Prezesa URE wzorca umowy, o której mowa we wprowadzonym do ustawy</w:t>
      </w:r>
      <w:r w:rsidR="0008052A">
        <w:rPr>
          <w:rFonts w:ascii="Times New Roman" w:hAnsi="Times New Roman" w:cs="Times New Roman"/>
          <w:bCs/>
          <w:szCs w:val="24"/>
        </w:rPr>
        <w:t xml:space="preserve"> </w:t>
      </w:r>
      <w:r w:rsidRPr="00813DD6">
        <w:rPr>
          <w:rFonts w:ascii="Times New Roman" w:hAnsi="Times New Roman" w:cs="Times New Roman"/>
          <w:bCs/>
          <w:szCs w:val="24"/>
        </w:rPr>
        <w:t xml:space="preserve">– Prawo energetyczne art. 11zg, należy ustanowić katalog spraw, które umowa powinna regulować. Jest to istotne ze względu na konieczność ustanowienia odpowiedniego wzorca kontroli oraz przynajmniej przykładowe przybliżenie jaka materia może znaleźć się we wzorcu zatwierdzanym przez organ administracji. Mając na uwadze zasady ogólne prawa administracyjnego, oparcie się przez organ na przepisach prawa i działanie w ich granicach jest szczególnie istotne. Propozycja ta wprowadza wzorzec kontroli </w:t>
      </w:r>
      <w:r w:rsidRPr="00813DD6">
        <w:rPr>
          <w:rFonts w:ascii="Times New Roman" w:hAnsi="Times New Roman" w:cs="Times New Roman"/>
          <w:bCs/>
          <w:szCs w:val="24"/>
        </w:rPr>
        <w:lastRenderedPageBreak/>
        <w:t>dla organu, tym samym daje rękojmię działania na podstawie i w granicach prawa. Określenie zakresu wzorca umowy do przepisów przyniosłoby również istotną funkcję informacyjną dla uczestników rynku. Dzięki niej będą oni mogli zrozumieć zakres przedmiotowy zagadnień, które w przyszłości stanowić będą treść ich zobowiązania względem operatora informacji rynku energii. W przypadku braku przepisów ustawowych, wzorzec umowy może być kwestionowany przez podmioty rynku energii zobowiązane do jego stosowania. W związku z tym proponuje się odpowiednie uzupełnienie przepisów ww. ustawy.</w:t>
      </w:r>
    </w:p>
    <w:p w14:paraId="3534A9B1" w14:textId="0284913C" w:rsidR="00813DD6" w:rsidRPr="00813DD6" w:rsidRDefault="00813DD6" w:rsidP="00813DD6">
      <w:pPr>
        <w:pStyle w:val="ARTartustawynprozporzdzenia"/>
        <w:rPr>
          <w:rFonts w:ascii="Times New Roman" w:hAnsi="Times New Roman" w:cs="Times New Roman"/>
          <w:bCs/>
          <w:szCs w:val="24"/>
        </w:rPr>
      </w:pPr>
      <w:r w:rsidRPr="00813DD6">
        <w:rPr>
          <w:rFonts w:ascii="Times New Roman" w:hAnsi="Times New Roman" w:cs="Times New Roman"/>
          <w:bCs/>
          <w:szCs w:val="24"/>
        </w:rPr>
        <w:t>Zgodnie z art. 11zc ust 1 pkt 1 ustawy</w:t>
      </w:r>
      <w:r w:rsidR="0008052A">
        <w:rPr>
          <w:rFonts w:ascii="Times New Roman" w:hAnsi="Times New Roman" w:cs="Times New Roman"/>
          <w:bCs/>
          <w:szCs w:val="24"/>
        </w:rPr>
        <w:t xml:space="preserve"> </w:t>
      </w:r>
      <w:r w:rsidRPr="00813DD6">
        <w:rPr>
          <w:rFonts w:ascii="Times New Roman" w:hAnsi="Times New Roman" w:cs="Times New Roman"/>
          <w:bCs/>
          <w:szCs w:val="24"/>
        </w:rPr>
        <w:t xml:space="preserve">– Prawo energetyczne operator informacji rynku energii udostępnia informacje rynku energii w postaci elektronicznej za pośrednictwem centralnego systemu informacji rynku energii użytkownikowi systemu elektroenergetycznego, w tym odbiorcy końcowemu, wytwórcy, posiadaczowi magazynu energii elektrycznej, którego dane te dotyczą. W rozporządzeniu powinien zostać uregulowany zakres informacji, jakie miałyby być udostępniane odbiorcom za pośrednictwem tego systemu  (w związku z brakiem delegacji ustawowej, temat ten nie może w chwili obecnej zostać ujęty w rozporządzeniu w sprawie procesów rynku energii). W związku z powyższym, proponuje się  zmianę w zakresie art. 11 </w:t>
      </w:r>
      <w:proofErr w:type="spellStart"/>
      <w:r w:rsidRPr="00813DD6">
        <w:rPr>
          <w:rFonts w:ascii="Times New Roman" w:hAnsi="Times New Roman" w:cs="Times New Roman"/>
          <w:bCs/>
          <w:szCs w:val="24"/>
        </w:rPr>
        <w:t>zh</w:t>
      </w:r>
      <w:proofErr w:type="spellEnd"/>
      <w:r w:rsidRPr="00813DD6">
        <w:rPr>
          <w:rFonts w:ascii="Times New Roman" w:hAnsi="Times New Roman" w:cs="Times New Roman"/>
          <w:bCs/>
          <w:szCs w:val="24"/>
        </w:rPr>
        <w:t xml:space="preserve"> ustawy </w:t>
      </w:r>
      <w:r w:rsidR="0008052A">
        <w:rPr>
          <w:rFonts w:ascii="Times New Roman" w:hAnsi="Times New Roman" w:cs="Times New Roman"/>
          <w:bCs/>
          <w:szCs w:val="24"/>
        </w:rPr>
        <w:t xml:space="preserve">– </w:t>
      </w:r>
      <w:r w:rsidRPr="00813DD6">
        <w:rPr>
          <w:rFonts w:ascii="Times New Roman" w:hAnsi="Times New Roman" w:cs="Times New Roman"/>
          <w:bCs/>
          <w:szCs w:val="24"/>
        </w:rPr>
        <w:t>Prawo energetyczne: do katalogu delegacji wskazanych dla rozporządzenia w sprawie procesów rynku energii należy dodać zakres informacji rynku energii udostępnianych odbiorcy końcowemu za pośrednictwem centralnego systemu informacji rynku, a następnie uzupełnić zapisy rozporządzenia w tym zakresie.</w:t>
      </w:r>
    </w:p>
    <w:p w14:paraId="405ECD3B" w14:textId="77777777" w:rsidR="00813DD6" w:rsidRPr="00813DD6" w:rsidRDefault="00813DD6" w:rsidP="00813DD6">
      <w:pPr>
        <w:pStyle w:val="ARTartustawynprozporzdzenia"/>
        <w:rPr>
          <w:rFonts w:ascii="Times New Roman" w:hAnsi="Times New Roman" w:cs="Times New Roman"/>
          <w:bCs/>
          <w:szCs w:val="24"/>
        </w:rPr>
      </w:pPr>
      <w:r w:rsidRPr="00813DD6">
        <w:rPr>
          <w:rFonts w:ascii="Times New Roman" w:hAnsi="Times New Roman" w:cs="Times New Roman"/>
          <w:bCs/>
          <w:szCs w:val="24"/>
        </w:rPr>
        <w:t xml:space="preserve">Rozszerzenie obowiązku określonego w art. 20 ustawy z dnia 20 maja 2021 r. o zmianie ustawy - Prawo energetyczne oraz niektórych innych ustaw (obowiązek przekazania w postaci elektronicznej informacji, o których mowa w art. 9g ust. 5c pkt 3a do centralnego systemu informacji rynku energii w terminie 30 miesięcy od dnia wejścia w życie niniejszej ustawy) o sprzedawcę zapewni lepszą jakość danych inicjalnych niezbędnych do uruchomienia centralnego systemu informacji rynku energii.  Wynika to z doświadczenia krajów, gdzie już uruchomiono rozwiązania analogiczne do ww. systemu. W przeprowadzonych tam procedurach migracji danych, dane od sprzedawców posłużyły do weryfikacji i poprawy jakości danych przygotowanych do zasilenia inicjalnego a pochodzących od operatorów systemów dystrybucyjnych elektroenergetycznych (OSD). W praktyce dane posiadane przez sprzedawców dot. ich klientów (odbiorców energii, wytwórców, etc.) są zwykle bardziej aktualne (a tym samym lepszej jakości) niż dane posiadane przez OSD. W szczególności dla tych odbiorców, którzy zawarli umowę kompleksową OSD często nie posiadają zaktualizowanych danych klientów sprzedawców. Należy też zauważyć, że część danych </w:t>
      </w:r>
      <w:r w:rsidRPr="00813DD6">
        <w:rPr>
          <w:rFonts w:ascii="Times New Roman" w:hAnsi="Times New Roman" w:cs="Times New Roman"/>
          <w:bCs/>
          <w:szCs w:val="24"/>
        </w:rPr>
        <w:lastRenderedPageBreak/>
        <w:t>wymaganych do efektywnej realizacji procesów rynku energii może być w wyłącznym posiadaniu sprzedawców, zatem brak obowiązku dostarczenia tych danych przed uruchomieniem centralnego systemu informacji rynku energii (tj. jako danych na potrzeby procedury migracji danych inicjalnych) będzie skutkować koniecznością ich uzupełniania po uruchomieniu tego systemu. Wydaje się to możliwe, aczkolwiek należy liczyć się z ryzykiem błędów i opóźnień aktualizacji danych ze względu na niespójności danych sprzedawców z danymi przekazanymi przez OSD. W konsekwencji może to prowadzić do „blokowania” niektórych procesów rynku energii (np. zmiany sprzedawcy) ze względu na brak zaktualizowanych danych w centralnym systemie informacji rynku energii przez dotychczasowego sprzedawcę.</w:t>
      </w:r>
    </w:p>
    <w:p w14:paraId="0FF439C9" w14:textId="66E3499C" w:rsidR="00813DD6" w:rsidRPr="00813DD6" w:rsidRDefault="00813DD6" w:rsidP="00813DD6">
      <w:pPr>
        <w:pStyle w:val="ARTartustawynprozporzdzenia"/>
        <w:rPr>
          <w:rFonts w:ascii="Times New Roman" w:hAnsi="Times New Roman" w:cs="Times New Roman"/>
          <w:bCs/>
          <w:szCs w:val="24"/>
        </w:rPr>
      </w:pPr>
      <w:r w:rsidRPr="00813DD6">
        <w:rPr>
          <w:rFonts w:ascii="Times New Roman" w:hAnsi="Times New Roman" w:cs="Times New Roman"/>
          <w:bCs/>
          <w:szCs w:val="24"/>
        </w:rPr>
        <w:t xml:space="preserve">Zmiana mocy zainstalowanej może mieć wpływ na efektywność pracy sieci elektroenergetycznej operatora systemu dystrybucyjnego. Może również wpływać na sposób rozliczeń. Wszelkie tego rodzaju zmiany winny być komunikowane przed ich realizacją. W przeciwnym wypadku centralny system informacji rynku energii, a tym samym upoważnieniu użytkownicy systemu, nie będą mieć dostępu do aktualnych danych istotnych dla realizowanych przez nich umów. W związku z powyższym proponuje się modyfikację art. 5 ust. 2 pkt 1 ustawy </w:t>
      </w:r>
      <w:proofErr w:type="spellStart"/>
      <w:r w:rsidR="00E3420A">
        <w:rPr>
          <w:rFonts w:ascii="Times New Roman" w:hAnsi="Times New Roman" w:cs="Times New Roman"/>
          <w:bCs/>
          <w:szCs w:val="24"/>
        </w:rPr>
        <w:t>oze</w:t>
      </w:r>
      <w:proofErr w:type="spellEnd"/>
      <w:r w:rsidR="00E3420A">
        <w:rPr>
          <w:rFonts w:ascii="Times New Roman" w:hAnsi="Times New Roman" w:cs="Times New Roman"/>
          <w:bCs/>
          <w:szCs w:val="24"/>
        </w:rPr>
        <w:t xml:space="preserve"> </w:t>
      </w:r>
      <w:r w:rsidRPr="00813DD6">
        <w:rPr>
          <w:rFonts w:ascii="Times New Roman" w:hAnsi="Times New Roman" w:cs="Times New Roman"/>
          <w:bCs/>
          <w:szCs w:val="24"/>
        </w:rPr>
        <w:t>w taki sposób, aby przedmiotowe informacje były przekazywane przed planowaną zmianą.</w:t>
      </w:r>
    </w:p>
    <w:p w14:paraId="2A0D4492" w14:textId="09DA38B9" w:rsidR="009E0E0A" w:rsidRDefault="00813DD6">
      <w:pPr>
        <w:pStyle w:val="ARTartustawynprozporzdzenia"/>
        <w:ind w:firstLine="0"/>
        <w:rPr>
          <w:rFonts w:ascii="Times New Roman" w:hAnsi="Times New Roman" w:cs="Times New Roman"/>
          <w:bCs/>
          <w:szCs w:val="24"/>
        </w:rPr>
      </w:pPr>
      <w:r w:rsidRPr="00813DD6">
        <w:rPr>
          <w:rFonts w:ascii="Times New Roman" w:hAnsi="Times New Roman" w:cs="Times New Roman"/>
          <w:bCs/>
          <w:szCs w:val="24"/>
        </w:rPr>
        <w:t>Dodatkowo, w celu usunięcia wątpliwości interpretacyjnych odnośnie zaliczenia na poczet obowiązku określonego w art. 11t ust. 1-3 ustawy</w:t>
      </w:r>
      <w:r w:rsidR="0008052A">
        <w:rPr>
          <w:rFonts w:ascii="Times New Roman" w:hAnsi="Times New Roman" w:cs="Times New Roman"/>
          <w:bCs/>
          <w:szCs w:val="24"/>
        </w:rPr>
        <w:t xml:space="preserve"> </w:t>
      </w:r>
      <w:r w:rsidRPr="00813DD6">
        <w:rPr>
          <w:rFonts w:ascii="Times New Roman" w:hAnsi="Times New Roman" w:cs="Times New Roman"/>
          <w:bCs/>
          <w:szCs w:val="24"/>
        </w:rPr>
        <w:t>– Prawo energetyczne liczników zdalnego odczytu zainstalowanych lub zmodernizowanych do dnia wejścia w życie przepisów wydanych na podstawie art. 11x ust. 2 i 3 oraz instalowanych po dniu wejścia w życie tych przepisów, a które były objęte postępowaniem przetargowym wszczętym przed tym dniem, proponuje się uregulować tę kwestię.</w:t>
      </w:r>
    </w:p>
    <w:p w14:paraId="13BEBD7E" w14:textId="77777777" w:rsidR="00177113" w:rsidRDefault="00177113">
      <w:pPr>
        <w:pStyle w:val="ARTartustawynprozporzdzenia"/>
        <w:ind w:firstLine="0"/>
        <w:rPr>
          <w:rFonts w:ascii="Times New Roman" w:hAnsi="Times New Roman" w:cs="Times New Roman"/>
          <w:bCs/>
          <w:szCs w:val="24"/>
        </w:rPr>
      </w:pPr>
    </w:p>
    <w:p w14:paraId="7CFB77C5" w14:textId="1A9BF585" w:rsidR="00177113" w:rsidRDefault="009E0E0A" w:rsidP="00482750">
      <w:pPr>
        <w:pStyle w:val="ARTartustawynprozporzdzenia"/>
        <w:ind w:firstLine="0"/>
        <w:rPr>
          <w:rFonts w:ascii="Times New Roman" w:hAnsi="Times New Roman" w:cs="Times New Roman"/>
          <w:b/>
          <w:szCs w:val="24"/>
        </w:rPr>
      </w:pPr>
      <w:r>
        <w:rPr>
          <w:rFonts w:ascii="Times New Roman" w:hAnsi="Times New Roman" w:cs="Times New Roman"/>
          <w:bCs/>
          <w:szCs w:val="24"/>
        </w:rPr>
        <w:tab/>
      </w:r>
      <w:r w:rsidR="0008052A">
        <w:rPr>
          <w:rFonts w:ascii="Times New Roman" w:hAnsi="Times New Roman" w:cs="Times New Roman"/>
          <w:b/>
          <w:szCs w:val="24"/>
        </w:rPr>
        <w:t>2</w:t>
      </w:r>
      <w:r w:rsidR="007A6E78">
        <w:rPr>
          <w:rFonts w:ascii="Times New Roman" w:hAnsi="Times New Roman" w:cs="Times New Roman"/>
          <w:b/>
          <w:szCs w:val="24"/>
        </w:rPr>
        <w:t>4</w:t>
      </w:r>
      <w:r w:rsidR="0008052A">
        <w:rPr>
          <w:rFonts w:ascii="Times New Roman" w:hAnsi="Times New Roman" w:cs="Times New Roman"/>
          <w:b/>
          <w:szCs w:val="24"/>
        </w:rPr>
        <w:t xml:space="preserve">. </w:t>
      </w:r>
      <w:r w:rsidR="00177113">
        <w:rPr>
          <w:rFonts w:ascii="Times New Roman" w:hAnsi="Times New Roman" w:cs="Times New Roman"/>
          <w:b/>
          <w:szCs w:val="24"/>
        </w:rPr>
        <w:t>Krajowy Plan Odbudowy</w:t>
      </w:r>
      <w:r w:rsidR="006B10D0" w:rsidRPr="006B10D0">
        <w:t xml:space="preserve"> </w:t>
      </w:r>
      <w:r w:rsidR="006B10D0" w:rsidRPr="006B10D0">
        <w:rPr>
          <w:rFonts w:ascii="Times New Roman" w:hAnsi="Times New Roman" w:cs="Times New Roman"/>
          <w:b/>
          <w:szCs w:val="24"/>
        </w:rPr>
        <w:t>i Zwiększania Odporności</w:t>
      </w:r>
      <w:r w:rsidR="006B10D0">
        <w:rPr>
          <w:rFonts w:ascii="Times New Roman" w:hAnsi="Times New Roman" w:cs="Times New Roman"/>
          <w:b/>
          <w:szCs w:val="24"/>
        </w:rPr>
        <w:t xml:space="preserve"> </w:t>
      </w:r>
      <w:r w:rsidR="006B10D0">
        <w:rPr>
          <w:rStyle w:val="Odwoanieprzypisudolnego"/>
          <w:rFonts w:ascii="Times New Roman" w:hAnsi="Times New Roman" w:cs="Times New Roman"/>
          <w:b/>
          <w:szCs w:val="24"/>
        </w:rPr>
        <w:footnoteReference w:id="2"/>
      </w:r>
      <w:r w:rsidR="00177113">
        <w:rPr>
          <w:rFonts w:ascii="Times New Roman" w:hAnsi="Times New Roman" w:cs="Times New Roman"/>
          <w:b/>
          <w:szCs w:val="24"/>
        </w:rPr>
        <w:t xml:space="preserve"> (zwany dalej „KPO”)</w:t>
      </w:r>
    </w:p>
    <w:p w14:paraId="38DA9FA8" w14:textId="721EA7B2" w:rsidR="00177113" w:rsidRPr="00A31158" w:rsidRDefault="006B10D0" w:rsidP="00A31158">
      <w:pPr>
        <w:pStyle w:val="ARTartustawynprozporzdzenia"/>
        <w:rPr>
          <w:rFonts w:ascii="Times New Roman" w:hAnsi="Times New Roman" w:cs="Times New Roman"/>
          <w:bCs/>
          <w:szCs w:val="24"/>
        </w:rPr>
      </w:pPr>
      <w:r w:rsidRPr="006B10D0">
        <w:rPr>
          <w:rFonts w:ascii="Times New Roman" w:hAnsi="Times New Roman" w:cs="Times New Roman"/>
          <w:bCs/>
          <w:szCs w:val="24"/>
        </w:rPr>
        <w:t>W ramach</w:t>
      </w:r>
      <w:r>
        <w:rPr>
          <w:rFonts w:ascii="Times New Roman" w:hAnsi="Times New Roman" w:cs="Times New Roman"/>
          <w:bCs/>
          <w:szCs w:val="24"/>
        </w:rPr>
        <w:t xml:space="preserve"> </w:t>
      </w:r>
      <w:r w:rsidRPr="006B10D0">
        <w:rPr>
          <w:rFonts w:ascii="Times New Roman" w:hAnsi="Times New Roman" w:cs="Times New Roman"/>
          <w:bCs/>
          <w:szCs w:val="24"/>
        </w:rPr>
        <w:t>K</w:t>
      </w:r>
      <w:r>
        <w:rPr>
          <w:rFonts w:ascii="Times New Roman" w:hAnsi="Times New Roman" w:cs="Times New Roman"/>
          <w:bCs/>
          <w:szCs w:val="24"/>
        </w:rPr>
        <w:t xml:space="preserve">PO przedmiotowy projekt został wskazany jako element reformy w Komponencie B2.2. </w:t>
      </w:r>
      <w:r w:rsidR="00177113" w:rsidRPr="00A31158">
        <w:rPr>
          <w:rFonts w:ascii="Times New Roman" w:hAnsi="Times New Roman" w:cs="Times New Roman"/>
          <w:bCs/>
          <w:i/>
          <w:iCs/>
          <w:szCs w:val="24"/>
        </w:rPr>
        <w:t>Poprawa warunków dla rozwoju odnawialnych źródeł energii</w:t>
      </w:r>
      <w:r w:rsidR="00177113">
        <w:rPr>
          <w:rFonts w:ascii="Times New Roman" w:hAnsi="Times New Roman" w:cs="Times New Roman"/>
          <w:bCs/>
          <w:szCs w:val="24"/>
        </w:rPr>
        <w:t>,</w:t>
      </w:r>
      <w:r>
        <w:rPr>
          <w:rFonts w:ascii="Times New Roman" w:hAnsi="Times New Roman" w:cs="Times New Roman"/>
          <w:bCs/>
          <w:szCs w:val="24"/>
        </w:rPr>
        <w:t xml:space="preserve"> i tym samym jest jednym z kamieni milowych niezbędnych do osiągnięc</w:t>
      </w:r>
      <w:r w:rsidR="00336245">
        <w:rPr>
          <w:rFonts w:ascii="Times New Roman" w:hAnsi="Times New Roman" w:cs="Times New Roman"/>
          <w:bCs/>
          <w:szCs w:val="24"/>
        </w:rPr>
        <w:t xml:space="preserve">ia w ramach KPO, tj. </w:t>
      </w:r>
      <w:r w:rsidR="00177113" w:rsidRPr="00A31158">
        <w:rPr>
          <w:rFonts w:ascii="Times New Roman" w:hAnsi="Times New Roman" w:cs="Times New Roman"/>
          <w:bCs/>
          <w:i/>
          <w:iCs/>
          <w:szCs w:val="24"/>
        </w:rPr>
        <w:t xml:space="preserve">Wejście w życie zmian ram prawnych dla wspólnot odnawialnych źródeł energii i </w:t>
      </w:r>
      <w:proofErr w:type="spellStart"/>
      <w:r w:rsidR="00177113" w:rsidRPr="00A31158">
        <w:rPr>
          <w:rFonts w:ascii="Times New Roman" w:hAnsi="Times New Roman" w:cs="Times New Roman"/>
          <w:bCs/>
          <w:i/>
          <w:iCs/>
          <w:szCs w:val="24"/>
        </w:rPr>
        <w:t>biometanu</w:t>
      </w:r>
      <w:proofErr w:type="spellEnd"/>
      <w:r w:rsidR="00177113" w:rsidRPr="00A31158">
        <w:rPr>
          <w:rFonts w:ascii="Times New Roman" w:hAnsi="Times New Roman" w:cs="Times New Roman"/>
          <w:bCs/>
          <w:i/>
          <w:iCs/>
          <w:szCs w:val="24"/>
        </w:rPr>
        <w:t xml:space="preserve">: nowelizacja ustawy o OZE, nowelizacja przepisów dotyczących rynku energii, rozporządzenie </w:t>
      </w:r>
      <w:r w:rsidR="00177113" w:rsidRPr="00A31158">
        <w:rPr>
          <w:rFonts w:ascii="Times New Roman" w:hAnsi="Times New Roman" w:cs="Times New Roman"/>
          <w:bCs/>
          <w:i/>
          <w:iCs/>
          <w:szCs w:val="24"/>
        </w:rPr>
        <w:lastRenderedPageBreak/>
        <w:t>wykonawcze do ustawy o OZE</w:t>
      </w:r>
      <w:r w:rsidR="00336245">
        <w:rPr>
          <w:rFonts w:ascii="Times New Roman" w:hAnsi="Times New Roman" w:cs="Times New Roman"/>
          <w:bCs/>
          <w:i/>
          <w:iCs/>
          <w:szCs w:val="24"/>
        </w:rPr>
        <w:t xml:space="preserve">, </w:t>
      </w:r>
      <w:r w:rsidR="00336245">
        <w:rPr>
          <w:rFonts w:ascii="Times New Roman" w:hAnsi="Times New Roman" w:cs="Times New Roman"/>
          <w:bCs/>
          <w:szCs w:val="24"/>
        </w:rPr>
        <w:t xml:space="preserve">ponieważ </w:t>
      </w:r>
      <w:r w:rsidR="004E1E2D">
        <w:rPr>
          <w:rFonts w:ascii="Times New Roman" w:hAnsi="Times New Roman" w:cs="Times New Roman"/>
          <w:bCs/>
          <w:szCs w:val="24"/>
        </w:rPr>
        <w:t>w</w:t>
      </w:r>
      <w:r w:rsidR="004E1E2D" w:rsidRPr="004E1E2D">
        <w:rPr>
          <w:rFonts w:ascii="Times New Roman" w:hAnsi="Times New Roman" w:cs="Times New Roman"/>
          <w:bCs/>
          <w:szCs w:val="24"/>
        </w:rPr>
        <w:t xml:space="preserve">draża przepisy dotyczące nowych wspólnot energii odnawialnej, które zapewnią odbiorcom końcowym, w szczególności gospodarstwom domowym, prawo do uczestnictwa w społecznościach energii odnawialnej, zgodnie z Dyrektywą </w:t>
      </w:r>
      <w:r w:rsidR="004E1E2D">
        <w:rPr>
          <w:rFonts w:ascii="Times New Roman" w:hAnsi="Times New Roman" w:cs="Times New Roman"/>
          <w:bCs/>
          <w:szCs w:val="24"/>
        </w:rPr>
        <w:t>RED II</w:t>
      </w:r>
      <w:r w:rsidR="00336245">
        <w:rPr>
          <w:rFonts w:ascii="Times New Roman" w:hAnsi="Times New Roman" w:cs="Times New Roman"/>
          <w:bCs/>
          <w:szCs w:val="24"/>
        </w:rPr>
        <w:t xml:space="preserve">. </w:t>
      </w:r>
      <w:r w:rsidR="004E1E2D" w:rsidRPr="004E1E2D">
        <w:rPr>
          <w:rFonts w:ascii="Times New Roman" w:hAnsi="Times New Roman" w:cs="Times New Roman"/>
          <w:bCs/>
          <w:szCs w:val="24"/>
        </w:rPr>
        <w:t xml:space="preserve"> </w:t>
      </w:r>
      <w:r w:rsidR="004E1E2D">
        <w:rPr>
          <w:rFonts w:ascii="Times New Roman" w:hAnsi="Times New Roman" w:cs="Times New Roman"/>
          <w:bCs/>
          <w:szCs w:val="24"/>
        </w:rPr>
        <w:t xml:space="preserve">Realizację </w:t>
      </w:r>
      <w:r w:rsidR="0026405C">
        <w:rPr>
          <w:rFonts w:ascii="Times New Roman" w:hAnsi="Times New Roman" w:cs="Times New Roman"/>
          <w:bCs/>
          <w:szCs w:val="24"/>
        </w:rPr>
        <w:t>ww.</w:t>
      </w:r>
      <w:r w:rsidR="004E1E2D">
        <w:rPr>
          <w:rFonts w:ascii="Times New Roman" w:hAnsi="Times New Roman" w:cs="Times New Roman"/>
          <w:bCs/>
          <w:szCs w:val="24"/>
        </w:rPr>
        <w:t xml:space="preserve"> kamienia milowego zapewnia </w:t>
      </w:r>
      <w:r w:rsidR="00336245">
        <w:rPr>
          <w:rFonts w:ascii="Times New Roman" w:hAnsi="Times New Roman" w:cs="Times New Roman"/>
          <w:bCs/>
          <w:szCs w:val="24"/>
        </w:rPr>
        <w:t>R</w:t>
      </w:r>
      <w:r w:rsidR="004E1E2D">
        <w:rPr>
          <w:rFonts w:ascii="Times New Roman" w:hAnsi="Times New Roman" w:cs="Times New Roman"/>
          <w:bCs/>
          <w:szCs w:val="24"/>
        </w:rPr>
        <w:t>ozdział 2e projektu ustawy (art. 11zi – 11zp). W opinii Ministerstwa Klimatu i Środowiska przepisy te są</w:t>
      </w:r>
      <w:r w:rsidR="004E1E2D" w:rsidRPr="004E1E2D">
        <w:rPr>
          <w:rFonts w:ascii="Times New Roman" w:hAnsi="Times New Roman" w:cs="Times New Roman"/>
          <w:bCs/>
          <w:szCs w:val="24"/>
        </w:rPr>
        <w:t xml:space="preserve"> wyczerpujące aby zminimalizować ryzyko ewentualnych wątpliwości formułowanych przez służby K</w:t>
      </w:r>
      <w:r w:rsidR="0026405C">
        <w:rPr>
          <w:rFonts w:ascii="Times New Roman" w:hAnsi="Times New Roman" w:cs="Times New Roman"/>
          <w:bCs/>
          <w:szCs w:val="24"/>
        </w:rPr>
        <w:t xml:space="preserve">omisji Europejskiej </w:t>
      </w:r>
      <w:r w:rsidR="004E1E2D" w:rsidRPr="004E1E2D">
        <w:rPr>
          <w:rFonts w:ascii="Times New Roman" w:hAnsi="Times New Roman" w:cs="Times New Roman"/>
          <w:bCs/>
          <w:szCs w:val="24"/>
        </w:rPr>
        <w:t>na etapie weryfikacji</w:t>
      </w:r>
      <w:r w:rsidR="0026405C">
        <w:rPr>
          <w:rFonts w:ascii="Times New Roman" w:hAnsi="Times New Roman" w:cs="Times New Roman"/>
          <w:bCs/>
          <w:szCs w:val="24"/>
        </w:rPr>
        <w:t xml:space="preserve"> wskazanego kamienia milowego. </w:t>
      </w:r>
    </w:p>
    <w:p w14:paraId="73EAEEA0" w14:textId="77777777" w:rsidR="00177113" w:rsidRDefault="00177113" w:rsidP="00482750">
      <w:pPr>
        <w:pStyle w:val="ARTartustawynprozporzdzenia"/>
        <w:ind w:firstLine="0"/>
        <w:rPr>
          <w:rFonts w:ascii="Times New Roman" w:hAnsi="Times New Roman" w:cs="Times New Roman"/>
          <w:b/>
          <w:szCs w:val="24"/>
        </w:rPr>
      </w:pPr>
    </w:p>
    <w:p w14:paraId="0CB0E873" w14:textId="67DCE27B" w:rsidR="00B7242B" w:rsidRPr="00613198" w:rsidRDefault="00177113" w:rsidP="00A31158">
      <w:pPr>
        <w:pStyle w:val="ARTartustawynprozporzdzenia"/>
        <w:ind w:left="708" w:firstLine="0"/>
        <w:rPr>
          <w:rFonts w:ascii="Times New Roman" w:hAnsi="Times New Roman" w:cs="Times New Roman"/>
          <w:b/>
          <w:szCs w:val="24"/>
        </w:rPr>
      </w:pPr>
      <w:r>
        <w:rPr>
          <w:rFonts w:ascii="Times New Roman" w:hAnsi="Times New Roman" w:cs="Times New Roman"/>
          <w:b/>
          <w:szCs w:val="24"/>
        </w:rPr>
        <w:t xml:space="preserve">25. </w:t>
      </w:r>
      <w:r w:rsidR="00B7242B" w:rsidRPr="00613198">
        <w:rPr>
          <w:rFonts w:ascii="Times New Roman" w:hAnsi="Times New Roman" w:cs="Times New Roman"/>
          <w:b/>
          <w:szCs w:val="24"/>
        </w:rPr>
        <w:t xml:space="preserve">Przepisy o wejściu w życie regulacji </w:t>
      </w:r>
    </w:p>
    <w:p w14:paraId="065CA513" w14:textId="436EC5A8" w:rsidR="00362585" w:rsidRPr="0056676C" w:rsidRDefault="00362585" w:rsidP="007A0F65">
      <w:pPr>
        <w:pStyle w:val="Bezodstpw"/>
        <w:spacing w:line="360" w:lineRule="auto"/>
        <w:ind w:firstLine="709"/>
        <w:jc w:val="both"/>
        <w:rPr>
          <w:rFonts w:ascii="Times New Roman" w:hAnsi="Times New Roman" w:cs="Times New Roman"/>
          <w:szCs w:val="24"/>
        </w:rPr>
      </w:pPr>
      <w:r w:rsidRPr="007A0F65">
        <w:rPr>
          <w:rFonts w:ascii="Times New Roman" w:hAnsi="Times New Roman" w:cs="Times New Roman"/>
          <w:sz w:val="24"/>
          <w:szCs w:val="24"/>
        </w:rPr>
        <w:t xml:space="preserve">Zgodnie z </w:t>
      </w:r>
      <w:r w:rsidRPr="00477C8A">
        <w:rPr>
          <w:rFonts w:ascii="Times New Roman" w:hAnsi="Times New Roman" w:cs="Times New Roman"/>
          <w:sz w:val="24"/>
          <w:szCs w:val="24"/>
        </w:rPr>
        <w:t xml:space="preserve">art. </w:t>
      </w:r>
      <w:r w:rsidR="00477C8A" w:rsidRPr="00A31158">
        <w:rPr>
          <w:rFonts w:ascii="Times New Roman" w:hAnsi="Times New Roman" w:cs="Times New Roman"/>
          <w:sz w:val="24"/>
          <w:szCs w:val="24"/>
        </w:rPr>
        <w:t>3</w:t>
      </w:r>
      <w:r w:rsidR="0075064D">
        <w:rPr>
          <w:rFonts w:ascii="Times New Roman" w:hAnsi="Times New Roman" w:cs="Times New Roman"/>
          <w:sz w:val="24"/>
          <w:szCs w:val="24"/>
        </w:rPr>
        <w:t>1</w:t>
      </w:r>
      <w:r w:rsidR="0008052A" w:rsidRPr="00A31158">
        <w:rPr>
          <w:rFonts w:ascii="Times New Roman" w:hAnsi="Times New Roman" w:cs="Times New Roman"/>
          <w:sz w:val="24"/>
          <w:szCs w:val="24"/>
        </w:rPr>
        <w:t xml:space="preserve"> </w:t>
      </w:r>
      <w:r w:rsidRPr="00477C8A">
        <w:rPr>
          <w:rFonts w:ascii="Times New Roman" w:hAnsi="Times New Roman" w:cs="Times New Roman"/>
          <w:sz w:val="24"/>
          <w:szCs w:val="24"/>
        </w:rPr>
        <w:t>projektu ustawy</w:t>
      </w:r>
      <w:r w:rsidRPr="007A0F65">
        <w:rPr>
          <w:rFonts w:ascii="Times New Roman" w:hAnsi="Times New Roman" w:cs="Times New Roman"/>
          <w:sz w:val="24"/>
          <w:szCs w:val="24"/>
        </w:rPr>
        <w:t xml:space="preserve"> proponuje się, </w:t>
      </w:r>
      <w:r w:rsidR="00BB01F7" w:rsidRPr="0056676C">
        <w:rPr>
          <w:rFonts w:ascii="Times New Roman" w:hAnsi="Times New Roman" w:cs="Times New Roman"/>
          <w:sz w:val="24"/>
          <w:szCs w:val="24"/>
        </w:rPr>
        <w:t>a</w:t>
      </w:r>
      <w:r w:rsidRPr="007A0F65">
        <w:rPr>
          <w:rFonts w:ascii="Times New Roman" w:hAnsi="Times New Roman" w:cs="Times New Roman"/>
          <w:sz w:val="24"/>
          <w:szCs w:val="24"/>
        </w:rPr>
        <w:t>by weszła ona w życie po upływie 14 dni od dnia ogłoszenia</w:t>
      </w:r>
      <w:r w:rsidR="0056676C" w:rsidRPr="0056676C">
        <w:rPr>
          <w:rFonts w:ascii="Times New Roman" w:hAnsi="Times New Roman" w:cs="Times New Roman"/>
          <w:sz w:val="24"/>
          <w:szCs w:val="24"/>
        </w:rPr>
        <w:t>,</w:t>
      </w:r>
      <w:r w:rsidRPr="007A0F65">
        <w:rPr>
          <w:rFonts w:ascii="Times New Roman" w:hAnsi="Times New Roman" w:cs="Times New Roman"/>
          <w:sz w:val="24"/>
          <w:szCs w:val="24"/>
        </w:rPr>
        <w:t xml:space="preserve"> z wyjątk</w:t>
      </w:r>
      <w:r w:rsidRPr="0056676C">
        <w:rPr>
          <w:rFonts w:ascii="Times New Roman" w:hAnsi="Times New Roman" w:cs="Times New Roman"/>
          <w:sz w:val="24"/>
          <w:szCs w:val="24"/>
        </w:rPr>
        <w:t>iem art. 1:</w:t>
      </w:r>
    </w:p>
    <w:p w14:paraId="334120DA" w14:textId="465B67A5" w:rsidR="00362585" w:rsidRPr="00A31158" w:rsidRDefault="00362585" w:rsidP="007A0F65">
      <w:pPr>
        <w:pStyle w:val="Bezodstpw"/>
        <w:spacing w:line="360" w:lineRule="auto"/>
        <w:ind w:firstLine="709"/>
        <w:jc w:val="both"/>
        <w:rPr>
          <w:rFonts w:ascii="Times New Roman" w:hAnsi="Times New Roman" w:cs="Times New Roman"/>
          <w:i/>
          <w:iCs/>
          <w:sz w:val="24"/>
          <w:szCs w:val="24"/>
        </w:rPr>
      </w:pPr>
      <w:r w:rsidRPr="00A31158">
        <w:rPr>
          <w:rFonts w:ascii="Times New Roman" w:hAnsi="Times New Roman" w:cs="Times New Roman"/>
          <w:i/>
          <w:iCs/>
          <w:sz w:val="24"/>
          <w:szCs w:val="24"/>
        </w:rPr>
        <w:t xml:space="preserve">1) pkt </w:t>
      </w:r>
      <w:r w:rsidR="007A6E78">
        <w:rPr>
          <w:rFonts w:ascii="Times New Roman" w:hAnsi="Times New Roman" w:cs="Times New Roman"/>
          <w:i/>
          <w:iCs/>
          <w:sz w:val="24"/>
          <w:szCs w:val="24"/>
        </w:rPr>
        <w:t>5</w:t>
      </w:r>
      <w:r w:rsidR="00153679" w:rsidRPr="00A31158">
        <w:rPr>
          <w:rFonts w:ascii="Times New Roman" w:hAnsi="Times New Roman" w:cs="Times New Roman"/>
          <w:i/>
          <w:iCs/>
          <w:sz w:val="24"/>
          <w:szCs w:val="24"/>
        </w:rPr>
        <w:t xml:space="preserve"> </w:t>
      </w:r>
      <w:r w:rsidRPr="00A31158">
        <w:rPr>
          <w:rFonts w:ascii="Times New Roman" w:hAnsi="Times New Roman" w:cs="Times New Roman"/>
          <w:i/>
          <w:iCs/>
          <w:sz w:val="24"/>
          <w:szCs w:val="24"/>
        </w:rPr>
        <w:t>w zakresie dodawanego art. 4j ust. 6a-6d, któr</w:t>
      </w:r>
      <w:r w:rsidR="00BB01F7" w:rsidRPr="00A31158">
        <w:rPr>
          <w:rFonts w:ascii="Times New Roman" w:hAnsi="Times New Roman" w:cs="Times New Roman"/>
          <w:i/>
          <w:iCs/>
          <w:sz w:val="24"/>
          <w:szCs w:val="24"/>
        </w:rPr>
        <w:t xml:space="preserve">ych wejście </w:t>
      </w:r>
      <w:r w:rsidRPr="00A31158">
        <w:rPr>
          <w:rFonts w:ascii="Times New Roman" w:hAnsi="Times New Roman" w:cs="Times New Roman"/>
          <w:i/>
          <w:iCs/>
          <w:sz w:val="24"/>
          <w:szCs w:val="24"/>
        </w:rPr>
        <w:t xml:space="preserve">w życie </w:t>
      </w:r>
      <w:r w:rsidR="00BB01F7" w:rsidRPr="00A31158">
        <w:rPr>
          <w:rFonts w:ascii="Times New Roman" w:hAnsi="Times New Roman" w:cs="Times New Roman"/>
          <w:i/>
          <w:iCs/>
          <w:sz w:val="24"/>
          <w:szCs w:val="24"/>
        </w:rPr>
        <w:t xml:space="preserve">proponuje się z </w:t>
      </w:r>
      <w:r w:rsidRPr="00A31158">
        <w:rPr>
          <w:rFonts w:ascii="Times New Roman" w:hAnsi="Times New Roman" w:cs="Times New Roman"/>
          <w:i/>
          <w:iCs/>
          <w:sz w:val="24"/>
          <w:szCs w:val="24"/>
        </w:rPr>
        <w:t xml:space="preserve">dniem 1 stycznia 2026 r. </w:t>
      </w:r>
    </w:p>
    <w:p w14:paraId="64961346" w14:textId="3F8482BA" w:rsidR="00362585" w:rsidRPr="007A0F65" w:rsidRDefault="00362585" w:rsidP="007A0F65">
      <w:pPr>
        <w:pStyle w:val="Bezodstpw"/>
        <w:spacing w:line="360" w:lineRule="auto"/>
        <w:ind w:firstLine="709"/>
        <w:jc w:val="both"/>
        <w:rPr>
          <w:rFonts w:ascii="Times New Roman" w:hAnsi="Times New Roman" w:cs="Times New Roman"/>
          <w:sz w:val="24"/>
          <w:szCs w:val="24"/>
        </w:rPr>
      </w:pPr>
      <w:r w:rsidRPr="007A0F65">
        <w:rPr>
          <w:rFonts w:ascii="Times New Roman" w:hAnsi="Times New Roman" w:cs="Times New Roman"/>
          <w:sz w:val="24"/>
          <w:szCs w:val="24"/>
        </w:rPr>
        <w:t xml:space="preserve">Regulacje te dotyczą możliwości technicznej zmiany sprzedawcy energii przez odbiorcę, w terminie nieprzekraczającym 24 godzin, co będzie możliwie poprzez rejestrację w centralnym systemie informacji rynku energii (CSIRE). Zgodnie z art. 12 ust. 1 dyrektywy 2019/944 zmiana sprzedawcy w ciągu 24h </w:t>
      </w:r>
      <w:r w:rsidR="00BB01F7" w:rsidRPr="0056676C">
        <w:rPr>
          <w:rFonts w:ascii="Times New Roman" w:hAnsi="Times New Roman" w:cs="Times New Roman"/>
          <w:sz w:val="24"/>
          <w:szCs w:val="24"/>
        </w:rPr>
        <w:t xml:space="preserve">powinna </w:t>
      </w:r>
      <w:r w:rsidRPr="007A0F65">
        <w:rPr>
          <w:rFonts w:ascii="Times New Roman" w:hAnsi="Times New Roman" w:cs="Times New Roman"/>
          <w:sz w:val="24"/>
          <w:szCs w:val="24"/>
        </w:rPr>
        <w:t>zostać zapewniona odbiorcom najpóźniej do 2026 r.</w:t>
      </w:r>
      <w:r w:rsidR="00BB01F7" w:rsidRPr="0056676C">
        <w:rPr>
          <w:rFonts w:ascii="Times New Roman" w:hAnsi="Times New Roman" w:cs="Times New Roman"/>
          <w:sz w:val="24"/>
          <w:szCs w:val="24"/>
        </w:rPr>
        <w:t>;</w:t>
      </w:r>
    </w:p>
    <w:p w14:paraId="6C6E5A97" w14:textId="1FC5158F" w:rsidR="00362585" w:rsidRPr="00A31158" w:rsidRDefault="00362585" w:rsidP="007A0F65">
      <w:pPr>
        <w:pStyle w:val="Bezodstpw"/>
        <w:spacing w:line="360" w:lineRule="auto"/>
        <w:ind w:firstLine="709"/>
        <w:jc w:val="both"/>
        <w:rPr>
          <w:rFonts w:ascii="Times New Roman" w:hAnsi="Times New Roman" w:cs="Times New Roman"/>
          <w:i/>
          <w:iCs/>
          <w:sz w:val="24"/>
          <w:szCs w:val="24"/>
        </w:rPr>
      </w:pPr>
      <w:r w:rsidRPr="00A31158">
        <w:rPr>
          <w:rFonts w:ascii="Times New Roman" w:hAnsi="Times New Roman" w:cs="Times New Roman"/>
          <w:i/>
          <w:iCs/>
          <w:sz w:val="24"/>
          <w:szCs w:val="24"/>
        </w:rPr>
        <w:t xml:space="preserve">2) pkt </w:t>
      </w:r>
      <w:r w:rsidR="007A6E78">
        <w:rPr>
          <w:rFonts w:ascii="Times New Roman" w:hAnsi="Times New Roman" w:cs="Times New Roman"/>
          <w:i/>
          <w:iCs/>
          <w:sz w:val="24"/>
          <w:szCs w:val="24"/>
        </w:rPr>
        <w:t>6</w:t>
      </w:r>
      <w:r w:rsidR="00153679" w:rsidRPr="00A31158">
        <w:rPr>
          <w:rFonts w:ascii="Times New Roman" w:hAnsi="Times New Roman" w:cs="Times New Roman"/>
          <w:i/>
          <w:iCs/>
          <w:sz w:val="24"/>
          <w:szCs w:val="24"/>
        </w:rPr>
        <w:t xml:space="preserve"> </w:t>
      </w:r>
      <w:r w:rsidRPr="00A31158">
        <w:rPr>
          <w:rFonts w:ascii="Times New Roman" w:hAnsi="Times New Roman" w:cs="Times New Roman"/>
          <w:i/>
          <w:iCs/>
          <w:sz w:val="24"/>
          <w:szCs w:val="24"/>
        </w:rPr>
        <w:t xml:space="preserve">w zakresie dodawanego art. 5 ust. 4e-4g i ust. 6g oraz pkt </w:t>
      </w:r>
      <w:r w:rsidR="0029476B" w:rsidRPr="00A31158">
        <w:rPr>
          <w:rFonts w:ascii="Times New Roman" w:hAnsi="Times New Roman" w:cs="Times New Roman"/>
          <w:i/>
          <w:iCs/>
          <w:sz w:val="24"/>
          <w:szCs w:val="24"/>
        </w:rPr>
        <w:t>1</w:t>
      </w:r>
      <w:r w:rsidR="00B9403A" w:rsidRPr="00A31158">
        <w:rPr>
          <w:rFonts w:ascii="Times New Roman" w:hAnsi="Times New Roman" w:cs="Times New Roman"/>
          <w:i/>
          <w:iCs/>
          <w:sz w:val="24"/>
          <w:szCs w:val="24"/>
        </w:rPr>
        <w:t>6</w:t>
      </w:r>
      <w:r w:rsidR="0029476B" w:rsidRPr="00A31158">
        <w:rPr>
          <w:rFonts w:ascii="Times New Roman" w:hAnsi="Times New Roman" w:cs="Times New Roman"/>
          <w:i/>
          <w:iCs/>
          <w:sz w:val="24"/>
          <w:szCs w:val="24"/>
        </w:rPr>
        <w:t xml:space="preserve"> </w:t>
      </w:r>
      <w:r w:rsidRPr="00A31158">
        <w:rPr>
          <w:rFonts w:ascii="Times New Roman" w:hAnsi="Times New Roman" w:cs="Times New Roman"/>
          <w:i/>
          <w:iCs/>
          <w:sz w:val="24"/>
          <w:szCs w:val="24"/>
        </w:rPr>
        <w:t xml:space="preserve">lit. d w zakresie dodawanego art. 9c ust. 4c,  </w:t>
      </w:r>
      <w:r w:rsidR="00BB01F7" w:rsidRPr="00A31158">
        <w:rPr>
          <w:rFonts w:ascii="Times New Roman" w:hAnsi="Times New Roman" w:cs="Times New Roman"/>
          <w:i/>
          <w:iCs/>
          <w:sz w:val="24"/>
          <w:szCs w:val="24"/>
        </w:rPr>
        <w:t>których wejście w życie proponuje się</w:t>
      </w:r>
      <w:r w:rsidRPr="00A31158">
        <w:rPr>
          <w:rFonts w:ascii="Times New Roman" w:hAnsi="Times New Roman" w:cs="Times New Roman"/>
          <w:i/>
          <w:iCs/>
          <w:sz w:val="24"/>
          <w:szCs w:val="24"/>
        </w:rPr>
        <w:t xml:space="preserve"> po upływie 12 miesięcy od dnia ogłoszenia;</w:t>
      </w:r>
    </w:p>
    <w:p w14:paraId="60963DDA" w14:textId="768A0950" w:rsidR="00362585" w:rsidRPr="007A0F65" w:rsidRDefault="00362585" w:rsidP="007A0F65">
      <w:pPr>
        <w:pStyle w:val="Bezodstpw"/>
        <w:spacing w:line="360" w:lineRule="auto"/>
        <w:ind w:firstLine="709"/>
        <w:jc w:val="both"/>
        <w:rPr>
          <w:rFonts w:ascii="Times New Roman" w:hAnsi="Times New Roman" w:cs="Times New Roman"/>
          <w:sz w:val="24"/>
          <w:szCs w:val="24"/>
        </w:rPr>
      </w:pPr>
      <w:r w:rsidRPr="007A0F65">
        <w:rPr>
          <w:rFonts w:ascii="Times New Roman" w:hAnsi="Times New Roman" w:cs="Times New Roman"/>
          <w:sz w:val="24"/>
          <w:szCs w:val="24"/>
        </w:rPr>
        <w:t xml:space="preserve">Przepisy art. 5 ust. 4e-4g i ust. 6g dotyczą regulacji związanych z umową z ceną dynamiczną, które zapewnią częstotliwość rozliczeń na rynku w okresie 15 minut. W związku z tym, że przepisy dotyczące </w:t>
      </w:r>
      <w:r w:rsidRPr="0056676C">
        <w:rPr>
          <w:rFonts w:ascii="Times New Roman" w:hAnsi="Times New Roman" w:cs="Times New Roman"/>
          <w:sz w:val="24"/>
          <w:szCs w:val="24"/>
        </w:rPr>
        <w:t xml:space="preserve">tych </w:t>
      </w:r>
      <w:r w:rsidRPr="007A0F65">
        <w:rPr>
          <w:rFonts w:ascii="Times New Roman" w:hAnsi="Times New Roman" w:cs="Times New Roman"/>
          <w:sz w:val="24"/>
          <w:szCs w:val="24"/>
        </w:rPr>
        <w:t xml:space="preserve">umów </w:t>
      </w:r>
      <w:r w:rsidRPr="0056676C">
        <w:rPr>
          <w:rFonts w:ascii="Times New Roman" w:hAnsi="Times New Roman" w:cs="Times New Roman"/>
          <w:sz w:val="24"/>
          <w:szCs w:val="24"/>
        </w:rPr>
        <w:t>b</w:t>
      </w:r>
      <w:r w:rsidRPr="007A0F65">
        <w:rPr>
          <w:rFonts w:ascii="Times New Roman" w:hAnsi="Times New Roman" w:cs="Times New Roman"/>
          <w:sz w:val="24"/>
          <w:szCs w:val="24"/>
        </w:rPr>
        <w:t xml:space="preserve">ędą mogły w pełni zadziałać w momencie zainstalowania liczników zdalnego odczytu oraz </w:t>
      </w:r>
      <w:r w:rsidR="00BB01F7" w:rsidRPr="0056676C">
        <w:rPr>
          <w:rFonts w:ascii="Times New Roman" w:hAnsi="Times New Roman" w:cs="Times New Roman"/>
          <w:sz w:val="24"/>
          <w:szCs w:val="24"/>
        </w:rPr>
        <w:t>dostosowania się przedsiębiorstw do regulacji</w:t>
      </w:r>
      <w:r w:rsidRPr="007A0F65">
        <w:rPr>
          <w:rFonts w:ascii="Times New Roman" w:hAnsi="Times New Roman" w:cs="Times New Roman"/>
          <w:sz w:val="24"/>
          <w:szCs w:val="24"/>
        </w:rPr>
        <w:t xml:space="preserve">, konieczne jest przesunięcie terminu </w:t>
      </w:r>
      <w:r w:rsidR="00BB01F7" w:rsidRPr="0056676C">
        <w:rPr>
          <w:rFonts w:ascii="Times New Roman" w:hAnsi="Times New Roman" w:cs="Times New Roman"/>
          <w:sz w:val="24"/>
          <w:szCs w:val="24"/>
        </w:rPr>
        <w:t xml:space="preserve">ich </w:t>
      </w:r>
      <w:r w:rsidRPr="007A0F65">
        <w:rPr>
          <w:rFonts w:ascii="Times New Roman" w:hAnsi="Times New Roman" w:cs="Times New Roman"/>
          <w:sz w:val="24"/>
          <w:szCs w:val="24"/>
        </w:rPr>
        <w:t>wejścia  w życie.</w:t>
      </w:r>
    </w:p>
    <w:p w14:paraId="7ECFBCB7" w14:textId="76FF0E46" w:rsidR="00362585" w:rsidRDefault="00362585" w:rsidP="007A0F65">
      <w:pPr>
        <w:pStyle w:val="Bezodstpw"/>
        <w:spacing w:line="360" w:lineRule="auto"/>
        <w:ind w:firstLine="709"/>
        <w:jc w:val="both"/>
        <w:rPr>
          <w:rFonts w:ascii="Times New Roman" w:hAnsi="Times New Roman" w:cs="Times New Roman"/>
          <w:sz w:val="24"/>
          <w:szCs w:val="24"/>
        </w:rPr>
      </w:pPr>
      <w:r w:rsidRPr="007A0F65">
        <w:rPr>
          <w:rFonts w:ascii="Times New Roman" w:hAnsi="Times New Roman" w:cs="Times New Roman"/>
          <w:sz w:val="24"/>
          <w:szCs w:val="24"/>
        </w:rPr>
        <w:t>W art. 9c ust. 4c wprowadza się regulację</w:t>
      </w:r>
      <w:r w:rsidR="00153679">
        <w:rPr>
          <w:rFonts w:ascii="Times New Roman" w:hAnsi="Times New Roman" w:cs="Times New Roman"/>
          <w:sz w:val="24"/>
          <w:szCs w:val="24"/>
        </w:rPr>
        <w:t>,</w:t>
      </w:r>
      <w:r w:rsidRPr="007A0F65">
        <w:rPr>
          <w:rFonts w:ascii="Times New Roman" w:hAnsi="Times New Roman" w:cs="Times New Roman"/>
          <w:sz w:val="24"/>
          <w:szCs w:val="24"/>
        </w:rPr>
        <w:t xml:space="preserve"> zgodnie z którą znak towarowy OSD będącego częścią przedsiębiorstwa zintegrowanego pionowo nie będzie mógł wprowadzać w błąd co do odrębnej tożsamości sprzedawcy będącego częścią tego samego przedsiębiorstwa. Wprowadzenie przepisu przejściowego, zgodnie z którym regulacja ta wejdzie w życie 12 miesięcy po ogłoszeniu</w:t>
      </w:r>
      <w:r w:rsidR="00153679">
        <w:rPr>
          <w:rFonts w:ascii="Times New Roman" w:hAnsi="Times New Roman" w:cs="Times New Roman"/>
          <w:sz w:val="24"/>
          <w:szCs w:val="24"/>
        </w:rPr>
        <w:t>,</w:t>
      </w:r>
      <w:r w:rsidRPr="007A0F65">
        <w:rPr>
          <w:rFonts w:ascii="Times New Roman" w:hAnsi="Times New Roman" w:cs="Times New Roman"/>
          <w:sz w:val="24"/>
          <w:szCs w:val="24"/>
        </w:rPr>
        <w:t xml:space="preserve"> ma na celu zapewnienie czasu OSD na dostosowanie </w:t>
      </w:r>
      <w:proofErr w:type="spellStart"/>
      <w:r w:rsidRPr="007A0F65">
        <w:rPr>
          <w:rFonts w:ascii="Times New Roman" w:hAnsi="Times New Roman" w:cs="Times New Roman"/>
          <w:sz w:val="24"/>
          <w:szCs w:val="24"/>
        </w:rPr>
        <w:t>loga</w:t>
      </w:r>
      <w:proofErr w:type="spellEnd"/>
      <w:r w:rsidR="00BB01F7" w:rsidRPr="0056676C">
        <w:rPr>
          <w:rFonts w:ascii="Times New Roman" w:hAnsi="Times New Roman" w:cs="Times New Roman"/>
          <w:sz w:val="24"/>
          <w:szCs w:val="24"/>
        </w:rPr>
        <w:t>;</w:t>
      </w:r>
    </w:p>
    <w:p w14:paraId="08E42ADE" w14:textId="28FA4F7B" w:rsidR="0023518C" w:rsidRPr="00A31158" w:rsidRDefault="0023518C" w:rsidP="0023518C">
      <w:pPr>
        <w:pStyle w:val="Bezodstpw"/>
        <w:spacing w:line="360" w:lineRule="auto"/>
        <w:ind w:firstLine="709"/>
        <w:jc w:val="both"/>
        <w:rPr>
          <w:rFonts w:ascii="Times New Roman" w:hAnsi="Times New Roman" w:cs="Times New Roman"/>
          <w:i/>
          <w:iCs/>
          <w:sz w:val="24"/>
          <w:szCs w:val="24"/>
        </w:rPr>
      </w:pPr>
      <w:r w:rsidRPr="00A31158">
        <w:rPr>
          <w:rFonts w:ascii="Times New Roman" w:hAnsi="Times New Roman" w:cs="Times New Roman"/>
          <w:i/>
          <w:iCs/>
          <w:sz w:val="24"/>
          <w:szCs w:val="24"/>
        </w:rPr>
        <w:t xml:space="preserve">3) pkt </w:t>
      </w:r>
      <w:r w:rsidR="00460D30">
        <w:rPr>
          <w:rFonts w:ascii="Times New Roman" w:hAnsi="Times New Roman" w:cs="Times New Roman"/>
          <w:i/>
          <w:iCs/>
          <w:sz w:val="24"/>
          <w:szCs w:val="24"/>
        </w:rPr>
        <w:t>6</w:t>
      </w:r>
      <w:r w:rsidRPr="00A31158">
        <w:rPr>
          <w:rFonts w:ascii="Times New Roman" w:hAnsi="Times New Roman" w:cs="Times New Roman"/>
          <w:i/>
          <w:iCs/>
          <w:sz w:val="24"/>
          <w:szCs w:val="24"/>
        </w:rPr>
        <w:t xml:space="preserve"> lit. </w:t>
      </w:r>
      <w:r w:rsidR="00B37989" w:rsidRPr="00A31158">
        <w:rPr>
          <w:rFonts w:ascii="Times New Roman" w:hAnsi="Times New Roman" w:cs="Times New Roman"/>
          <w:i/>
          <w:iCs/>
          <w:sz w:val="24"/>
          <w:szCs w:val="24"/>
        </w:rPr>
        <w:t>f</w:t>
      </w:r>
      <w:r w:rsidRPr="00A31158">
        <w:rPr>
          <w:rFonts w:ascii="Times New Roman" w:hAnsi="Times New Roman" w:cs="Times New Roman"/>
          <w:i/>
          <w:iCs/>
          <w:sz w:val="24"/>
          <w:szCs w:val="24"/>
        </w:rPr>
        <w:t xml:space="preserve"> w zakresie dodawanego art. 5 ust. 3a, którego wejście w życie proponuje się po upływie 6 miesięcy od dnia ogłoszenia.</w:t>
      </w:r>
    </w:p>
    <w:p w14:paraId="6B30A361" w14:textId="77777777" w:rsidR="0023518C" w:rsidRPr="00871F02" w:rsidRDefault="0023518C" w:rsidP="0023518C">
      <w:pPr>
        <w:pStyle w:val="Bezodstpw"/>
        <w:spacing w:line="360" w:lineRule="auto"/>
        <w:ind w:firstLine="709"/>
        <w:jc w:val="both"/>
        <w:rPr>
          <w:rFonts w:ascii="Times New Roman" w:hAnsi="Times New Roman" w:cs="Times New Roman"/>
          <w:sz w:val="24"/>
          <w:szCs w:val="24"/>
        </w:rPr>
      </w:pPr>
      <w:r w:rsidRPr="00871F02">
        <w:rPr>
          <w:rFonts w:ascii="Times New Roman" w:hAnsi="Times New Roman" w:cs="Times New Roman"/>
          <w:sz w:val="24"/>
          <w:szCs w:val="24"/>
        </w:rPr>
        <w:lastRenderedPageBreak/>
        <w:t>Art. 5 ust. 3a nakłada na sprzedawców energii elektrycznej obowiązek zawierania z odbiorcami energii elektrycznej w gospodarstwach domowych wyłącznie umów kompleksowych. Powyższe wiąże się z koniecznością dostosowania systemu funkcjonowania sprzedawców energii elektrycznej do nowej sytuacji prawnej oraz zawarcia odpowiednich umów ze spółkami dystrybucyjnymi, co wymaga przesunięcia w czasie wejścia w życie regulacji.</w:t>
      </w:r>
    </w:p>
    <w:p w14:paraId="0287C799" w14:textId="01E9CDCC" w:rsidR="00362585" w:rsidRPr="00A31158" w:rsidRDefault="0023518C" w:rsidP="007A0F65">
      <w:pPr>
        <w:pStyle w:val="Bezodstpw"/>
        <w:spacing w:line="360" w:lineRule="auto"/>
        <w:ind w:firstLine="709"/>
        <w:jc w:val="both"/>
        <w:rPr>
          <w:rFonts w:ascii="Times New Roman" w:hAnsi="Times New Roman" w:cs="Times New Roman"/>
          <w:i/>
          <w:iCs/>
          <w:sz w:val="24"/>
          <w:szCs w:val="24"/>
        </w:rPr>
      </w:pPr>
      <w:bookmarkStart w:id="16" w:name="_Hlk70070852"/>
      <w:r w:rsidRPr="00A31158">
        <w:rPr>
          <w:rFonts w:ascii="Times New Roman" w:hAnsi="Times New Roman" w:cs="Times New Roman"/>
          <w:i/>
          <w:iCs/>
          <w:sz w:val="24"/>
          <w:szCs w:val="24"/>
        </w:rPr>
        <w:t>4</w:t>
      </w:r>
      <w:r w:rsidR="00362585" w:rsidRPr="00A31158">
        <w:rPr>
          <w:rFonts w:ascii="Times New Roman" w:hAnsi="Times New Roman" w:cs="Times New Roman"/>
          <w:i/>
          <w:iCs/>
          <w:sz w:val="24"/>
          <w:szCs w:val="24"/>
        </w:rPr>
        <w:t xml:space="preserve">) pkt </w:t>
      </w:r>
      <w:r w:rsidR="00460D30">
        <w:rPr>
          <w:rFonts w:ascii="Times New Roman" w:hAnsi="Times New Roman" w:cs="Times New Roman"/>
          <w:i/>
          <w:iCs/>
          <w:sz w:val="24"/>
          <w:szCs w:val="24"/>
        </w:rPr>
        <w:t>6</w:t>
      </w:r>
      <w:r w:rsidR="00153679" w:rsidRPr="00A31158">
        <w:rPr>
          <w:rFonts w:ascii="Times New Roman" w:hAnsi="Times New Roman" w:cs="Times New Roman"/>
          <w:i/>
          <w:iCs/>
          <w:sz w:val="24"/>
          <w:szCs w:val="24"/>
        </w:rPr>
        <w:t xml:space="preserve"> </w:t>
      </w:r>
      <w:r w:rsidR="00362585" w:rsidRPr="00A31158">
        <w:rPr>
          <w:rFonts w:ascii="Times New Roman" w:hAnsi="Times New Roman" w:cs="Times New Roman"/>
          <w:i/>
          <w:iCs/>
          <w:sz w:val="24"/>
          <w:szCs w:val="24"/>
        </w:rPr>
        <w:t xml:space="preserve">lit. </w:t>
      </w:r>
      <w:r w:rsidR="00B37989" w:rsidRPr="00A31158">
        <w:rPr>
          <w:rFonts w:ascii="Times New Roman" w:hAnsi="Times New Roman" w:cs="Times New Roman"/>
          <w:i/>
          <w:iCs/>
          <w:sz w:val="24"/>
          <w:szCs w:val="24"/>
        </w:rPr>
        <w:t>i</w:t>
      </w:r>
      <w:r w:rsidR="00362585" w:rsidRPr="00A31158">
        <w:rPr>
          <w:rFonts w:ascii="Times New Roman" w:hAnsi="Times New Roman" w:cs="Times New Roman"/>
          <w:i/>
          <w:iCs/>
          <w:sz w:val="24"/>
          <w:szCs w:val="24"/>
        </w:rPr>
        <w:t xml:space="preserve"> w zakresie dodawanego art. 5 ust. 4d oraz pkt </w:t>
      </w:r>
      <w:r w:rsidR="002A4151" w:rsidRPr="00A31158">
        <w:rPr>
          <w:rFonts w:ascii="Times New Roman" w:hAnsi="Times New Roman" w:cs="Times New Roman"/>
          <w:i/>
          <w:iCs/>
          <w:sz w:val="24"/>
          <w:szCs w:val="24"/>
        </w:rPr>
        <w:t>8</w:t>
      </w:r>
      <w:r w:rsidR="00362585" w:rsidRPr="00A31158">
        <w:rPr>
          <w:rFonts w:ascii="Times New Roman" w:hAnsi="Times New Roman" w:cs="Times New Roman"/>
          <w:i/>
          <w:iCs/>
          <w:sz w:val="24"/>
          <w:szCs w:val="24"/>
        </w:rPr>
        <w:t xml:space="preserve">, </w:t>
      </w:r>
      <w:r w:rsidR="00BB01F7" w:rsidRPr="00A31158">
        <w:rPr>
          <w:rFonts w:ascii="Times New Roman" w:hAnsi="Times New Roman" w:cs="Times New Roman"/>
          <w:i/>
          <w:iCs/>
          <w:sz w:val="24"/>
          <w:szCs w:val="24"/>
        </w:rPr>
        <w:t xml:space="preserve">których wejście w życie proponuje się </w:t>
      </w:r>
      <w:r w:rsidR="00362585" w:rsidRPr="00A31158">
        <w:rPr>
          <w:rFonts w:ascii="Times New Roman" w:hAnsi="Times New Roman" w:cs="Times New Roman"/>
          <w:i/>
          <w:iCs/>
          <w:sz w:val="24"/>
          <w:szCs w:val="24"/>
        </w:rPr>
        <w:t xml:space="preserve"> po upływie 2 miesięcy od dnia ogłoszenia.</w:t>
      </w:r>
    </w:p>
    <w:bookmarkEnd w:id="16"/>
    <w:p w14:paraId="2E00E9A9" w14:textId="58C24471" w:rsidR="00362585" w:rsidRPr="007A0F65" w:rsidRDefault="00362585" w:rsidP="007A0F65">
      <w:pPr>
        <w:pStyle w:val="Bezodstpw"/>
        <w:spacing w:line="360" w:lineRule="auto"/>
        <w:ind w:firstLine="709"/>
        <w:jc w:val="both"/>
        <w:rPr>
          <w:rFonts w:ascii="Times New Roman" w:hAnsi="Times New Roman" w:cs="Times New Roman"/>
          <w:sz w:val="24"/>
          <w:szCs w:val="24"/>
        </w:rPr>
      </w:pPr>
      <w:r w:rsidRPr="007A0F65">
        <w:rPr>
          <w:rFonts w:ascii="Times New Roman" w:hAnsi="Times New Roman" w:cs="Times New Roman"/>
          <w:sz w:val="24"/>
          <w:szCs w:val="24"/>
        </w:rPr>
        <w:t xml:space="preserve">Art. 5 ust. 4d zobowiązuje sprzedawców energii elektrycznej do przedłożenia odbiorcom końcowym, najpóźniej w dniu zawarcia umowy sprzedaży energii elektrycznej, streszczenia kluczowych warunków umowy, które powinny zawierać </w:t>
      </w:r>
      <w:r w:rsidRPr="0056676C">
        <w:rPr>
          <w:rFonts w:ascii="Times New Roman" w:hAnsi="Times New Roman" w:cs="Times New Roman"/>
          <w:sz w:val="24"/>
          <w:szCs w:val="24"/>
        </w:rPr>
        <w:t>odpowiednie informacje</w:t>
      </w:r>
      <w:r w:rsidRPr="007A0F65">
        <w:rPr>
          <w:rFonts w:ascii="Times New Roman" w:hAnsi="Times New Roman" w:cs="Times New Roman"/>
          <w:sz w:val="24"/>
          <w:szCs w:val="24"/>
        </w:rPr>
        <w:t xml:space="preserve">. </w:t>
      </w:r>
    </w:p>
    <w:p w14:paraId="7410D142" w14:textId="43170792" w:rsidR="00362585" w:rsidRPr="007A0F65" w:rsidRDefault="0056676C" w:rsidP="007A0F65">
      <w:pPr>
        <w:pStyle w:val="Bezodstpw"/>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Z</w:t>
      </w:r>
      <w:r w:rsidR="00362585" w:rsidRPr="007A0F65">
        <w:rPr>
          <w:rFonts w:ascii="Times New Roman" w:hAnsi="Times New Roman" w:cs="Times New Roman"/>
          <w:sz w:val="24"/>
          <w:szCs w:val="24"/>
        </w:rPr>
        <w:t xml:space="preserve">miany w art. 6b wprowadzane przez pkt </w:t>
      </w:r>
      <w:r w:rsidR="00B37989">
        <w:rPr>
          <w:rFonts w:ascii="Times New Roman" w:hAnsi="Times New Roman" w:cs="Times New Roman"/>
          <w:sz w:val="24"/>
          <w:szCs w:val="24"/>
        </w:rPr>
        <w:t>9</w:t>
      </w:r>
      <w:r w:rsidR="002A4151" w:rsidRPr="007A0F65">
        <w:rPr>
          <w:rFonts w:ascii="Times New Roman" w:hAnsi="Times New Roman" w:cs="Times New Roman"/>
          <w:sz w:val="24"/>
          <w:szCs w:val="24"/>
        </w:rPr>
        <w:t xml:space="preserve"> </w:t>
      </w:r>
      <w:r w:rsidR="00362585" w:rsidRPr="007A0F65">
        <w:rPr>
          <w:rFonts w:ascii="Times New Roman" w:hAnsi="Times New Roman" w:cs="Times New Roman"/>
          <w:sz w:val="24"/>
          <w:szCs w:val="24"/>
        </w:rPr>
        <w:t xml:space="preserve">projektu ustawy nakładają na sprzedawców energii elektrycznej obowiązek dostarczenia odbiorcom energii elektrycznej w gospodarstwach domowych informacji o rozwiązaniu alternatywnym w stosunku do wstrzymania dostaw energii elektrycznej stosowanym przez </w:t>
      </w:r>
      <w:r w:rsidR="00BB01F7" w:rsidRPr="0056676C">
        <w:rPr>
          <w:rFonts w:ascii="Times New Roman" w:hAnsi="Times New Roman" w:cs="Times New Roman"/>
          <w:sz w:val="24"/>
          <w:szCs w:val="24"/>
        </w:rPr>
        <w:t xml:space="preserve">danego </w:t>
      </w:r>
      <w:r w:rsidR="00362585" w:rsidRPr="007A0F65">
        <w:rPr>
          <w:rFonts w:ascii="Times New Roman" w:hAnsi="Times New Roman" w:cs="Times New Roman"/>
          <w:sz w:val="24"/>
          <w:szCs w:val="24"/>
        </w:rPr>
        <w:t>sprzedawcę.</w:t>
      </w:r>
    </w:p>
    <w:p w14:paraId="69C52091" w14:textId="2C8F9E06" w:rsidR="00362585" w:rsidRDefault="00362585" w:rsidP="007A0F65">
      <w:pPr>
        <w:pStyle w:val="Bezodstpw"/>
        <w:spacing w:line="360" w:lineRule="auto"/>
        <w:ind w:firstLine="709"/>
        <w:jc w:val="both"/>
        <w:rPr>
          <w:rFonts w:ascii="Times New Roman" w:hAnsi="Times New Roman" w:cs="Times New Roman"/>
          <w:sz w:val="24"/>
          <w:szCs w:val="24"/>
        </w:rPr>
      </w:pPr>
      <w:r w:rsidRPr="007A0F65">
        <w:rPr>
          <w:rFonts w:ascii="Times New Roman" w:hAnsi="Times New Roman" w:cs="Times New Roman"/>
          <w:sz w:val="24"/>
          <w:szCs w:val="24"/>
        </w:rPr>
        <w:t>Przesunięcie terminu wejścia w życie powyższych regulacji wiąże się z koniecznością zapewnienia sprzedawc</w:t>
      </w:r>
      <w:r w:rsidRPr="0056676C">
        <w:rPr>
          <w:rFonts w:ascii="Times New Roman" w:hAnsi="Times New Roman" w:cs="Times New Roman"/>
          <w:sz w:val="24"/>
          <w:szCs w:val="24"/>
        </w:rPr>
        <w:t>om</w:t>
      </w:r>
      <w:r w:rsidRPr="007A0F65">
        <w:rPr>
          <w:rFonts w:ascii="Times New Roman" w:hAnsi="Times New Roman" w:cs="Times New Roman"/>
          <w:sz w:val="24"/>
          <w:szCs w:val="24"/>
        </w:rPr>
        <w:t xml:space="preserve"> energii elektrycznej odpowiedniego czasu na dostosowanie do powyższych obowiązków.</w:t>
      </w:r>
    </w:p>
    <w:p w14:paraId="1CAE0B7F" w14:textId="533ED3AD" w:rsidR="00813DD6" w:rsidRDefault="009E0E0A" w:rsidP="007A0F65">
      <w:pPr>
        <w:pStyle w:val="Bezodstpw"/>
        <w:spacing w:line="360" w:lineRule="auto"/>
        <w:ind w:firstLine="709"/>
        <w:jc w:val="both"/>
        <w:rPr>
          <w:rFonts w:ascii="Times New Roman" w:hAnsi="Times New Roman" w:cs="Times New Roman"/>
          <w:sz w:val="24"/>
          <w:szCs w:val="32"/>
        </w:rPr>
      </w:pPr>
      <w:r w:rsidRPr="00A31158">
        <w:rPr>
          <w:rFonts w:ascii="Times New Roman" w:hAnsi="Times New Roman" w:cs="Times New Roman"/>
          <w:i/>
          <w:iCs/>
          <w:sz w:val="24"/>
          <w:szCs w:val="32"/>
        </w:rPr>
        <w:t xml:space="preserve">5) </w:t>
      </w:r>
      <w:r w:rsidR="00813DD6" w:rsidRPr="00A31158">
        <w:rPr>
          <w:rFonts w:ascii="Times New Roman" w:hAnsi="Times New Roman" w:cs="Times New Roman"/>
          <w:i/>
          <w:iCs/>
          <w:sz w:val="24"/>
          <w:szCs w:val="32"/>
        </w:rPr>
        <w:t xml:space="preserve">Przepisy dotyczące realizacji procesów wymiany informacji rynku energii </w:t>
      </w:r>
      <w:r w:rsidR="00813DD6" w:rsidRPr="00A31158">
        <w:rPr>
          <w:rFonts w:ascii="Times New Roman" w:hAnsi="Times New Roman" w:cs="Times New Roman"/>
          <w:sz w:val="24"/>
          <w:szCs w:val="32"/>
        </w:rPr>
        <w:t xml:space="preserve">(art. 1 pkt </w:t>
      </w:r>
      <w:r w:rsidR="00B37989">
        <w:rPr>
          <w:rFonts w:ascii="Times New Roman" w:hAnsi="Times New Roman" w:cs="Times New Roman"/>
          <w:sz w:val="24"/>
          <w:szCs w:val="32"/>
        </w:rPr>
        <w:t>30</w:t>
      </w:r>
      <w:r w:rsidR="00813DD6" w:rsidRPr="00A31158">
        <w:rPr>
          <w:rFonts w:ascii="Times New Roman" w:hAnsi="Times New Roman" w:cs="Times New Roman"/>
          <w:sz w:val="24"/>
          <w:szCs w:val="32"/>
        </w:rPr>
        <w:t>-</w:t>
      </w:r>
      <w:r w:rsidR="00B37989">
        <w:rPr>
          <w:rFonts w:ascii="Times New Roman" w:hAnsi="Times New Roman" w:cs="Times New Roman"/>
          <w:sz w:val="24"/>
          <w:szCs w:val="32"/>
        </w:rPr>
        <w:t>33</w:t>
      </w:r>
      <w:r w:rsidR="00813DD6" w:rsidRPr="00A31158">
        <w:rPr>
          <w:rFonts w:ascii="Times New Roman" w:hAnsi="Times New Roman" w:cs="Times New Roman"/>
          <w:sz w:val="24"/>
          <w:szCs w:val="32"/>
        </w:rPr>
        <w:t xml:space="preserve"> projektu ustawy) wejdą w życie 1 lipca 2024 r. Te ostatnie przepisy są bowiem ściśle związane z centralnym systemem informacji rynku energii i (w brzmieniu pierwotnym) zgodnie z art. 37 pkt 6 ustawy z dnia 20 maja 2021 r. o zmianie ustawy - Prawo energetyczne oraz niektórych innych ustaw wchodzą w życie pierwszego dnia miesiąca następującego po upływie 36 miesięcy od dnia ogłoszenia, czyli 1 lipca 2024 r. Zmieniane przepisy w art. 1 pkt </w:t>
      </w:r>
      <w:r w:rsidR="001E4CA4">
        <w:rPr>
          <w:rFonts w:ascii="Times New Roman" w:hAnsi="Times New Roman" w:cs="Times New Roman"/>
          <w:sz w:val="24"/>
          <w:szCs w:val="32"/>
        </w:rPr>
        <w:t>19 lit. c</w:t>
      </w:r>
      <w:r w:rsidR="00813DD6" w:rsidRPr="00A31158">
        <w:rPr>
          <w:rFonts w:ascii="Times New Roman" w:hAnsi="Times New Roman" w:cs="Times New Roman"/>
          <w:sz w:val="24"/>
          <w:szCs w:val="32"/>
        </w:rPr>
        <w:t xml:space="preserve"> i </w:t>
      </w:r>
      <w:r w:rsidR="001E4CA4">
        <w:rPr>
          <w:rFonts w:ascii="Times New Roman" w:hAnsi="Times New Roman" w:cs="Times New Roman"/>
          <w:sz w:val="24"/>
          <w:szCs w:val="32"/>
        </w:rPr>
        <w:t>pkt 34</w:t>
      </w:r>
      <w:r w:rsidR="00813DD6" w:rsidRPr="00A31158">
        <w:rPr>
          <w:rFonts w:ascii="Times New Roman" w:hAnsi="Times New Roman" w:cs="Times New Roman"/>
          <w:sz w:val="24"/>
          <w:szCs w:val="32"/>
        </w:rPr>
        <w:t xml:space="preserve"> oraz art. </w:t>
      </w:r>
      <w:r w:rsidR="001E4CA4">
        <w:rPr>
          <w:rFonts w:ascii="Times New Roman" w:hAnsi="Times New Roman" w:cs="Times New Roman"/>
          <w:sz w:val="24"/>
          <w:szCs w:val="32"/>
        </w:rPr>
        <w:t>15</w:t>
      </w:r>
      <w:r w:rsidR="00813DD6" w:rsidRPr="00A31158">
        <w:rPr>
          <w:rFonts w:ascii="Times New Roman" w:hAnsi="Times New Roman" w:cs="Times New Roman"/>
          <w:sz w:val="24"/>
          <w:szCs w:val="32"/>
        </w:rPr>
        <w:t xml:space="preserve"> projektu ustawy zgodnie z art. 37 ustawy z dnia 20 maja 2021 r. o zmianie ustawy - Prawo energetyczne oraz niektórych innych ustaw, pomimo, że są powiązane z centralnym systemem informacji rynku energii, ze względu na konieczność podjęcia działań przygotowawczych do uruchomienia tego systemu, weszły już w życie 3 lipca 2021 r., stąd nie ma uzasadnienia do wprowadzenia w ich zakresie jakiegoś wydłużonego okresu vacatio legis. Zgodnie zaś z art. 37 pkt 5 ww. nowelizacji ustawy</w:t>
      </w:r>
      <w:r w:rsidR="0008052A">
        <w:rPr>
          <w:rFonts w:ascii="Times New Roman" w:hAnsi="Times New Roman" w:cs="Times New Roman"/>
          <w:sz w:val="24"/>
          <w:szCs w:val="32"/>
        </w:rPr>
        <w:t xml:space="preserve"> </w:t>
      </w:r>
      <w:r w:rsidR="00813DD6" w:rsidRPr="00A31158">
        <w:rPr>
          <w:rFonts w:ascii="Times New Roman" w:hAnsi="Times New Roman" w:cs="Times New Roman"/>
          <w:sz w:val="24"/>
          <w:szCs w:val="32"/>
        </w:rPr>
        <w:t>– Prawo energetyczne, art. 11zg wejdzie  w życie  pierwszego dnia miesiąca następującego po upływie 30 miesięcy od dnia ogłoszenia, a więc 1 stycznia 2024 r.</w:t>
      </w:r>
    </w:p>
    <w:p w14:paraId="7A6E3B94" w14:textId="5273D208" w:rsidR="001A1AE0" w:rsidRPr="00613198" w:rsidRDefault="0008052A">
      <w:pPr>
        <w:spacing w:before="100" w:beforeAutospacing="1"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2</w:t>
      </w:r>
      <w:r w:rsidR="000B2321">
        <w:rPr>
          <w:rFonts w:ascii="Times New Roman" w:hAnsi="Times New Roman" w:cs="Times New Roman"/>
          <w:b/>
          <w:sz w:val="24"/>
          <w:szCs w:val="24"/>
        </w:rPr>
        <w:t>6</w:t>
      </w:r>
      <w:r>
        <w:rPr>
          <w:rFonts w:ascii="Times New Roman" w:hAnsi="Times New Roman" w:cs="Times New Roman"/>
          <w:b/>
          <w:sz w:val="24"/>
          <w:szCs w:val="24"/>
        </w:rPr>
        <w:t xml:space="preserve">. </w:t>
      </w:r>
      <w:r w:rsidR="000B4FEB" w:rsidRPr="00613198">
        <w:rPr>
          <w:rFonts w:ascii="Times New Roman" w:hAnsi="Times New Roman" w:cs="Times New Roman"/>
          <w:b/>
          <w:sz w:val="24"/>
          <w:szCs w:val="24"/>
        </w:rPr>
        <w:t>Notyfikacja</w:t>
      </w:r>
    </w:p>
    <w:p w14:paraId="71F0A0DD" w14:textId="77777777" w:rsidR="00D010D1" w:rsidRPr="00613198" w:rsidRDefault="00D010D1" w:rsidP="00D010D1">
      <w:pPr>
        <w:spacing w:line="360" w:lineRule="auto"/>
        <w:jc w:val="both"/>
        <w:rPr>
          <w:rFonts w:ascii="Times New Roman" w:hAnsi="Times New Roman" w:cs="Times New Roman"/>
          <w:sz w:val="24"/>
          <w:szCs w:val="24"/>
        </w:rPr>
      </w:pPr>
      <w:r w:rsidRPr="00613198">
        <w:rPr>
          <w:rFonts w:ascii="Times New Roman" w:hAnsi="Times New Roman" w:cs="Times New Roman"/>
          <w:sz w:val="24"/>
          <w:szCs w:val="24"/>
        </w:rPr>
        <w:lastRenderedPageBreak/>
        <w:tab/>
        <w:t>Projekt ustawy nie zawiera przepisów technicznych w rozumieniu przepisów rozporządzenia Rady Ministrów z dnia 23 grudnia 2002 r. w sprawie funkcjonowania krajowego systemu notyfikacji norm i aktów prawnych (Dz. U. Nr 239 poz. 2039 oraz z 2004 r. Nr 65 poz. 597) i w związku z tym nie podlega w tym zakresie notyfikacji Komisji Europejskiej.</w:t>
      </w:r>
    </w:p>
    <w:p w14:paraId="3758211E" w14:textId="6344CB49" w:rsidR="000B4FEB" w:rsidRPr="00613198" w:rsidRDefault="0008052A" w:rsidP="009317C2">
      <w:pPr>
        <w:spacing w:before="100" w:beforeAutospacing="1"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2</w:t>
      </w:r>
      <w:r w:rsidR="000B2321">
        <w:rPr>
          <w:rFonts w:ascii="Times New Roman" w:hAnsi="Times New Roman" w:cs="Times New Roman"/>
          <w:b/>
          <w:sz w:val="24"/>
          <w:szCs w:val="24"/>
        </w:rPr>
        <w:t>7</w:t>
      </w:r>
      <w:r>
        <w:rPr>
          <w:rFonts w:ascii="Times New Roman" w:hAnsi="Times New Roman" w:cs="Times New Roman"/>
          <w:b/>
          <w:sz w:val="24"/>
          <w:szCs w:val="24"/>
        </w:rPr>
        <w:t xml:space="preserve">. </w:t>
      </w:r>
      <w:r w:rsidR="000B4FEB" w:rsidRPr="00613198">
        <w:rPr>
          <w:rFonts w:ascii="Times New Roman" w:hAnsi="Times New Roman" w:cs="Times New Roman"/>
          <w:b/>
          <w:sz w:val="24"/>
          <w:szCs w:val="24"/>
        </w:rPr>
        <w:t>Konsultacje projektu</w:t>
      </w:r>
    </w:p>
    <w:p w14:paraId="4AFB45DA" w14:textId="61379C8A" w:rsidR="00D010D1" w:rsidRPr="00613198" w:rsidRDefault="00D010D1" w:rsidP="00D010D1">
      <w:pPr>
        <w:spacing w:line="360" w:lineRule="auto"/>
        <w:jc w:val="both"/>
        <w:rPr>
          <w:rFonts w:ascii="Times New Roman" w:hAnsi="Times New Roman" w:cs="Times New Roman"/>
          <w:sz w:val="24"/>
          <w:szCs w:val="24"/>
        </w:rPr>
      </w:pPr>
      <w:r w:rsidRPr="00613198">
        <w:rPr>
          <w:rFonts w:ascii="Times New Roman" w:hAnsi="Times New Roman" w:cs="Times New Roman"/>
          <w:sz w:val="24"/>
          <w:szCs w:val="24"/>
        </w:rPr>
        <w:tab/>
        <w:t>Zgodnie z art. 5 ustawy z dnia 7 lipca 2005 r. o działalności lobbingowej w procesie stanowienia prawa (Dz. U. z 2017 poz. 248), projekt zosta</w:t>
      </w:r>
      <w:r w:rsidR="00EA1CE9">
        <w:rPr>
          <w:rFonts w:ascii="Times New Roman" w:hAnsi="Times New Roman" w:cs="Times New Roman"/>
          <w:sz w:val="24"/>
          <w:szCs w:val="24"/>
        </w:rPr>
        <w:t xml:space="preserve">ł </w:t>
      </w:r>
      <w:r w:rsidRPr="00613198">
        <w:rPr>
          <w:rFonts w:ascii="Times New Roman" w:hAnsi="Times New Roman" w:cs="Times New Roman"/>
          <w:sz w:val="24"/>
          <w:szCs w:val="24"/>
        </w:rPr>
        <w:t xml:space="preserve"> umieszczony w Biuletynie Informacji Publicznej Rządowego Centrum Legislacji oraz przekazany do uzgodnień międzyresortowych i konsultacji publicznych.</w:t>
      </w:r>
    </w:p>
    <w:p w14:paraId="24B3A0C0" w14:textId="38E6361E" w:rsidR="00D010D1" w:rsidRPr="00613198" w:rsidRDefault="00D010D1" w:rsidP="00D010D1">
      <w:pPr>
        <w:spacing w:line="360" w:lineRule="auto"/>
        <w:jc w:val="both"/>
        <w:rPr>
          <w:rFonts w:ascii="Times New Roman" w:hAnsi="Times New Roman" w:cs="Times New Roman"/>
          <w:sz w:val="24"/>
          <w:szCs w:val="24"/>
        </w:rPr>
      </w:pPr>
      <w:r w:rsidRPr="00613198">
        <w:rPr>
          <w:rFonts w:ascii="Times New Roman" w:hAnsi="Times New Roman" w:cs="Times New Roman"/>
          <w:sz w:val="24"/>
          <w:szCs w:val="24"/>
        </w:rPr>
        <w:tab/>
        <w:t>Projekt ustawy nie wymaga przedstawienia organom i instytucjom Unii Europejskiej, w tym Europejskiemu Bankowi Centralnemu, w celu uzyskania opinii, dokonania powiadomienia, konsultacji albo uzgodnienia, zgodnie z § 27 ust 4 uchwały nr 190 Rady Ministrów z dnia 29 października 2013 r. - Regulamin pracy Rady Ministrów (M.P. z 2016 r. poz. 1006</w:t>
      </w:r>
      <w:r w:rsidR="00E52A5F">
        <w:rPr>
          <w:rFonts w:ascii="Times New Roman" w:hAnsi="Times New Roman" w:cs="Times New Roman"/>
          <w:sz w:val="24"/>
          <w:szCs w:val="24"/>
        </w:rPr>
        <w:t xml:space="preserve">, z </w:t>
      </w:r>
      <w:proofErr w:type="spellStart"/>
      <w:r w:rsidR="00E52A5F">
        <w:rPr>
          <w:rFonts w:ascii="Times New Roman" w:hAnsi="Times New Roman" w:cs="Times New Roman"/>
          <w:sz w:val="24"/>
          <w:szCs w:val="24"/>
        </w:rPr>
        <w:t>późn</w:t>
      </w:r>
      <w:proofErr w:type="spellEnd"/>
      <w:r w:rsidR="00E52A5F">
        <w:rPr>
          <w:rFonts w:ascii="Times New Roman" w:hAnsi="Times New Roman" w:cs="Times New Roman"/>
          <w:sz w:val="24"/>
          <w:szCs w:val="24"/>
        </w:rPr>
        <w:t>. zm.</w:t>
      </w:r>
      <w:r w:rsidRPr="00613198">
        <w:rPr>
          <w:rFonts w:ascii="Times New Roman" w:hAnsi="Times New Roman" w:cs="Times New Roman"/>
          <w:sz w:val="24"/>
          <w:szCs w:val="24"/>
        </w:rPr>
        <w:t>).</w:t>
      </w:r>
    </w:p>
    <w:p w14:paraId="1A2AB673" w14:textId="4570974D" w:rsidR="000B4FEB" w:rsidRPr="00613198" w:rsidRDefault="0008052A" w:rsidP="009317C2">
      <w:pPr>
        <w:spacing w:before="100" w:beforeAutospacing="1"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2</w:t>
      </w:r>
      <w:r w:rsidR="000B2321">
        <w:rPr>
          <w:rFonts w:ascii="Times New Roman" w:hAnsi="Times New Roman" w:cs="Times New Roman"/>
          <w:b/>
          <w:sz w:val="24"/>
          <w:szCs w:val="24"/>
        </w:rPr>
        <w:t>8</w:t>
      </w:r>
      <w:r>
        <w:rPr>
          <w:rFonts w:ascii="Times New Roman" w:hAnsi="Times New Roman" w:cs="Times New Roman"/>
          <w:b/>
          <w:sz w:val="24"/>
          <w:szCs w:val="24"/>
        </w:rPr>
        <w:t xml:space="preserve">. </w:t>
      </w:r>
      <w:r w:rsidR="000B4FEB" w:rsidRPr="00613198">
        <w:rPr>
          <w:rFonts w:ascii="Times New Roman" w:hAnsi="Times New Roman" w:cs="Times New Roman"/>
          <w:b/>
          <w:sz w:val="24"/>
          <w:szCs w:val="24"/>
        </w:rPr>
        <w:t>Zgodność z prawem Unii Europejskiej</w:t>
      </w:r>
    </w:p>
    <w:p w14:paraId="6E0CB6D3" w14:textId="740AB487" w:rsidR="007C3B71" w:rsidRPr="00121027" w:rsidRDefault="000B4FEB" w:rsidP="009317C2">
      <w:pPr>
        <w:spacing w:line="360" w:lineRule="auto"/>
        <w:jc w:val="both"/>
        <w:rPr>
          <w:rFonts w:ascii="Times New Roman" w:hAnsi="Times New Roman" w:cs="Times New Roman"/>
          <w:sz w:val="24"/>
          <w:szCs w:val="24"/>
        </w:rPr>
      </w:pPr>
      <w:r w:rsidRPr="00613198">
        <w:rPr>
          <w:rFonts w:ascii="Times New Roman" w:hAnsi="Times New Roman" w:cs="Times New Roman"/>
          <w:sz w:val="24"/>
          <w:szCs w:val="24"/>
        </w:rPr>
        <w:tab/>
      </w:r>
      <w:r w:rsidR="00153679">
        <w:rPr>
          <w:rFonts w:ascii="Times New Roman" w:hAnsi="Times New Roman" w:cs="Times New Roman"/>
          <w:sz w:val="24"/>
          <w:szCs w:val="24"/>
        </w:rPr>
        <w:t>W ocenie projektodawców p</w:t>
      </w:r>
      <w:r w:rsidR="00153679" w:rsidRPr="00613198">
        <w:rPr>
          <w:rFonts w:ascii="Times New Roman" w:hAnsi="Times New Roman" w:cs="Times New Roman"/>
          <w:sz w:val="24"/>
          <w:szCs w:val="24"/>
        </w:rPr>
        <w:t xml:space="preserve">rojekt </w:t>
      </w:r>
      <w:r w:rsidRPr="00613198">
        <w:rPr>
          <w:rFonts w:ascii="Times New Roman" w:hAnsi="Times New Roman" w:cs="Times New Roman"/>
          <w:sz w:val="24"/>
          <w:szCs w:val="24"/>
        </w:rPr>
        <w:t>jest zgodny z prawem Unii Europejskiej.</w:t>
      </w:r>
    </w:p>
    <w:sectPr w:rsidR="007C3B71" w:rsidRPr="00121027" w:rsidSect="00AE616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1BA2F" w14:textId="77777777" w:rsidR="00F81EA0" w:rsidRDefault="00F81EA0" w:rsidP="000A2B2B">
      <w:r>
        <w:separator/>
      </w:r>
    </w:p>
  </w:endnote>
  <w:endnote w:type="continuationSeparator" w:id="0">
    <w:p w14:paraId="63DC6DBD" w14:textId="77777777" w:rsidR="00F81EA0" w:rsidRDefault="00F81EA0" w:rsidP="000A2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EUAlbertina">
    <w:altName w:val="Calibri"/>
    <w:panose1 w:val="00000000000000000000"/>
    <w:charset w:val="EE"/>
    <w:family w:val="swiss"/>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4392C" w14:textId="77777777" w:rsidR="00F81EA0" w:rsidRDefault="00F81EA0" w:rsidP="000A2B2B">
      <w:r>
        <w:separator/>
      </w:r>
    </w:p>
  </w:footnote>
  <w:footnote w:type="continuationSeparator" w:id="0">
    <w:p w14:paraId="7F0B2458" w14:textId="77777777" w:rsidR="00F81EA0" w:rsidRDefault="00F81EA0" w:rsidP="000A2B2B">
      <w:r>
        <w:continuationSeparator/>
      </w:r>
    </w:p>
  </w:footnote>
  <w:footnote w:id="1">
    <w:p w14:paraId="43BC19EF" w14:textId="3E6A4A17" w:rsidR="007C7112" w:rsidRPr="0098461E" w:rsidRDefault="007C7112">
      <w:pPr>
        <w:pStyle w:val="Tekstprzypisudolnego"/>
        <w:rPr>
          <w:rFonts w:ascii="Times New Roman" w:hAnsi="Times New Roman" w:cs="Times New Roman"/>
        </w:rPr>
      </w:pPr>
      <w:r w:rsidRPr="0098461E">
        <w:rPr>
          <w:rStyle w:val="Odwoanieprzypisudolnego"/>
          <w:rFonts w:ascii="Times New Roman" w:hAnsi="Times New Roman" w:cs="Times New Roman"/>
          <w:color w:val="000000" w:themeColor="text1"/>
        </w:rPr>
        <w:footnoteRef/>
      </w:r>
      <w:r w:rsidRPr="0098461E">
        <w:rPr>
          <w:rFonts w:ascii="Times New Roman" w:hAnsi="Times New Roman" w:cs="Times New Roman"/>
          <w:color w:val="000000" w:themeColor="text1"/>
        </w:rPr>
        <w:t xml:space="preserve"> </w:t>
      </w:r>
      <w:hyperlink r:id="rId1" w:history="1">
        <w:r w:rsidRPr="0098461E">
          <w:rPr>
            <w:rStyle w:val="Hipercze"/>
            <w:rFonts w:ascii="Times New Roman" w:hAnsi="Times New Roman" w:cs="Times New Roman"/>
            <w:color w:val="000000" w:themeColor="text1"/>
          </w:rPr>
          <w:t>https://www.ure.gov.pl/pl/energia-elektryczna/zmiana-sprzedawcy-monit</w:t>
        </w:r>
      </w:hyperlink>
      <w:r w:rsidRPr="0098461E">
        <w:rPr>
          <w:rFonts w:ascii="Times New Roman" w:hAnsi="Times New Roman" w:cs="Times New Roman"/>
          <w:color w:val="000000" w:themeColor="text1"/>
        </w:rPr>
        <w:t xml:space="preserve"> </w:t>
      </w:r>
    </w:p>
  </w:footnote>
  <w:footnote w:id="2">
    <w:p w14:paraId="54AEE00F" w14:textId="035F4E67" w:rsidR="006B10D0" w:rsidRPr="00A31158" w:rsidRDefault="006B10D0">
      <w:pPr>
        <w:pStyle w:val="Tekstprzypisudolnego"/>
        <w:rPr>
          <w:rFonts w:ascii="Times New Roman" w:hAnsi="Times New Roman" w:cs="Times New Roman"/>
        </w:rPr>
      </w:pPr>
      <w:r w:rsidRPr="00A31158">
        <w:rPr>
          <w:rStyle w:val="Odwoanieprzypisudolnego"/>
          <w:rFonts w:ascii="Times New Roman" w:hAnsi="Times New Roman" w:cs="Times New Roman"/>
        </w:rPr>
        <w:footnoteRef/>
      </w:r>
      <w:r w:rsidRPr="00A31158">
        <w:rPr>
          <w:rFonts w:ascii="Times New Roman" w:hAnsi="Times New Roman" w:cs="Times New Roman"/>
        </w:rPr>
        <w:t xml:space="preserve"> https://www.gov.pl/attachment/667697b5-ee63-4e01-b87c-799ea0a94794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95948"/>
    <w:multiLevelType w:val="hybridMultilevel"/>
    <w:tmpl w:val="A5EE278C"/>
    <w:lvl w:ilvl="0" w:tplc="E52682F0">
      <w:start w:val="3"/>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E30735F"/>
    <w:multiLevelType w:val="hybridMultilevel"/>
    <w:tmpl w:val="D0861F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E20DA0"/>
    <w:multiLevelType w:val="hybridMultilevel"/>
    <w:tmpl w:val="B9B4C0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5893BD1"/>
    <w:multiLevelType w:val="hybridMultilevel"/>
    <w:tmpl w:val="13DC37E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 w15:restartNumberingAfterBreak="0">
    <w:nsid w:val="30532555"/>
    <w:multiLevelType w:val="hybridMultilevel"/>
    <w:tmpl w:val="06FC344C"/>
    <w:lvl w:ilvl="0" w:tplc="04150013">
      <w:start w:val="1"/>
      <w:numFmt w:val="upperRoman"/>
      <w:lvlText w:val="%1."/>
      <w:lvlJc w:val="right"/>
      <w:pPr>
        <w:ind w:left="720" w:hanging="360"/>
      </w:pPr>
    </w:lvl>
    <w:lvl w:ilvl="1" w:tplc="04150013">
      <w:start w:val="1"/>
      <w:numFmt w:val="upperRoman"/>
      <w:lvlText w:val="%2."/>
      <w:lvlJc w:val="right"/>
      <w:pPr>
        <w:ind w:left="1440" w:hanging="360"/>
      </w:pPr>
    </w:lvl>
    <w:lvl w:ilvl="2" w:tplc="8D766A76">
      <w:start w:val="3"/>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2D855C2"/>
    <w:multiLevelType w:val="hybridMultilevel"/>
    <w:tmpl w:val="7F6CD4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D663FB1"/>
    <w:multiLevelType w:val="hybridMultilevel"/>
    <w:tmpl w:val="156AED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F4B73B3"/>
    <w:multiLevelType w:val="hybridMultilevel"/>
    <w:tmpl w:val="A99A0B6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F556477"/>
    <w:multiLevelType w:val="hybridMultilevel"/>
    <w:tmpl w:val="EB747DE0"/>
    <w:lvl w:ilvl="0" w:tplc="783E4290">
      <w:start w:val="1"/>
      <w:numFmt w:val="decimal"/>
      <w:lvlText w:val="%1)"/>
      <w:lvlJc w:val="left"/>
      <w:pPr>
        <w:tabs>
          <w:tab w:val="num" w:pos="720"/>
        </w:tabs>
        <w:ind w:left="720" w:hanging="360"/>
      </w:pPr>
    </w:lvl>
    <w:lvl w:ilvl="1" w:tplc="1EAAC12E">
      <w:start w:val="1"/>
      <w:numFmt w:val="decimal"/>
      <w:lvlText w:val="%2)"/>
      <w:lvlJc w:val="left"/>
      <w:pPr>
        <w:tabs>
          <w:tab w:val="num" w:pos="1440"/>
        </w:tabs>
        <w:ind w:left="1440" w:hanging="360"/>
      </w:pPr>
    </w:lvl>
    <w:lvl w:ilvl="2" w:tplc="9322F204" w:tentative="1">
      <w:start w:val="1"/>
      <w:numFmt w:val="decimal"/>
      <w:lvlText w:val="%3)"/>
      <w:lvlJc w:val="left"/>
      <w:pPr>
        <w:tabs>
          <w:tab w:val="num" w:pos="2160"/>
        </w:tabs>
        <w:ind w:left="2160" w:hanging="360"/>
      </w:pPr>
    </w:lvl>
    <w:lvl w:ilvl="3" w:tplc="0D44417C" w:tentative="1">
      <w:start w:val="1"/>
      <w:numFmt w:val="decimal"/>
      <w:lvlText w:val="%4)"/>
      <w:lvlJc w:val="left"/>
      <w:pPr>
        <w:tabs>
          <w:tab w:val="num" w:pos="2880"/>
        </w:tabs>
        <w:ind w:left="2880" w:hanging="360"/>
      </w:pPr>
    </w:lvl>
    <w:lvl w:ilvl="4" w:tplc="938AA138" w:tentative="1">
      <w:start w:val="1"/>
      <w:numFmt w:val="decimal"/>
      <w:lvlText w:val="%5)"/>
      <w:lvlJc w:val="left"/>
      <w:pPr>
        <w:tabs>
          <w:tab w:val="num" w:pos="3600"/>
        </w:tabs>
        <w:ind w:left="3600" w:hanging="360"/>
      </w:pPr>
    </w:lvl>
    <w:lvl w:ilvl="5" w:tplc="80F827E4" w:tentative="1">
      <w:start w:val="1"/>
      <w:numFmt w:val="decimal"/>
      <w:lvlText w:val="%6)"/>
      <w:lvlJc w:val="left"/>
      <w:pPr>
        <w:tabs>
          <w:tab w:val="num" w:pos="4320"/>
        </w:tabs>
        <w:ind w:left="4320" w:hanging="360"/>
      </w:pPr>
    </w:lvl>
    <w:lvl w:ilvl="6" w:tplc="BA70D292" w:tentative="1">
      <w:start w:val="1"/>
      <w:numFmt w:val="decimal"/>
      <w:lvlText w:val="%7)"/>
      <w:lvlJc w:val="left"/>
      <w:pPr>
        <w:tabs>
          <w:tab w:val="num" w:pos="5040"/>
        </w:tabs>
        <w:ind w:left="5040" w:hanging="360"/>
      </w:pPr>
    </w:lvl>
    <w:lvl w:ilvl="7" w:tplc="E0524916" w:tentative="1">
      <w:start w:val="1"/>
      <w:numFmt w:val="decimal"/>
      <w:lvlText w:val="%8)"/>
      <w:lvlJc w:val="left"/>
      <w:pPr>
        <w:tabs>
          <w:tab w:val="num" w:pos="5760"/>
        </w:tabs>
        <w:ind w:left="5760" w:hanging="360"/>
      </w:pPr>
    </w:lvl>
    <w:lvl w:ilvl="8" w:tplc="4BA69250" w:tentative="1">
      <w:start w:val="1"/>
      <w:numFmt w:val="decimal"/>
      <w:lvlText w:val="%9)"/>
      <w:lvlJc w:val="left"/>
      <w:pPr>
        <w:tabs>
          <w:tab w:val="num" w:pos="6480"/>
        </w:tabs>
        <w:ind w:left="6480" w:hanging="360"/>
      </w:pPr>
    </w:lvl>
  </w:abstractNum>
  <w:abstractNum w:abstractNumId="9" w15:restartNumberingAfterBreak="0">
    <w:nsid w:val="41081BD8"/>
    <w:multiLevelType w:val="multilevel"/>
    <w:tmpl w:val="C54A3F48"/>
    <w:lvl w:ilvl="0">
      <w:start w:val="1"/>
      <w:numFmt w:val="decimal"/>
      <w:lvlText w:val="%1."/>
      <w:lvlJc w:val="left"/>
      <w:pPr>
        <w:ind w:left="720" w:hanging="360"/>
      </w:pPr>
    </w:lvl>
    <w:lvl w:ilvl="1">
      <w:start w:val="3"/>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42811F23"/>
    <w:multiLevelType w:val="hybridMultilevel"/>
    <w:tmpl w:val="BE184B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5702091"/>
    <w:multiLevelType w:val="hybridMultilevel"/>
    <w:tmpl w:val="8604E8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B873FA5"/>
    <w:multiLevelType w:val="hybridMultilevel"/>
    <w:tmpl w:val="F6108F72"/>
    <w:lvl w:ilvl="0" w:tplc="04150011">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27076E"/>
    <w:multiLevelType w:val="hybridMultilevel"/>
    <w:tmpl w:val="23D85F4A"/>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4D91C3E"/>
    <w:multiLevelType w:val="hybridMultilevel"/>
    <w:tmpl w:val="06C61ADA"/>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0B92778"/>
    <w:multiLevelType w:val="hybridMultilevel"/>
    <w:tmpl w:val="7F6CD4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A3E001F"/>
    <w:multiLevelType w:val="hybridMultilevel"/>
    <w:tmpl w:val="B900CB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BEE1A2F"/>
    <w:multiLevelType w:val="hybridMultilevel"/>
    <w:tmpl w:val="FDD68582"/>
    <w:lvl w:ilvl="0" w:tplc="F35A6C6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11509298">
    <w:abstractNumId w:val="11"/>
  </w:num>
  <w:num w:numId="2" w16cid:durableId="1372804469">
    <w:abstractNumId w:val="17"/>
  </w:num>
  <w:num w:numId="3" w16cid:durableId="533612860">
    <w:abstractNumId w:val="7"/>
  </w:num>
  <w:num w:numId="4" w16cid:durableId="545794454">
    <w:abstractNumId w:val="10"/>
  </w:num>
  <w:num w:numId="5" w16cid:durableId="1964919121">
    <w:abstractNumId w:val="5"/>
  </w:num>
  <w:num w:numId="6" w16cid:durableId="12362061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46103349">
    <w:abstractNumId w:val="4"/>
  </w:num>
  <w:num w:numId="8" w16cid:durableId="92210669">
    <w:abstractNumId w:val="1"/>
  </w:num>
  <w:num w:numId="9" w16cid:durableId="1274436374">
    <w:abstractNumId w:val="14"/>
  </w:num>
  <w:num w:numId="10" w16cid:durableId="1620382125">
    <w:abstractNumId w:val="13"/>
  </w:num>
  <w:num w:numId="11" w16cid:durableId="1593780901">
    <w:abstractNumId w:val="15"/>
  </w:num>
  <w:num w:numId="12" w16cid:durableId="1506238999">
    <w:abstractNumId w:val="6"/>
  </w:num>
  <w:num w:numId="13" w16cid:durableId="2040466462">
    <w:abstractNumId w:val="0"/>
  </w:num>
  <w:num w:numId="14" w16cid:durableId="746003044">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81521023">
    <w:abstractNumId w:val="2"/>
  </w:num>
  <w:num w:numId="16" w16cid:durableId="1288970576">
    <w:abstractNumId w:val="12"/>
  </w:num>
  <w:num w:numId="17" w16cid:durableId="1877810274">
    <w:abstractNumId w:val="8"/>
  </w:num>
  <w:num w:numId="18" w16cid:durableId="6853330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63B"/>
    <w:rsid w:val="00003F2D"/>
    <w:rsid w:val="000066BC"/>
    <w:rsid w:val="00010D01"/>
    <w:rsid w:val="00015138"/>
    <w:rsid w:val="00024E0A"/>
    <w:rsid w:val="00027C8C"/>
    <w:rsid w:val="0003496D"/>
    <w:rsid w:val="000413BC"/>
    <w:rsid w:val="00041782"/>
    <w:rsid w:val="000441FB"/>
    <w:rsid w:val="000453A8"/>
    <w:rsid w:val="000468D1"/>
    <w:rsid w:val="000476D6"/>
    <w:rsid w:val="00050B8A"/>
    <w:rsid w:val="00052068"/>
    <w:rsid w:val="00052B24"/>
    <w:rsid w:val="0005466C"/>
    <w:rsid w:val="00055B48"/>
    <w:rsid w:val="000604DE"/>
    <w:rsid w:val="00060DF4"/>
    <w:rsid w:val="000675BD"/>
    <w:rsid w:val="0007489A"/>
    <w:rsid w:val="00075D47"/>
    <w:rsid w:val="0008052A"/>
    <w:rsid w:val="00081B90"/>
    <w:rsid w:val="00084288"/>
    <w:rsid w:val="00085682"/>
    <w:rsid w:val="000858C0"/>
    <w:rsid w:val="00090592"/>
    <w:rsid w:val="00092D69"/>
    <w:rsid w:val="0009334A"/>
    <w:rsid w:val="00095AFC"/>
    <w:rsid w:val="000A0D5A"/>
    <w:rsid w:val="000A2B2B"/>
    <w:rsid w:val="000A52CD"/>
    <w:rsid w:val="000A704B"/>
    <w:rsid w:val="000A728A"/>
    <w:rsid w:val="000B0136"/>
    <w:rsid w:val="000B1017"/>
    <w:rsid w:val="000B2321"/>
    <w:rsid w:val="000B3067"/>
    <w:rsid w:val="000B4FEB"/>
    <w:rsid w:val="000B5719"/>
    <w:rsid w:val="000B61F2"/>
    <w:rsid w:val="000C2E94"/>
    <w:rsid w:val="000C413F"/>
    <w:rsid w:val="000C4C4A"/>
    <w:rsid w:val="000D176E"/>
    <w:rsid w:val="000D27D7"/>
    <w:rsid w:val="000D5CE4"/>
    <w:rsid w:val="000E0E71"/>
    <w:rsid w:val="000E18D9"/>
    <w:rsid w:val="000E1C10"/>
    <w:rsid w:val="000E1F57"/>
    <w:rsid w:val="000E24B3"/>
    <w:rsid w:val="000E63B7"/>
    <w:rsid w:val="000F0300"/>
    <w:rsid w:val="00101198"/>
    <w:rsid w:val="00101AF8"/>
    <w:rsid w:val="001023C0"/>
    <w:rsid w:val="00103B84"/>
    <w:rsid w:val="00105CE1"/>
    <w:rsid w:val="0010602E"/>
    <w:rsid w:val="00113DFC"/>
    <w:rsid w:val="0011415A"/>
    <w:rsid w:val="00114DF0"/>
    <w:rsid w:val="00117E8E"/>
    <w:rsid w:val="00121027"/>
    <w:rsid w:val="001226FC"/>
    <w:rsid w:val="0013188A"/>
    <w:rsid w:val="00131C62"/>
    <w:rsid w:val="00133197"/>
    <w:rsid w:val="00134E61"/>
    <w:rsid w:val="00135C8A"/>
    <w:rsid w:val="001364F2"/>
    <w:rsid w:val="001373C7"/>
    <w:rsid w:val="001400E8"/>
    <w:rsid w:val="00141C7C"/>
    <w:rsid w:val="00145383"/>
    <w:rsid w:val="00150228"/>
    <w:rsid w:val="00153679"/>
    <w:rsid w:val="00153A04"/>
    <w:rsid w:val="001566E4"/>
    <w:rsid w:val="00161EC6"/>
    <w:rsid w:val="00164AF9"/>
    <w:rsid w:val="00166405"/>
    <w:rsid w:val="0017117A"/>
    <w:rsid w:val="00173DD5"/>
    <w:rsid w:val="00177113"/>
    <w:rsid w:val="0018257E"/>
    <w:rsid w:val="00185A42"/>
    <w:rsid w:val="00193624"/>
    <w:rsid w:val="00196541"/>
    <w:rsid w:val="001A1AE0"/>
    <w:rsid w:val="001A2772"/>
    <w:rsid w:val="001A311B"/>
    <w:rsid w:val="001B28BC"/>
    <w:rsid w:val="001B45C7"/>
    <w:rsid w:val="001B4CAB"/>
    <w:rsid w:val="001B650B"/>
    <w:rsid w:val="001B6C5E"/>
    <w:rsid w:val="001C209C"/>
    <w:rsid w:val="001C32FB"/>
    <w:rsid w:val="001C3349"/>
    <w:rsid w:val="001C3AD5"/>
    <w:rsid w:val="001C3E1F"/>
    <w:rsid w:val="001C6355"/>
    <w:rsid w:val="001C7AA2"/>
    <w:rsid w:val="001D27CB"/>
    <w:rsid w:val="001D2D86"/>
    <w:rsid w:val="001D4B97"/>
    <w:rsid w:val="001D54B3"/>
    <w:rsid w:val="001E3707"/>
    <w:rsid w:val="001E4CA4"/>
    <w:rsid w:val="001E681D"/>
    <w:rsid w:val="001E75A0"/>
    <w:rsid w:val="001E79E3"/>
    <w:rsid w:val="001F0B5B"/>
    <w:rsid w:val="001F2A0D"/>
    <w:rsid w:val="001F4EE7"/>
    <w:rsid w:val="001F5023"/>
    <w:rsid w:val="002002EC"/>
    <w:rsid w:val="002043B2"/>
    <w:rsid w:val="002124FC"/>
    <w:rsid w:val="0021270C"/>
    <w:rsid w:val="00213448"/>
    <w:rsid w:val="0022194F"/>
    <w:rsid w:val="0022248D"/>
    <w:rsid w:val="00231B9B"/>
    <w:rsid w:val="0023215B"/>
    <w:rsid w:val="00234351"/>
    <w:rsid w:val="00234495"/>
    <w:rsid w:val="0023518C"/>
    <w:rsid w:val="0023614A"/>
    <w:rsid w:val="00236DDB"/>
    <w:rsid w:val="00240DBF"/>
    <w:rsid w:val="002525F7"/>
    <w:rsid w:val="00253310"/>
    <w:rsid w:val="0025761D"/>
    <w:rsid w:val="0026405C"/>
    <w:rsid w:val="00264936"/>
    <w:rsid w:val="0027047B"/>
    <w:rsid w:val="002754C2"/>
    <w:rsid w:val="002838E8"/>
    <w:rsid w:val="002867A0"/>
    <w:rsid w:val="00291417"/>
    <w:rsid w:val="0029476B"/>
    <w:rsid w:val="002A2215"/>
    <w:rsid w:val="002A4151"/>
    <w:rsid w:val="002A4C8D"/>
    <w:rsid w:val="002A534B"/>
    <w:rsid w:val="002B179D"/>
    <w:rsid w:val="002B4B86"/>
    <w:rsid w:val="002B5B90"/>
    <w:rsid w:val="002B6DFD"/>
    <w:rsid w:val="002C1F05"/>
    <w:rsid w:val="002C4E8B"/>
    <w:rsid w:val="002D49AA"/>
    <w:rsid w:val="002E3400"/>
    <w:rsid w:val="002E3E47"/>
    <w:rsid w:val="002E407B"/>
    <w:rsid w:val="002E750D"/>
    <w:rsid w:val="002F17F4"/>
    <w:rsid w:val="002F283B"/>
    <w:rsid w:val="002F2FC0"/>
    <w:rsid w:val="003023F6"/>
    <w:rsid w:val="00302499"/>
    <w:rsid w:val="003071F7"/>
    <w:rsid w:val="00310F23"/>
    <w:rsid w:val="00312399"/>
    <w:rsid w:val="003152A0"/>
    <w:rsid w:val="00324491"/>
    <w:rsid w:val="00325972"/>
    <w:rsid w:val="003308AE"/>
    <w:rsid w:val="00332323"/>
    <w:rsid w:val="00336245"/>
    <w:rsid w:val="00344EAB"/>
    <w:rsid w:val="00346C33"/>
    <w:rsid w:val="00362585"/>
    <w:rsid w:val="00367C81"/>
    <w:rsid w:val="00370DE4"/>
    <w:rsid w:val="003720FC"/>
    <w:rsid w:val="003874A2"/>
    <w:rsid w:val="0039038D"/>
    <w:rsid w:val="003935B1"/>
    <w:rsid w:val="003A2AB0"/>
    <w:rsid w:val="003A45DC"/>
    <w:rsid w:val="003A5E25"/>
    <w:rsid w:val="003B2F91"/>
    <w:rsid w:val="003B5901"/>
    <w:rsid w:val="003B6B9A"/>
    <w:rsid w:val="003C17F8"/>
    <w:rsid w:val="003C23D7"/>
    <w:rsid w:val="003C2720"/>
    <w:rsid w:val="003C359F"/>
    <w:rsid w:val="003C78D7"/>
    <w:rsid w:val="003D08EE"/>
    <w:rsid w:val="003D10A2"/>
    <w:rsid w:val="003D185A"/>
    <w:rsid w:val="003D1E81"/>
    <w:rsid w:val="003D1F77"/>
    <w:rsid w:val="003D7D0B"/>
    <w:rsid w:val="003E4547"/>
    <w:rsid w:val="003E50DE"/>
    <w:rsid w:val="003E5A07"/>
    <w:rsid w:val="003E7EFA"/>
    <w:rsid w:val="003F1C90"/>
    <w:rsid w:val="003F2A76"/>
    <w:rsid w:val="003F2A79"/>
    <w:rsid w:val="003F39A0"/>
    <w:rsid w:val="003F61B2"/>
    <w:rsid w:val="003F66E1"/>
    <w:rsid w:val="00400933"/>
    <w:rsid w:val="00402975"/>
    <w:rsid w:val="00405834"/>
    <w:rsid w:val="0041573A"/>
    <w:rsid w:val="00415C13"/>
    <w:rsid w:val="00416AF0"/>
    <w:rsid w:val="00421865"/>
    <w:rsid w:val="00423BFB"/>
    <w:rsid w:val="004356FA"/>
    <w:rsid w:val="0043736D"/>
    <w:rsid w:val="00441550"/>
    <w:rsid w:val="00441F9B"/>
    <w:rsid w:val="004441E2"/>
    <w:rsid w:val="004562E8"/>
    <w:rsid w:val="004565C3"/>
    <w:rsid w:val="00456635"/>
    <w:rsid w:val="00457EC8"/>
    <w:rsid w:val="00460D30"/>
    <w:rsid w:val="0046415B"/>
    <w:rsid w:val="0046628B"/>
    <w:rsid w:val="00473BD3"/>
    <w:rsid w:val="00477C8A"/>
    <w:rsid w:val="00481526"/>
    <w:rsid w:val="00482750"/>
    <w:rsid w:val="004934DA"/>
    <w:rsid w:val="00495C2E"/>
    <w:rsid w:val="00496704"/>
    <w:rsid w:val="004A4673"/>
    <w:rsid w:val="004A5359"/>
    <w:rsid w:val="004A67B6"/>
    <w:rsid w:val="004B0373"/>
    <w:rsid w:val="004B3746"/>
    <w:rsid w:val="004C1F06"/>
    <w:rsid w:val="004C23CF"/>
    <w:rsid w:val="004C2479"/>
    <w:rsid w:val="004C5EBA"/>
    <w:rsid w:val="004C6617"/>
    <w:rsid w:val="004C7C05"/>
    <w:rsid w:val="004D3DA1"/>
    <w:rsid w:val="004D54BE"/>
    <w:rsid w:val="004D5A2D"/>
    <w:rsid w:val="004D76EB"/>
    <w:rsid w:val="004E1E2D"/>
    <w:rsid w:val="004F0CE6"/>
    <w:rsid w:val="00504166"/>
    <w:rsid w:val="00513332"/>
    <w:rsid w:val="00517A1F"/>
    <w:rsid w:val="00521E69"/>
    <w:rsid w:val="00530330"/>
    <w:rsid w:val="005323FC"/>
    <w:rsid w:val="00533D51"/>
    <w:rsid w:val="0054006A"/>
    <w:rsid w:val="00547805"/>
    <w:rsid w:val="0055299E"/>
    <w:rsid w:val="00552EFC"/>
    <w:rsid w:val="00555795"/>
    <w:rsid w:val="005613A5"/>
    <w:rsid w:val="005648D4"/>
    <w:rsid w:val="0056676C"/>
    <w:rsid w:val="00571256"/>
    <w:rsid w:val="005720B7"/>
    <w:rsid w:val="00572138"/>
    <w:rsid w:val="0057380F"/>
    <w:rsid w:val="0057603E"/>
    <w:rsid w:val="00577E88"/>
    <w:rsid w:val="00581EAE"/>
    <w:rsid w:val="005871F9"/>
    <w:rsid w:val="00587D05"/>
    <w:rsid w:val="005915AE"/>
    <w:rsid w:val="00594D5C"/>
    <w:rsid w:val="00596C37"/>
    <w:rsid w:val="005A3B1D"/>
    <w:rsid w:val="005A6DB7"/>
    <w:rsid w:val="005B1E70"/>
    <w:rsid w:val="005B6F4C"/>
    <w:rsid w:val="005C0C5D"/>
    <w:rsid w:val="005C7C59"/>
    <w:rsid w:val="005D5F33"/>
    <w:rsid w:val="005F0ECB"/>
    <w:rsid w:val="005F1ABB"/>
    <w:rsid w:val="005F55F7"/>
    <w:rsid w:val="0060208C"/>
    <w:rsid w:val="00602418"/>
    <w:rsid w:val="00607F72"/>
    <w:rsid w:val="00611447"/>
    <w:rsid w:val="00612EA3"/>
    <w:rsid w:val="00613198"/>
    <w:rsid w:val="00613FE5"/>
    <w:rsid w:val="00617EE5"/>
    <w:rsid w:val="00621339"/>
    <w:rsid w:val="0063466C"/>
    <w:rsid w:val="00634ED9"/>
    <w:rsid w:val="00635266"/>
    <w:rsid w:val="00635E10"/>
    <w:rsid w:val="00640A75"/>
    <w:rsid w:val="006473E1"/>
    <w:rsid w:val="00647984"/>
    <w:rsid w:val="006563DA"/>
    <w:rsid w:val="00670060"/>
    <w:rsid w:val="00674AFE"/>
    <w:rsid w:val="006757B0"/>
    <w:rsid w:val="006814D0"/>
    <w:rsid w:val="00690270"/>
    <w:rsid w:val="006905DC"/>
    <w:rsid w:val="00691649"/>
    <w:rsid w:val="0069281E"/>
    <w:rsid w:val="00696706"/>
    <w:rsid w:val="006974E8"/>
    <w:rsid w:val="006A4DCB"/>
    <w:rsid w:val="006A5FD6"/>
    <w:rsid w:val="006A60E9"/>
    <w:rsid w:val="006B0C3A"/>
    <w:rsid w:val="006B10D0"/>
    <w:rsid w:val="006B4DB6"/>
    <w:rsid w:val="006B74CB"/>
    <w:rsid w:val="006D060F"/>
    <w:rsid w:val="006E0AA1"/>
    <w:rsid w:val="006E206E"/>
    <w:rsid w:val="006E24C8"/>
    <w:rsid w:val="006E4B2F"/>
    <w:rsid w:val="006E7A41"/>
    <w:rsid w:val="006F0013"/>
    <w:rsid w:val="006F026E"/>
    <w:rsid w:val="006F2176"/>
    <w:rsid w:val="0070273D"/>
    <w:rsid w:val="00710DC8"/>
    <w:rsid w:val="00712056"/>
    <w:rsid w:val="00712A8A"/>
    <w:rsid w:val="00712ACC"/>
    <w:rsid w:val="00716124"/>
    <w:rsid w:val="00717D39"/>
    <w:rsid w:val="00722871"/>
    <w:rsid w:val="00740F63"/>
    <w:rsid w:val="007431B4"/>
    <w:rsid w:val="00743857"/>
    <w:rsid w:val="00750451"/>
    <w:rsid w:val="0075064D"/>
    <w:rsid w:val="00751E6F"/>
    <w:rsid w:val="00752ECD"/>
    <w:rsid w:val="0075324F"/>
    <w:rsid w:val="007559F0"/>
    <w:rsid w:val="00756972"/>
    <w:rsid w:val="00761BC8"/>
    <w:rsid w:val="00783D03"/>
    <w:rsid w:val="00784A8E"/>
    <w:rsid w:val="00791AE3"/>
    <w:rsid w:val="00792145"/>
    <w:rsid w:val="007932AC"/>
    <w:rsid w:val="007A0F65"/>
    <w:rsid w:val="007A1E23"/>
    <w:rsid w:val="007A6E78"/>
    <w:rsid w:val="007B2B4E"/>
    <w:rsid w:val="007B64F3"/>
    <w:rsid w:val="007B6CE2"/>
    <w:rsid w:val="007B71D2"/>
    <w:rsid w:val="007C238C"/>
    <w:rsid w:val="007C263B"/>
    <w:rsid w:val="007C3B71"/>
    <w:rsid w:val="007C496C"/>
    <w:rsid w:val="007C7112"/>
    <w:rsid w:val="007C77B8"/>
    <w:rsid w:val="007C7B06"/>
    <w:rsid w:val="007C7E91"/>
    <w:rsid w:val="007C7F00"/>
    <w:rsid w:val="007D072D"/>
    <w:rsid w:val="007D1F92"/>
    <w:rsid w:val="007D4AD9"/>
    <w:rsid w:val="007E01F2"/>
    <w:rsid w:val="007E32DB"/>
    <w:rsid w:val="007E75E1"/>
    <w:rsid w:val="007F0521"/>
    <w:rsid w:val="007F0A81"/>
    <w:rsid w:val="007F2C14"/>
    <w:rsid w:val="007F2FA2"/>
    <w:rsid w:val="00801B5C"/>
    <w:rsid w:val="0080524F"/>
    <w:rsid w:val="00813DD6"/>
    <w:rsid w:val="00817E82"/>
    <w:rsid w:val="00822E3D"/>
    <w:rsid w:val="00823825"/>
    <w:rsid w:val="0082603E"/>
    <w:rsid w:val="00831BCC"/>
    <w:rsid w:val="00831D5F"/>
    <w:rsid w:val="008347DB"/>
    <w:rsid w:val="008404C8"/>
    <w:rsid w:val="00845B4D"/>
    <w:rsid w:val="00850D87"/>
    <w:rsid w:val="00852CE4"/>
    <w:rsid w:val="00857DF3"/>
    <w:rsid w:val="008610B1"/>
    <w:rsid w:val="00863880"/>
    <w:rsid w:val="00865552"/>
    <w:rsid w:val="008675E3"/>
    <w:rsid w:val="00867AEE"/>
    <w:rsid w:val="00871662"/>
    <w:rsid w:val="00874A5D"/>
    <w:rsid w:val="00893553"/>
    <w:rsid w:val="008959BF"/>
    <w:rsid w:val="00896108"/>
    <w:rsid w:val="00896758"/>
    <w:rsid w:val="008A03E1"/>
    <w:rsid w:val="008B4FE0"/>
    <w:rsid w:val="008C10C1"/>
    <w:rsid w:val="008C4899"/>
    <w:rsid w:val="008C5290"/>
    <w:rsid w:val="008C7270"/>
    <w:rsid w:val="008D0879"/>
    <w:rsid w:val="008D61C3"/>
    <w:rsid w:val="008D751E"/>
    <w:rsid w:val="008E07FA"/>
    <w:rsid w:val="008E13D2"/>
    <w:rsid w:val="008E4BB0"/>
    <w:rsid w:val="008F35AB"/>
    <w:rsid w:val="008F6244"/>
    <w:rsid w:val="009016C5"/>
    <w:rsid w:val="00902523"/>
    <w:rsid w:val="00902A82"/>
    <w:rsid w:val="0090456C"/>
    <w:rsid w:val="00906607"/>
    <w:rsid w:val="00911838"/>
    <w:rsid w:val="0091252C"/>
    <w:rsid w:val="00913974"/>
    <w:rsid w:val="00915F56"/>
    <w:rsid w:val="009161DD"/>
    <w:rsid w:val="00916A5E"/>
    <w:rsid w:val="00921EDE"/>
    <w:rsid w:val="00925345"/>
    <w:rsid w:val="009317C2"/>
    <w:rsid w:val="0093239B"/>
    <w:rsid w:val="00935A40"/>
    <w:rsid w:val="00946577"/>
    <w:rsid w:val="00946882"/>
    <w:rsid w:val="00950317"/>
    <w:rsid w:val="00950C37"/>
    <w:rsid w:val="0095222F"/>
    <w:rsid w:val="00955795"/>
    <w:rsid w:val="00957560"/>
    <w:rsid w:val="00960AE7"/>
    <w:rsid w:val="00961AC9"/>
    <w:rsid w:val="009639A6"/>
    <w:rsid w:val="00966BA2"/>
    <w:rsid w:val="009742C3"/>
    <w:rsid w:val="0097481D"/>
    <w:rsid w:val="00976401"/>
    <w:rsid w:val="0098461E"/>
    <w:rsid w:val="009848E8"/>
    <w:rsid w:val="009874BD"/>
    <w:rsid w:val="00991EAE"/>
    <w:rsid w:val="00993738"/>
    <w:rsid w:val="0099491C"/>
    <w:rsid w:val="00994C93"/>
    <w:rsid w:val="00995F22"/>
    <w:rsid w:val="009B0A8F"/>
    <w:rsid w:val="009B2F6B"/>
    <w:rsid w:val="009B3172"/>
    <w:rsid w:val="009B36BB"/>
    <w:rsid w:val="009C2859"/>
    <w:rsid w:val="009C5A2A"/>
    <w:rsid w:val="009E0E0A"/>
    <w:rsid w:val="009E6796"/>
    <w:rsid w:val="009E6E51"/>
    <w:rsid w:val="009F062F"/>
    <w:rsid w:val="009F205C"/>
    <w:rsid w:val="009F28EB"/>
    <w:rsid w:val="009F75C8"/>
    <w:rsid w:val="00A01519"/>
    <w:rsid w:val="00A02B5C"/>
    <w:rsid w:val="00A035FA"/>
    <w:rsid w:val="00A044CA"/>
    <w:rsid w:val="00A052C1"/>
    <w:rsid w:val="00A05CED"/>
    <w:rsid w:val="00A05F28"/>
    <w:rsid w:val="00A20761"/>
    <w:rsid w:val="00A31158"/>
    <w:rsid w:val="00A326EF"/>
    <w:rsid w:val="00A3613D"/>
    <w:rsid w:val="00A40A04"/>
    <w:rsid w:val="00A4202A"/>
    <w:rsid w:val="00A44091"/>
    <w:rsid w:val="00A446A6"/>
    <w:rsid w:val="00A45E1B"/>
    <w:rsid w:val="00A47641"/>
    <w:rsid w:val="00A50244"/>
    <w:rsid w:val="00A5027E"/>
    <w:rsid w:val="00A523C0"/>
    <w:rsid w:val="00A52BAA"/>
    <w:rsid w:val="00A5404E"/>
    <w:rsid w:val="00A6038A"/>
    <w:rsid w:val="00A61252"/>
    <w:rsid w:val="00A64CBA"/>
    <w:rsid w:val="00A706B8"/>
    <w:rsid w:val="00A70D0B"/>
    <w:rsid w:val="00A7350F"/>
    <w:rsid w:val="00A738B1"/>
    <w:rsid w:val="00A73B2D"/>
    <w:rsid w:val="00A73EEE"/>
    <w:rsid w:val="00A74805"/>
    <w:rsid w:val="00A758E8"/>
    <w:rsid w:val="00A759C0"/>
    <w:rsid w:val="00A77025"/>
    <w:rsid w:val="00A85906"/>
    <w:rsid w:val="00A870BE"/>
    <w:rsid w:val="00A924B5"/>
    <w:rsid w:val="00A9738A"/>
    <w:rsid w:val="00AA18C2"/>
    <w:rsid w:val="00AA62EA"/>
    <w:rsid w:val="00AA69E8"/>
    <w:rsid w:val="00AB23DB"/>
    <w:rsid w:val="00AC4747"/>
    <w:rsid w:val="00AC4BBC"/>
    <w:rsid w:val="00AC65B1"/>
    <w:rsid w:val="00AD7194"/>
    <w:rsid w:val="00AE037E"/>
    <w:rsid w:val="00AE4FB3"/>
    <w:rsid w:val="00AE6165"/>
    <w:rsid w:val="00AF1D58"/>
    <w:rsid w:val="00AF3E23"/>
    <w:rsid w:val="00AF4A03"/>
    <w:rsid w:val="00AF7336"/>
    <w:rsid w:val="00B011EA"/>
    <w:rsid w:val="00B03528"/>
    <w:rsid w:val="00B04F9B"/>
    <w:rsid w:val="00B056EF"/>
    <w:rsid w:val="00B05C96"/>
    <w:rsid w:val="00B07E0D"/>
    <w:rsid w:val="00B12270"/>
    <w:rsid w:val="00B21FA3"/>
    <w:rsid w:val="00B22C48"/>
    <w:rsid w:val="00B36147"/>
    <w:rsid w:val="00B37989"/>
    <w:rsid w:val="00B41FC9"/>
    <w:rsid w:val="00B43224"/>
    <w:rsid w:val="00B51069"/>
    <w:rsid w:val="00B52A0E"/>
    <w:rsid w:val="00B52A90"/>
    <w:rsid w:val="00B57D18"/>
    <w:rsid w:val="00B666EF"/>
    <w:rsid w:val="00B66A8A"/>
    <w:rsid w:val="00B7242B"/>
    <w:rsid w:val="00B7446C"/>
    <w:rsid w:val="00B74F61"/>
    <w:rsid w:val="00B763FF"/>
    <w:rsid w:val="00B76902"/>
    <w:rsid w:val="00B830C8"/>
    <w:rsid w:val="00B8323B"/>
    <w:rsid w:val="00B84325"/>
    <w:rsid w:val="00B846B3"/>
    <w:rsid w:val="00B861D7"/>
    <w:rsid w:val="00B925D8"/>
    <w:rsid w:val="00B92F0E"/>
    <w:rsid w:val="00B93B66"/>
    <w:rsid w:val="00B9403A"/>
    <w:rsid w:val="00BA0A24"/>
    <w:rsid w:val="00BA375F"/>
    <w:rsid w:val="00BA7E5A"/>
    <w:rsid w:val="00BB01F7"/>
    <w:rsid w:val="00BB30B6"/>
    <w:rsid w:val="00BB3E28"/>
    <w:rsid w:val="00BB68DF"/>
    <w:rsid w:val="00BB7B37"/>
    <w:rsid w:val="00BC450C"/>
    <w:rsid w:val="00BC6E18"/>
    <w:rsid w:val="00BC7829"/>
    <w:rsid w:val="00BC7E66"/>
    <w:rsid w:val="00BD2EB7"/>
    <w:rsid w:val="00BD3D9F"/>
    <w:rsid w:val="00BE10DF"/>
    <w:rsid w:val="00BE4F3D"/>
    <w:rsid w:val="00BE6A15"/>
    <w:rsid w:val="00BF11C7"/>
    <w:rsid w:val="00BF157B"/>
    <w:rsid w:val="00BF3701"/>
    <w:rsid w:val="00BF39DF"/>
    <w:rsid w:val="00BF79A7"/>
    <w:rsid w:val="00C001E1"/>
    <w:rsid w:val="00C02739"/>
    <w:rsid w:val="00C02F01"/>
    <w:rsid w:val="00C03A62"/>
    <w:rsid w:val="00C04055"/>
    <w:rsid w:val="00C055FE"/>
    <w:rsid w:val="00C07D32"/>
    <w:rsid w:val="00C124BF"/>
    <w:rsid w:val="00C17AEA"/>
    <w:rsid w:val="00C2198E"/>
    <w:rsid w:val="00C30526"/>
    <w:rsid w:val="00C308AE"/>
    <w:rsid w:val="00C340CD"/>
    <w:rsid w:val="00C45A17"/>
    <w:rsid w:val="00C45A70"/>
    <w:rsid w:val="00C45E35"/>
    <w:rsid w:val="00C45E74"/>
    <w:rsid w:val="00C539C0"/>
    <w:rsid w:val="00C65E86"/>
    <w:rsid w:val="00C661C8"/>
    <w:rsid w:val="00C67AFA"/>
    <w:rsid w:val="00C71D0D"/>
    <w:rsid w:val="00C74BF6"/>
    <w:rsid w:val="00C75112"/>
    <w:rsid w:val="00C8374B"/>
    <w:rsid w:val="00C84B3A"/>
    <w:rsid w:val="00C85495"/>
    <w:rsid w:val="00C872DB"/>
    <w:rsid w:val="00CA2DEA"/>
    <w:rsid w:val="00CA540E"/>
    <w:rsid w:val="00CB47AC"/>
    <w:rsid w:val="00CC0A1E"/>
    <w:rsid w:val="00CC1744"/>
    <w:rsid w:val="00CC2864"/>
    <w:rsid w:val="00CC3E79"/>
    <w:rsid w:val="00CC49FB"/>
    <w:rsid w:val="00CC53B5"/>
    <w:rsid w:val="00CD3E3E"/>
    <w:rsid w:val="00CD4036"/>
    <w:rsid w:val="00CD7C8B"/>
    <w:rsid w:val="00CD7FE6"/>
    <w:rsid w:val="00CE3029"/>
    <w:rsid w:val="00CE5AEC"/>
    <w:rsid w:val="00CF1D11"/>
    <w:rsid w:val="00CF4B5F"/>
    <w:rsid w:val="00D010D1"/>
    <w:rsid w:val="00D03AD3"/>
    <w:rsid w:val="00D06ED5"/>
    <w:rsid w:val="00D07396"/>
    <w:rsid w:val="00D16B44"/>
    <w:rsid w:val="00D27FAD"/>
    <w:rsid w:val="00D321AF"/>
    <w:rsid w:val="00D32D6E"/>
    <w:rsid w:val="00D33B12"/>
    <w:rsid w:val="00D3645B"/>
    <w:rsid w:val="00D40E37"/>
    <w:rsid w:val="00D42AD6"/>
    <w:rsid w:val="00D46405"/>
    <w:rsid w:val="00D57259"/>
    <w:rsid w:val="00D575F9"/>
    <w:rsid w:val="00D64B92"/>
    <w:rsid w:val="00D740E1"/>
    <w:rsid w:val="00D7578B"/>
    <w:rsid w:val="00D77A43"/>
    <w:rsid w:val="00D818CE"/>
    <w:rsid w:val="00D839C9"/>
    <w:rsid w:val="00D83C83"/>
    <w:rsid w:val="00D83CC9"/>
    <w:rsid w:val="00D9250F"/>
    <w:rsid w:val="00DA3FFB"/>
    <w:rsid w:val="00DA67C2"/>
    <w:rsid w:val="00DB5FC1"/>
    <w:rsid w:val="00DC5081"/>
    <w:rsid w:val="00DC783D"/>
    <w:rsid w:val="00DD21CB"/>
    <w:rsid w:val="00DD7CBF"/>
    <w:rsid w:val="00DE6A7E"/>
    <w:rsid w:val="00DF0E36"/>
    <w:rsid w:val="00DF6A31"/>
    <w:rsid w:val="00DF7AF2"/>
    <w:rsid w:val="00DF7F96"/>
    <w:rsid w:val="00E006C2"/>
    <w:rsid w:val="00E01E7A"/>
    <w:rsid w:val="00E03615"/>
    <w:rsid w:val="00E06314"/>
    <w:rsid w:val="00E15028"/>
    <w:rsid w:val="00E22DA0"/>
    <w:rsid w:val="00E251A7"/>
    <w:rsid w:val="00E33955"/>
    <w:rsid w:val="00E3420A"/>
    <w:rsid w:val="00E351C7"/>
    <w:rsid w:val="00E375A0"/>
    <w:rsid w:val="00E515BA"/>
    <w:rsid w:val="00E52A5F"/>
    <w:rsid w:val="00E532E4"/>
    <w:rsid w:val="00E565C2"/>
    <w:rsid w:val="00E573D1"/>
    <w:rsid w:val="00E607F8"/>
    <w:rsid w:val="00E61057"/>
    <w:rsid w:val="00E631E9"/>
    <w:rsid w:val="00E637C0"/>
    <w:rsid w:val="00E672C4"/>
    <w:rsid w:val="00E812E4"/>
    <w:rsid w:val="00E81594"/>
    <w:rsid w:val="00E81A35"/>
    <w:rsid w:val="00E82F35"/>
    <w:rsid w:val="00E836CC"/>
    <w:rsid w:val="00E873E5"/>
    <w:rsid w:val="00E92441"/>
    <w:rsid w:val="00EA012B"/>
    <w:rsid w:val="00EA0198"/>
    <w:rsid w:val="00EA1CE9"/>
    <w:rsid w:val="00EA23A9"/>
    <w:rsid w:val="00EA751E"/>
    <w:rsid w:val="00EB051A"/>
    <w:rsid w:val="00EC01C5"/>
    <w:rsid w:val="00EC3431"/>
    <w:rsid w:val="00EC35D0"/>
    <w:rsid w:val="00EC36A5"/>
    <w:rsid w:val="00EC47FA"/>
    <w:rsid w:val="00ED54C8"/>
    <w:rsid w:val="00ED5A8A"/>
    <w:rsid w:val="00EE35C2"/>
    <w:rsid w:val="00EE372D"/>
    <w:rsid w:val="00EF0700"/>
    <w:rsid w:val="00EF1747"/>
    <w:rsid w:val="00EF320E"/>
    <w:rsid w:val="00EF625D"/>
    <w:rsid w:val="00EF7187"/>
    <w:rsid w:val="00F04B9F"/>
    <w:rsid w:val="00F11459"/>
    <w:rsid w:val="00F2259E"/>
    <w:rsid w:val="00F234FF"/>
    <w:rsid w:val="00F24067"/>
    <w:rsid w:val="00F27696"/>
    <w:rsid w:val="00F31BE3"/>
    <w:rsid w:val="00F32D23"/>
    <w:rsid w:val="00F407B7"/>
    <w:rsid w:val="00F421E8"/>
    <w:rsid w:val="00F45012"/>
    <w:rsid w:val="00F50E2C"/>
    <w:rsid w:val="00F56A1A"/>
    <w:rsid w:val="00F6173B"/>
    <w:rsid w:val="00F6255A"/>
    <w:rsid w:val="00F64594"/>
    <w:rsid w:val="00F742B1"/>
    <w:rsid w:val="00F75114"/>
    <w:rsid w:val="00F77421"/>
    <w:rsid w:val="00F81EA0"/>
    <w:rsid w:val="00F82582"/>
    <w:rsid w:val="00F83BE0"/>
    <w:rsid w:val="00F85658"/>
    <w:rsid w:val="00F869CA"/>
    <w:rsid w:val="00F8732E"/>
    <w:rsid w:val="00F87670"/>
    <w:rsid w:val="00F91FAC"/>
    <w:rsid w:val="00FA401C"/>
    <w:rsid w:val="00FA61EF"/>
    <w:rsid w:val="00FA6570"/>
    <w:rsid w:val="00FA69C1"/>
    <w:rsid w:val="00FB4958"/>
    <w:rsid w:val="00FC6407"/>
    <w:rsid w:val="00FC7740"/>
    <w:rsid w:val="00FD099E"/>
    <w:rsid w:val="00FD2298"/>
    <w:rsid w:val="00FD274D"/>
    <w:rsid w:val="00FD328C"/>
    <w:rsid w:val="00FE333C"/>
    <w:rsid w:val="00FE5691"/>
    <w:rsid w:val="00FF1729"/>
    <w:rsid w:val="00FF43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EFD5F"/>
  <w15:docId w15:val="{C2D45AE8-7937-46AF-96AD-0615056EA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0F63"/>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3">
    <w:name w:val="Body Text Indent 3"/>
    <w:basedOn w:val="Normalny"/>
    <w:link w:val="Tekstpodstawowywcity3Znak"/>
    <w:rsid w:val="00740F63"/>
    <w:pPr>
      <w:widowControl/>
      <w:autoSpaceDE/>
      <w:autoSpaceDN/>
      <w:adjustRightInd/>
      <w:spacing w:after="120"/>
      <w:ind w:left="283" w:right="-360"/>
    </w:pPr>
    <w:rPr>
      <w:rFonts w:ascii="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740F63"/>
    <w:rPr>
      <w:rFonts w:ascii="Times New Roman" w:eastAsia="Times New Roman" w:hAnsi="Times New Roman" w:cs="Times New Roman"/>
      <w:sz w:val="16"/>
      <w:szCs w:val="16"/>
      <w:lang w:eastAsia="pl-PL"/>
    </w:rPr>
  </w:style>
  <w:style w:type="paragraph" w:styleId="Akapitzlist">
    <w:name w:val="List Paragraph"/>
    <w:basedOn w:val="Normalny"/>
    <w:link w:val="AkapitzlistZnak"/>
    <w:uiPriority w:val="34"/>
    <w:qFormat/>
    <w:rsid w:val="00121027"/>
    <w:pPr>
      <w:ind w:left="720"/>
      <w:contextualSpacing/>
    </w:pPr>
  </w:style>
  <w:style w:type="character" w:styleId="Odwoaniedokomentarza">
    <w:name w:val="annotation reference"/>
    <w:basedOn w:val="Domylnaczcionkaakapitu"/>
    <w:uiPriority w:val="99"/>
    <w:unhideWhenUsed/>
    <w:rsid w:val="000453A8"/>
    <w:rPr>
      <w:sz w:val="16"/>
      <w:szCs w:val="16"/>
    </w:rPr>
  </w:style>
  <w:style w:type="paragraph" w:styleId="Tekstkomentarza">
    <w:name w:val="annotation text"/>
    <w:basedOn w:val="Normalny"/>
    <w:link w:val="TekstkomentarzaZnak"/>
    <w:uiPriority w:val="99"/>
    <w:unhideWhenUsed/>
    <w:rsid w:val="000453A8"/>
  </w:style>
  <w:style w:type="character" w:customStyle="1" w:styleId="TekstkomentarzaZnak">
    <w:name w:val="Tekst komentarza Znak"/>
    <w:basedOn w:val="Domylnaczcionkaakapitu"/>
    <w:link w:val="Tekstkomentarza"/>
    <w:uiPriority w:val="99"/>
    <w:rsid w:val="000453A8"/>
    <w:rPr>
      <w:rFonts w:ascii="Arial" w:eastAsia="Times New Roman" w:hAnsi="Arial"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0453A8"/>
    <w:rPr>
      <w:b/>
      <w:bCs/>
    </w:rPr>
  </w:style>
  <w:style w:type="character" w:customStyle="1" w:styleId="TematkomentarzaZnak">
    <w:name w:val="Temat komentarza Znak"/>
    <w:basedOn w:val="TekstkomentarzaZnak"/>
    <w:link w:val="Tematkomentarza"/>
    <w:uiPriority w:val="99"/>
    <w:semiHidden/>
    <w:rsid w:val="000453A8"/>
    <w:rPr>
      <w:rFonts w:ascii="Arial" w:eastAsia="Times New Roman" w:hAnsi="Arial" w:cs="Arial"/>
      <w:b/>
      <w:bCs/>
      <w:sz w:val="20"/>
      <w:szCs w:val="20"/>
      <w:lang w:eastAsia="pl-PL"/>
    </w:rPr>
  </w:style>
  <w:style w:type="paragraph" w:styleId="Tekstdymka">
    <w:name w:val="Balloon Text"/>
    <w:basedOn w:val="Normalny"/>
    <w:link w:val="TekstdymkaZnak"/>
    <w:uiPriority w:val="99"/>
    <w:semiHidden/>
    <w:unhideWhenUsed/>
    <w:rsid w:val="000453A8"/>
    <w:rPr>
      <w:rFonts w:ascii="Segoe UI" w:hAnsi="Segoe UI" w:cs="Segoe UI"/>
      <w:sz w:val="18"/>
      <w:szCs w:val="18"/>
    </w:rPr>
  </w:style>
  <w:style w:type="character" w:customStyle="1" w:styleId="TekstdymkaZnak">
    <w:name w:val="Tekst dymka Znak"/>
    <w:basedOn w:val="Domylnaczcionkaakapitu"/>
    <w:link w:val="Tekstdymka"/>
    <w:uiPriority w:val="99"/>
    <w:semiHidden/>
    <w:rsid w:val="000453A8"/>
    <w:rPr>
      <w:rFonts w:ascii="Segoe UI" w:eastAsia="Times New Roman" w:hAnsi="Segoe UI" w:cs="Segoe UI"/>
      <w:sz w:val="18"/>
      <w:szCs w:val="18"/>
      <w:lang w:eastAsia="pl-PL"/>
    </w:rPr>
  </w:style>
  <w:style w:type="paragraph" w:customStyle="1" w:styleId="USTustnpkodeksu">
    <w:name w:val="UST(§) – ust. (§ np. kodeksu)"/>
    <w:basedOn w:val="Normalny"/>
    <w:uiPriority w:val="12"/>
    <w:qFormat/>
    <w:rsid w:val="003B6B9A"/>
    <w:pPr>
      <w:widowControl/>
      <w:suppressAutoHyphens/>
      <w:spacing w:line="360" w:lineRule="auto"/>
      <w:ind w:firstLine="510"/>
      <w:jc w:val="both"/>
    </w:pPr>
    <w:rPr>
      <w:rFonts w:ascii="Times" w:eastAsiaTheme="minorEastAsia" w:hAnsi="Times"/>
      <w:bCs/>
      <w:sz w:val="24"/>
    </w:rPr>
  </w:style>
  <w:style w:type="paragraph" w:customStyle="1" w:styleId="Tekstpodstawowy22">
    <w:name w:val="Tekst podstawowy 22"/>
    <w:basedOn w:val="Normalny"/>
    <w:rsid w:val="00C45E74"/>
    <w:pPr>
      <w:autoSpaceDE/>
      <w:autoSpaceDN/>
      <w:adjustRightInd/>
    </w:pPr>
    <w:rPr>
      <w:rFonts w:ascii="Times New Roman" w:hAnsi="Times New Roman" w:cs="Times New Roman"/>
      <w:sz w:val="24"/>
      <w:szCs w:val="24"/>
    </w:rPr>
  </w:style>
  <w:style w:type="paragraph" w:customStyle="1" w:styleId="Normalny1">
    <w:name w:val="Normalny1"/>
    <w:basedOn w:val="Normalny"/>
    <w:rsid w:val="00B925D8"/>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ARTartustawynprozporzdzenia">
    <w:name w:val="ART(§) – art. ustawy (§ np. rozporządzenia)"/>
    <w:uiPriority w:val="99"/>
    <w:qFormat/>
    <w:rsid w:val="001C3AD5"/>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PKTpunkt">
    <w:name w:val="PKT – punkt"/>
    <w:uiPriority w:val="13"/>
    <w:qFormat/>
    <w:rsid w:val="001C3AD5"/>
    <w:pPr>
      <w:spacing w:after="0" w:line="360" w:lineRule="auto"/>
      <w:ind w:left="510" w:hanging="510"/>
      <w:jc w:val="both"/>
    </w:pPr>
    <w:rPr>
      <w:rFonts w:ascii="Times" w:eastAsiaTheme="minorEastAsia" w:hAnsi="Times" w:cs="Arial"/>
      <w:bCs/>
      <w:sz w:val="24"/>
      <w:szCs w:val="20"/>
      <w:lang w:eastAsia="pl-PL"/>
    </w:rPr>
  </w:style>
  <w:style w:type="paragraph" w:customStyle="1" w:styleId="LITlitera">
    <w:name w:val="LIT – litera"/>
    <w:basedOn w:val="PKTpunkt"/>
    <w:uiPriority w:val="14"/>
    <w:qFormat/>
    <w:rsid w:val="0025761D"/>
    <w:pPr>
      <w:ind w:left="986" w:hanging="476"/>
    </w:pPr>
  </w:style>
  <w:style w:type="character" w:customStyle="1" w:styleId="st">
    <w:name w:val="st"/>
    <w:basedOn w:val="Domylnaczcionkaakapitu"/>
    <w:rsid w:val="00346C33"/>
  </w:style>
  <w:style w:type="paragraph" w:customStyle="1" w:styleId="ZPKTzmpktartykuempunktem">
    <w:name w:val="Z/PKT – zm. pkt artykułem (punktem)"/>
    <w:basedOn w:val="PKTpunkt"/>
    <w:uiPriority w:val="31"/>
    <w:qFormat/>
    <w:rsid w:val="009F205C"/>
    <w:pPr>
      <w:ind w:left="1020"/>
    </w:pPr>
  </w:style>
  <w:style w:type="paragraph" w:customStyle="1" w:styleId="ZUSTzmustartykuempunktem">
    <w:name w:val="Z/UST(§) – zm. ust. (§) artykułem (punktem)"/>
    <w:basedOn w:val="Normalny"/>
    <w:uiPriority w:val="30"/>
    <w:qFormat/>
    <w:rsid w:val="00481526"/>
    <w:pPr>
      <w:widowControl/>
      <w:suppressAutoHyphens/>
      <w:spacing w:line="360" w:lineRule="auto"/>
      <w:ind w:left="510" w:firstLine="510"/>
      <w:jc w:val="both"/>
    </w:pPr>
    <w:rPr>
      <w:rFonts w:ascii="Times" w:eastAsiaTheme="minorEastAsia" w:hAnsi="Times"/>
      <w:sz w:val="24"/>
    </w:rPr>
  </w:style>
  <w:style w:type="paragraph" w:customStyle="1" w:styleId="ZTIRPKTzmpkttiret">
    <w:name w:val="Z_TIR/PKT – zm. pkt tiret"/>
    <w:basedOn w:val="PKTpunkt"/>
    <w:uiPriority w:val="56"/>
    <w:qFormat/>
    <w:rsid w:val="00213448"/>
    <w:pPr>
      <w:ind w:left="1893"/>
    </w:pPr>
  </w:style>
  <w:style w:type="paragraph" w:customStyle="1" w:styleId="ZTIRUSTzmusttiret">
    <w:name w:val="Z_TIR/UST(§) – zm. ust. (§) tiret"/>
    <w:basedOn w:val="Normalny"/>
    <w:uiPriority w:val="55"/>
    <w:qFormat/>
    <w:rsid w:val="00213448"/>
    <w:pPr>
      <w:widowControl/>
      <w:autoSpaceDE/>
      <w:autoSpaceDN/>
      <w:adjustRightInd/>
      <w:spacing w:line="360" w:lineRule="auto"/>
      <w:ind w:left="1383" w:firstLine="510"/>
      <w:jc w:val="both"/>
    </w:pPr>
    <w:rPr>
      <w:rFonts w:ascii="Times New Roman" w:eastAsiaTheme="minorEastAsia" w:hAnsi="Times New Roman"/>
      <w:bCs/>
      <w:sz w:val="24"/>
    </w:rPr>
  </w:style>
  <w:style w:type="paragraph" w:customStyle="1" w:styleId="ZLITUSTzmustliter">
    <w:name w:val="Z_LIT/UST(§) – zm. ust. (§) literą"/>
    <w:basedOn w:val="USTustnpkodeksu"/>
    <w:uiPriority w:val="46"/>
    <w:qFormat/>
    <w:rsid w:val="00C8374B"/>
    <w:pPr>
      <w:ind w:left="987"/>
    </w:pPr>
  </w:style>
  <w:style w:type="paragraph" w:customStyle="1" w:styleId="ZLITPKTzmpktliter">
    <w:name w:val="Z_LIT/PKT – zm. pkt literą"/>
    <w:basedOn w:val="PKTpunkt"/>
    <w:uiPriority w:val="47"/>
    <w:qFormat/>
    <w:rsid w:val="00C8374B"/>
    <w:pPr>
      <w:ind w:left="1497"/>
    </w:pPr>
  </w:style>
  <w:style w:type="paragraph" w:styleId="Legenda">
    <w:name w:val="caption"/>
    <w:basedOn w:val="Normalny"/>
    <w:next w:val="Normalny"/>
    <w:unhideWhenUsed/>
    <w:qFormat/>
    <w:rsid w:val="005C7C59"/>
    <w:pPr>
      <w:widowControl/>
      <w:autoSpaceDE/>
      <w:autoSpaceDN/>
      <w:adjustRightInd/>
    </w:pPr>
    <w:rPr>
      <w:rFonts w:ascii="Times New Roman" w:hAnsi="Times New Roman" w:cs="Times New Roman"/>
      <w:b/>
      <w:bCs/>
    </w:rPr>
  </w:style>
  <w:style w:type="paragraph" w:styleId="Tekstprzypisudolnego">
    <w:name w:val="footnote text"/>
    <w:basedOn w:val="Normalny"/>
    <w:link w:val="TekstprzypisudolnegoZnak"/>
    <w:uiPriority w:val="99"/>
    <w:semiHidden/>
    <w:unhideWhenUsed/>
    <w:rsid w:val="000A2B2B"/>
  </w:style>
  <w:style w:type="character" w:customStyle="1" w:styleId="TekstprzypisudolnegoZnak">
    <w:name w:val="Tekst przypisu dolnego Znak"/>
    <w:basedOn w:val="Domylnaczcionkaakapitu"/>
    <w:link w:val="Tekstprzypisudolnego"/>
    <w:uiPriority w:val="99"/>
    <w:semiHidden/>
    <w:rsid w:val="000A2B2B"/>
    <w:rPr>
      <w:rFonts w:ascii="Arial" w:eastAsia="Times New Roman" w:hAnsi="Arial" w:cs="Arial"/>
      <w:sz w:val="20"/>
      <w:szCs w:val="20"/>
      <w:lang w:eastAsia="pl-PL"/>
    </w:rPr>
  </w:style>
  <w:style w:type="character" w:styleId="Odwoanieprzypisudolnego">
    <w:name w:val="footnote reference"/>
    <w:basedOn w:val="Domylnaczcionkaakapitu"/>
    <w:uiPriority w:val="99"/>
    <w:semiHidden/>
    <w:unhideWhenUsed/>
    <w:rsid w:val="000A2B2B"/>
    <w:rPr>
      <w:vertAlign w:val="superscript"/>
    </w:rPr>
  </w:style>
  <w:style w:type="character" w:styleId="Hipercze">
    <w:name w:val="Hyperlink"/>
    <w:basedOn w:val="Domylnaczcionkaakapitu"/>
    <w:uiPriority w:val="99"/>
    <w:unhideWhenUsed/>
    <w:rsid w:val="000A2B2B"/>
    <w:rPr>
      <w:color w:val="0563C1" w:themeColor="hyperlink"/>
      <w:u w:val="single"/>
    </w:rPr>
  </w:style>
  <w:style w:type="character" w:styleId="Pogrubienie">
    <w:name w:val="Strong"/>
    <w:basedOn w:val="Domylnaczcionkaakapitu"/>
    <w:uiPriority w:val="22"/>
    <w:qFormat/>
    <w:rsid w:val="00823825"/>
    <w:rPr>
      <w:b/>
      <w:bCs/>
    </w:rPr>
  </w:style>
  <w:style w:type="character" w:customStyle="1" w:styleId="AkapitzlistZnak">
    <w:name w:val="Akapit z listą Znak"/>
    <w:link w:val="Akapitzlist"/>
    <w:uiPriority w:val="34"/>
    <w:rsid w:val="00D03AD3"/>
    <w:rPr>
      <w:rFonts w:ascii="Arial" w:eastAsia="Times New Roman" w:hAnsi="Arial" w:cs="Arial"/>
      <w:sz w:val="20"/>
      <w:szCs w:val="20"/>
      <w:lang w:eastAsia="pl-PL"/>
    </w:rPr>
  </w:style>
  <w:style w:type="paragraph" w:styleId="Bezodstpw">
    <w:name w:val="No Spacing"/>
    <w:uiPriority w:val="1"/>
    <w:qFormat/>
    <w:rsid w:val="0056676C"/>
    <w:pPr>
      <w:widowControl w:val="0"/>
      <w:autoSpaceDE w:val="0"/>
      <w:autoSpaceDN w:val="0"/>
      <w:adjustRightInd w:val="0"/>
      <w:spacing w:after="0" w:line="240" w:lineRule="auto"/>
    </w:pPr>
    <w:rPr>
      <w:rFonts w:ascii="Arial" w:eastAsia="Times New Roman" w:hAnsi="Arial" w:cs="Arial"/>
      <w:sz w:val="20"/>
      <w:szCs w:val="20"/>
      <w:lang w:eastAsia="pl-PL"/>
    </w:rPr>
  </w:style>
  <w:style w:type="paragraph" w:styleId="Tekstprzypisukocowego">
    <w:name w:val="endnote text"/>
    <w:basedOn w:val="Normalny"/>
    <w:link w:val="TekstprzypisukocowegoZnak"/>
    <w:uiPriority w:val="99"/>
    <w:semiHidden/>
    <w:unhideWhenUsed/>
    <w:rsid w:val="00A6038A"/>
  </w:style>
  <w:style w:type="character" w:customStyle="1" w:styleId="TekstprzypisukocowegoZnak">
    <w:name w:val="Tekst przypisu końcowego Znak"/>
    <w:basedOn w:val="Domylnaczcionkaakapitu"/>
    <w:link w:val="Tekstprzypisukocowego"/>
    <w:uiPriority w:val="99"/>
    <w:semiHidden/>
    <w:rsid w:val="00A6038A"/>
    <w:rPr>
      <w:rFonts w:ascii="Arial" w:eastAsia="Times New Roman" w:hAnsi="Arial" w:cs="Arial"/>
      <w:sz w:val="20"/>
      <w:szCs w:val="20"/>
      <w:lang w:eastAsia="pl-PL"/>
    </w:rPr>
  </w:style>
  <w:style w:type="character" w:styleId="Odwoanieprzypisukocowego">
    <w:name w:val="endnote reference"/>
    <w:basedOn w:val="Domylnaczcionkaakapitu"/>
    <w:uiPriority w:val="99"/>
    <w:semiHidden/>
    <w:unhideWhenUsed/>
    <w:rsid w:val="00A6038A"/>
    <w:rPr>
      <w:vertAlign w:val="superscript"/>
    </w:rPr>
  </w:style>
  <w:style w:type="paragraph" w:styleId="Poprawka">
    <w:name w:val="Revision"/>
    <w:hidden/>
    <w:uiPriority w:val="99"/>
    <w:semiHidden/>
    <w:rsid w:val="00482750"/>
    <w:pPr>
      <w:spacing w:after="0" w:line="240" w:lineRule="auto"/>
    </w:pPr>
    <w:rPr>
      <w:rFonts w:ascii="Arial" w:eastAsia="Times New Roman" w:hAnsi="Arial" w:cs="Arial"/>
      <w:sz w:val="20"/>
      <w:szCs w:val="20"/>
      <w:lang w:eastAsia="pl-PL"/>
    </w:rPr>
  </w:style>
  <w:style w:type="paragraph" w:styleId="NormalnyWeb">
    <w:name w:val="Normal (Web)"/>
    <w:basedOn w:val="Normalny"/>
    <w:uiPriority w:val="99"/>
    <w:semiHidden/>
    <w:unhideWhenUsed/>
    <w:rsid w:val="00177113"/>
    <w:pPr>
      <w:widowControl/>
      <w:autoSpaceDE/>
      <w:autoSpaceDN/>
      <w:adjustRightInd/>
      <w:spacing w:before="100" w:beforeAutospacing="1" w:after="100" w:afterAutospacing="1"/>
    </w:pPr>
    <w:rPr>
      <w:rFonts w:ascii="Times New Roman" w:hAnsi="Times New Roman" w:cs="Times New Roman"/>
      <w:sz w:val="24"/>
      <w:szCs w:val="24"/>
    </w:rPr>
  </w:style>
  <w:style w:type="character" w:styleId="Uwydatnienie">
    <w:name w:val="Emphasis"/>
    <w:basedOn w:val="Domylnaczcionkaakapitu"/>
    <w:uiPriority w:val="20"/>
    <w:qFormat/>
    <w:rsid w:val="0017711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21524">
      <w:bodyDiv w:val="1"/>
      <w:marLeft w:val="0"/>
      <w:marRight w:val="0"/>
      <w:marTop w:val="0"/>
      <w:marBottom w:val="0"/>
      <w:divBdr>
        <w:top w:val="none" w:sz="0" w:space="0" w:color="auto"/>
        <w:left w:val="none" w:sz="0" w:space="0" w:color="auto"/>
        <w:bottom w:val="none" w:sz="0" w:space="0" w:color="auto"/>
        <w:right w:val="none" w:sz="0" w:space="0" w:color="auto"/>
      </w:divBdr>
    </w:div>
    <w:div w:id="126750919">
      <w:bodyDiv w:val="1"/>
      <w:marLeft w:val="0"/>
      <w:marRight w:val="0"/>
      <w:marTop w:val="0"/>
      <w:marBottom w:val="0"/>
      <w:divBdr>
        <w:top w:val="none" w:sz="0" w:space="0" w:color="auto"/>
        <w:left w:val="none" w:sz="0" w:space="0" w:color="auto"/>
        <w:bottom w:val="none" w:sz="0" w:space="0" w:color="auto"/>
        <w:right w:val="none" w:sz="0" w:space="0" w:color="auto"/>
      </w:divBdr>
    </w:div>
    <w:div w:id="136646913">
      <w:bodyDiv w:val="1"/>
      <w:marLeft w:val="0"/>
      <w:marRight w:val="0"/>
      <w:marTop w:val="0"/>
      <w:marBottom w:val="0"/>
      <w:divBdr>
        <w:top w:val="none" w:sz="0" w:space="0" w:color="auto"/>
        <w:left w:val="none" w:sz="0" w:space="0" w:color="auto"/>
        <w:bottom w:val="none" w:sz="0" w:space="0" w:color="auto"/>
        <w:right w:val="none" w:sz="0" w:space="0" w:color="auto"/>
      </w:divBdr>
    </w:div>
    <w:div w:id="189881082">
      <w:bodyDiv w:val="1"/>
      <w:marLeft w:val="0"/>
      <w:marRight w:val="0"/>
      <w:marTop w:val="0"/>
      <w:marBottom w:val="0"/>
      <w:divBdr>
        <w:top w:val="none" w:sz="0" w:space="0" w:color="auto"/>
        <w:left w:val="none" w:sz="0" w:space="0" w:color="auto"/>
        <w:bottom w:val="none" w:sz="0" w:space="0" w:color="auto"/>
        <w:right w:val="none" w:sz="0" w:space="0" w:color="auto"/>
      </w:divBdr>
    </w:div>
    <w:div w:id="189951962">
      <w:bodyDiv w:val="1"/>
      <w:marLeft w:val="0"/>
      <w:marRight w:val="0"/>
      <w:marTop w:val="0"/>
      <w:marBottom w:val="0"/>
      <w:divBdr>
        <w:top w:val="none" w:sz="0" w:space="0" w:color="auto"/>
        <w:left w:val="none" w:sz="0" w:space="0" w:color="auto"/>
        <w:bottom w:val="none" w:sz="0" w:space="0" w:color="auto"/>
        <w:right w:val="none" w:sz="0" w:space="0" w:color="auto"/>
      </w:divBdr>
    </w:div>
    <w:div w:id="223418424">
      <w:bodyDiv w:val="1"/>
      <w:marLeft w:val="0"/>
      <w:marRight w:val="0"/>
      <w:marTop w:val="0"/>
      <w:marBottom w:val="0"/>
      <w:divBdr>
        <w:top w:val="none" w:sz="0" w:space="0" w:color="auto"/>
        <w:left w:val="none" w:sz="0" w:space="0" w:color="auto"/>
        <w:bottom w:val="none" w:sz="0" w:space="0" w:color="auto"/>
        <w:right w:val="none" w:sz="0" w:space="0" w:color="auto"/>
      </w:divBdr>
    </w:div>
    <w:div w:id="229538176">
      <w:bodyDiv w:val="1"/>
      <w:marLeft w:val="0"/>
      <w:marRight w:val="0"/>
      <w:marTop w:val="0"/>
      <w:marBottom w:val="0"/>
      <w:divBdr>
        <w:top w:val="none" w:sz="0" w:space="0" w:color="auto"/>
        <w:left w:val="none" w:sz="0" w:space="0" w:color="auto"/>
        <w:bottom w:val="none" w:sz="0" w:space="0" w:color="auto"/>
        <w:right w:val="none" w:sz="0" w:space="0" w:color="auto"/>
      </w:divBdr>
      <w:divsChild>
        <w:div w:id="1979650478">
          <w:marLeft w:val="547"/>
          <w:marRight w:val="0"/>
          <w:marTop w:val="0"/>
          <w:marBottom w:val="120"/>
          <w:divBdr>
            <w:top w:val="none" w:sz="0" w:space="0" w:color="auto"/>
            <w:left w:val="none" w:sz="0" w:space="0" w:color="auto"/>
            <w:bottom w:val="none" w:sz="0" w:space="0" w:color="auto"/>
            <w:right w:val="none" w:sz="0" w:space="0" w:color="auto"/>
          </w:divBdr>
        </w:div>
        <w:div w:id="1438018985">
          <w:marLeft w:val="547"/>
          <w:marRight w:val="0"/>
          <w:marTop w:val="0"/>
          <w:marBottom w:val="120"/>
          <w:divBdr>
            <w:top w:val="none" w:sz="0" w:space="0" w:color="auto"/>
            <w:left w:val="none" w:sz="0" w:space="0" w:color="auto"/>
            <w:bottom w:val="none" w:sz="0" w:space="0" w:color="auto"/>
            <w:right w:val="none" w:sz="0" w:space="0" w:color="auto"/>
          </w:divBdr>
        </w:div>
      </w:divsChild>
    </w:div>
    <w:div w:id="272979810">
      <w:bodyDiv w:val="1"/>
      <w:marLeft w:val="0"/>
      <w:marRight w:val="0"/>
      <w:marTop w:val="0"/>
      <w:marBottom w:val="0"/>
      <w:divBdr>
        <w:top w:val="none" w:sz="0" w:space="0" w:color="auto"/>
        <w:left w:val="none" w:sz="0" w:space="0" w:color="auto"/>
        <w:bottom w:val="none" w:sz="0" w:space="0" w:color="auto"/>
        <w:right w:val="none" w:sz="0" w:space="0" w:color="auto"/>
      </w:divBdr>
    </w:div>
    <w:div w:id="302734212">
      <w:bodyDiv w:val="1"/>
      <w:marLeft w:val="0"/>
      <w:marRight w:val="0"/>
      <w:marTop w:val="0"/>
      <w:marBottom w:val="0"/>
      <w:divBdr>
        <w:top w:val="none" w:sz="0" w:space="0" w:color="auto"/>
        <w:left w:val="none" w:sz="0" w:space="0" w:color="auto"/>
        <w:bottom w:val="none" w:sz="0" w:space="0" w:color="auto"/>
        <w:right w:val="none" w:sz="0" w:space="0" w:color="auto"/>
      </w:divBdr>
    </w:div>
    <w:div w:id="483473860">
      <w:bodyDiv w:val="1"/>
      <w:marLeft w:val="0"/>
      <w:marRight w:val="0"/>
      <w:marTop w:val="0"/>
      <w:marBottom w:val="0"/>
      <w:divBdr>
        <w:top w:val="none" w:sz="0" w:space="0" w:color="auto"/>
        <w:left w:val="none" w:sz="0" w:space="0" w:color="auto"/>
        <w:bottom w:val="none" w:sz="0" w:space="0" w:color="auto"/>
        <w:right w:val="none" w:sz="0" w:space="0" w:color="auto"/>
      </w:divBdr>
    </w:div>
    <w:div w:id="508981509">
      <w:bodyDiv w:val="1"/>
      <w:marLeft w:val="0"/>
      <w:marRight w:val="0"/>
      <w:marTop w:val="0"/>
      <w:marBottom w:val="0"/>
      <w:divBdr>
        <w:top w:val="none" w:sz="0" w:space="0" w:color="auto"/>
        <w:left w:val="none" w:sz="0" w:space="0" w:color="auto"/>
        <w:bottom w:val="none" w:sz="0" w:space="0" w:color="auto"/>
        <w:right w:val="none" w:sz="0" w:space="0" w:color="auto"/>
      </w:divBdr>
    </w:div>
    <w:div w:id="550045998">
      <w:bodyDiv w:val="1"/>
      <w:marLeft w:val="0"/>
      <w:marRight w:val="0"/>
      <w:marTop w:val="0"/>
      <w:marBottom w:val="0"/>
      <w:divBdr>
        <w:top w:val="none" w:sz="0" w:space="0" w:color="auto"/>
        <w:left w:val="none" w:sz="0" w:space="0" w:color="auto"/>
        <w:bottom w:val="none" w:sz="0" w:space="0" w:color="auto"/>
        <w:right w:val="none" w:sz="0" w:space="0" w:color="auto"/>
      </w:divBdr>
    </w:div>
    <w:div w:id="623195839">
      <w:bodyDiv w:val="1"/>
      <w:marLeft w:val="0"/>
      <w:marRight w:val="0"/>
      <w:marTop w:val="0"/>
      <w:marBottom w:val="0"/>
      <w:divBdr>
        <w:top w:val="none" w:sz="0" w:space="0" w:color="auto"/>
        <w:left w:val="none" w:sz="0" w:space="0" w:color="auto"/>
        <w:bottom w:val="none" w:sz="0" w:space="0" w:color="auto"/>
        <w:right w:val="none" w:sz="0" w:space="0" w:color="auto"/>
      </w:divBdr>
    </w:div>
    <w:div w:id="690953931">
      <w:bodyDiv w:val="1"/>
      <w:marLeft w:val="0"/>
      <w:marRight w:val="0"/>
      <w:marTop w:val="0"/>
      <w:marBottom w:val="0"/>
      <w:divBdr>
        <w:top w:val="none" w:sz="0" w:space="0" w:color="auto"/>
        <w:left w:val="none" w:sz="0" w:space="0" w:color="auto"/>
        <w:bottom w:val="none" w:sz="0" w:space="0" w:color="auto"/>
        <w:right w:val="none" w:sz="0" w:space="0" w:color="auto"/>
      </w:divBdr>
    </w:div>
    <w:div w:id="837503126">
      <w:bodyDiv w:val="1"/>
      <w:marLeft w:val="0"/>
      <w:marRight w:val="0"/>
      <w:marTop w:val="0"/>
      <w:marBottom w:val="0"/>
      <w:divBdr>
        <w:top w:val="none" w:sz="0" w:space="0" w:color="auto"/>
        <w:left w:val="none" w:sz="0" w:space="0" w:color="auto"/>
        <w:bottom w:val="none" w:sz="0" w:space="0" w:color="auto"/>
        <w:right w:val="none" w:sz="0" w:space="0" w:color="auto"/>
      </w:divBdr>
    </w:div>
    <w:div w:id="895890970">
      <w:bodyDiv w:val="1"/>
      <w:marLeft w:val="0"/>
      <w:marRight w:val="0"/>
      <w:marTop w:val="0"/>
      <w:marBottom w:val="0"/>
      <w:divBdr>
        <w:top w:val="none" w:sz="0" w:space="0" w:color="auto"/>
        <w:left w:val="none" w:sz="0" w:space="0" w:color="auto"/>
        <w:bottom w:val="none" w:sz="0" w:space="0" w:color="auto"/>
        <w:right w:val="none" w:sz="0" w:space="0" w:color="auto"/>
      </w:divBdr>
    </w:div>
    <w:div w:id="911354424">
      <w:bodyDiv w:val="1"/>
      <w:marLeft w:val="0"/>
      <w:marRight w:val="0"/>
      <w:marTop w:val="0"/>
      <w:marBottom w:val="0"/>
      <w:divBdr>
        <w:top w:val="none" w:sz="0" w:space="0" w:color="auto"/>
        <w:left w:val="none" w:sz="0" w:space="0" w:color="auto"/>
        <w:bottom w:val="none" w:sz="0" w:space="0" w:color="auto"/>
        <w:right w:val="none" w:sz="0" w:space="0" w:color="auto"/>
      </w:divBdr>
    </w:div>
    <w:div w:id="934627140">
      <w:bodyDiv w:val="1"/>
      <w:marLeft w:val="0"/>
      <w:marRight w:val="0"/>
      <w:marTop w:val="0"/>
      <w:marBottom w:val="0"/>
      <w:divBdr>
        <w:top w:val="none" w:sz="0" w:space="0" w:color="auto"/>
        <w:left w:val="none" w:sz="0" w:space="0" w:color="auto"/>
        <w:bottom w:val="none" w:sz="0" w:space="0" w:color="auto"/>
        <w:right w:val="none" w:sz="0" w:space="0" w:color="auto"/>
      </w:divBdr>
    </w:div>
    <w:div w:id="949511538">
      <w:bodyDiv w:val="1"/>
      <w:marLeft w:val="0"/>
      <w:marRight w:val="0"/>
      <w:marTop w:val="0"/>
      <w:marBottom w:val="0"/>
      <w:divBdr>
        <w:top w:val="none" w:sz="0" w:space="0" w:color="auto"/>
        <w:left w:val="none" w:sz="0" w:space="0" w:color="auto"/>
        <w:bottom w:val="none" w:sz="0" w:space="0" w:color="auto"/>
        <w:right w:val="none" w:sz="0" w:space="0" w:color="auto"/>
      </w:divBdr>
      <w:divsChild>
        <w:div w:id="457115432">
          <w:marLeft w:val="0"/>
          <w:marRight w:val="0"/>
          <w:marTop w:val="0"/>
          <w:marBottom w:val="0"/>
          <w:divBdr>
            <w:top w:val="none" w:sz="0" w:space="0" w:color="auto"/>
            <w:left w:val="none" w:sz="0" w:space="0" w:color="auto"/>
            <w:bottom w:val="none" w:sz="0" w:space="0" w:color="auto"/>
            <w:right w:val="none" w:sz="0" w:space="0" w:color="auto"/>
          </w:divBdr>
        </w:div>
        <w:div w:id="62263722">
          <w:marLeft w:val="0"/>
          <w:marRight w:val="0"/>
          <w:marTop w:val="0"/>
          <w:marBottom w:val="0"/>
          <w:divBdr>
            <w:top w:val="none" w:sz="0" w:space="0" w:color="auto"/>
            <w:left w:val="none" w:sz="0" w:space="0" w:color="auto"/>
            <w:bottom w:val="none" w:sz="0" w:space="0" w:color="auto"/>
            <w:right w:val="none" w:sz="0" w:space="0" w:color="auto"/>
          </w:divBdr>
        </w:div>
        <w:div w:id="1799757247">
          <w:marLeft w:val="0"/>
          <w:marRight w:val="0"/>
          <w:marTop w:val="0"/>
          <w:marBottom w:val="0"/>
          <w:divBdr>
            <w:top w:val="none" w:sz="0" w:space="0" w:color="auto"/>
            <w:left w:val="none" w:sz="0" w:space="0" w:color="auto"/>
            <w:bottom w:val="none" w:sz="0" w:space="0" w:color="auto"/>
            <w:right w:val="none" w:sz="0" w:space="0" w:color="auto"/>
          </w:divBdr>
          <w:divsChild>
            <w:div w:id="561522437">
              <w:marLeft w:val="0"/>
              <w:marRight w:val="0"/>
              <w:marTop w:val="0"/>
              <w:marBottom w:val="0"/>
              <w:divBdr>
                <w:top w:val="none" w:sz="0" w:space="0" w:color="auto"/>
                <w:left w:val="none" w:sz="0" w:space="0" w:color="auto"/>
                <w:bottom w:val="none" w:sz="0" w:space="0" w:color="auto"/>
                <w:right w:val="none" w:sz="0" w:space="0" w:color="auto"/>
              </w:divBdr>
              <w:divsChild>
                <w:div w:id="92152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708168">
      <w:bodyDiv w:val="1"/>
      <w:marLeft w:val="0"/>
      <w:marRight w:val="0"/>
      <w:marTop w:val="0"/>
      <w:marBottom w:val="0"/>
      <w:divBdr>
        <w:top w:val="none" w:sz="0" w:space="0" w:color="auto"/>
        <w:left w:val="none" w:sz="0" w:space="0" w:color="auto"/>
        <w:bottom w:val="none" w:sz="0" w:space="0" w:color="auto"/>
        <w:right w:val="none" w:sz="0" w:space="0" w:color="auto"/>
      </w:divBdr>
    </w:div>
    <w:div w:id="1092240727">
      <w:bodyDiv w:val="1"/>
      <w:marLeft w:val="0"/>
      <w:marRight w:val="0"/>
      <w:marTop w:val="0"/>
      <w:marBottom w:val="0"/>
      <w:divBdr>
        <w:top w:val="none" w:sz="0" w:space="0" w:color="auto"/>
        <w:left w:val="none" w:sz="0" w:space="0" w:color="auto"/>
        <w:bottom w:val="none" w:sz="0" w:space="0" w:color="auto"/>
        <w:right w:val="none" w:sz="0" w:space="0" w:color="auto"/>
      </w:divBdr>
    </w:div>
    <w:div w:id="1153595280">
      <w:bodyDiv w:val="1"/>
      <w:marLeft w:val="0"/>
      <w:marRight w:val="0"/>
      <w:marTop w:val="0"/>
      <w:marBottom w:val="0"/>
      <w:divBdr>
        <w:top w:val="none" w:sz="0" w:space="0" w:color="auto"/>
        <w:left w:val="none" w:sz="0" w:space="0" w:color="auto"/>
        <w:bottom w:val="none" w:sz="0" w:space="0" w:color="auto"/>
        <w:right w:val="none" w:sz="0" w:space="0" w:color="auto"/>
      </w:divBdr>
    </w:div>
    <w:div w:id="1181050348">
      <w:bodyDiv w:val="1"/>
      <w:marLeft w:val="0"/>
      <w:marRight w:val="0"/>
      <w:marTop w:val="0"/>
      <w:marBottom w:val="0"/>
      <w:divBdr>
        <w:top w:val="none" w:sz="0" w:space="0" w:color="auto"/>
        <w:left w:val="none" w:sz="0" w:space="0" w:color="auto"/>
        <w:bottom w:val="none" w:sz="0" w:space="0" w:color="auto"/>
        <w:right w:val="none" w:sz="0" w:space="0" w:color="auto"/>
      </w:divBdr>
    </w:div>
    <w:div w:id="1278369867">
      <w:bodyDiv w:val="1"/>
      <w:marLeft w:val="0"/>
      <w:marRight w:val="0"/>
      <w:marTop w:val="0"/>
      <w:marBottom w:val="0"/>
      <w:divBdr>
        <w:top w:val="none" w:sz="0" w:space="0" w:color="auto"/>
        <w:left w:val="none" w:sz="0" w:space="0" w:color="auto"/>
        <w:bottom w:val="none" w:sz="0" w:space="0" w:color="auto"/>
        <w:right w:val="none" w:sz="0" w:space="0" w:color="auto"/>
      </w:divBdr>
    </w:div>
    <w:div w:id="1398432254">
      <w:bodyDiv w:val="1"/>
      <w:marLeft w:val="0"/>
      <w:marRight w:val="0"/>
      <w:marTop w:val="0"/>
      <w:marBottom w:val="0"/>
      <w:divBdr>
        <w:top w:val="none" w:sz="0" w:space="0" w:color="auto"/>
        <w:left w:val="none" w:sz="0" w:space="0" w:color="auto"/>
        <w:bottom w:val="none" w:sz="0" w:space="0" w:color="auto"/>
        <w:right w:val="none" w:sz="0" w:space="0" w:color="auto"/>
      </w:divBdr>
    </w:div>
    <w:div w:id="1404177604">
      <w:bodyDiv w:val="1"/>
      <w:marLeft w:val="0"/>
      <w:marRight w:val="0"/>
      <w:marTop w:val="0"/>
      <w:marBottom w:val="0"/>
      <w:divBdr>
        <w:top w:val="none" w:sz="0" w:space="0" w:color="auto"/>
        <w:left w:val="none" w:sz="0" w:space="0" w:color="auto"/>
        <w:bottom w:val="none" w:sz="0" w:space="0" w:color="auto"/>
        <w:right w:val="none" w:sz="0" w:space="0" w:color="auto"/>
      </w:divBdr>
    </w:div>
    <w:div w:id="1422410201">
      <w:bodyDiv w:val="1"/>
      <w:marLeft w:val="0"/>
      <w:marRight w:val="0"/>
      <w:marTop w:val="0"/>
      <w:marBottom w:val="0"/>
      <w:divBdr>
        <w:top w:val="none" w:sz="0" w:space="0" w:color="auto"/>
        <w:left w:val="none" w:sz="0" w:space="0" w:color="auto"/>
        <w:bottom w:val="none" w:sz="0" w:space="0" w:color="auto"/>
        <w:right w:val="none" w:sz="0" w:space="0" w:color="auto"/>
      </w:divBdr>
    </w:div>
    <w:div w:id="1423836638">
      <w:bodyDiv w:val="1"/>
      <w:marLeft w:val="0"/>
      <w:marRight w:val="0"/>
      <w:marTop w:val="0"/>
      <w:marBottom w:val="0"/>
      <w:divBdr>
        <w:top w:val="none" w:sz="0" w:space="0" w:color="auto"/>
        <w:left w:val="none" w:sz="0" w:space="0" w:color="auto"/>
        <w:bottom w:val="none" w:sz="0" w:space="0" w:color="auto"/>
        <w:right w:val="none" w:sz="0" w:space="0" w:color="auto"/>
      </w:divBdr>
    </w:div>
    <w:div w:id="1512069546">
      <w:bodyDiv w:val="1"/>
      <w:marLeft w:val="0"/>
      <w:marRight w:val="0"/>
      <w:marTop w:val="0"/>
      <w:marBottom w:val="0"/>
      <w:divBdr>
        <w:top w:val="none" w:sz="0" w:space="0" w:color="auto"/>
        <w:left w:val="none" w:sz="0" w:space="0" w:color="auto"/>
        <w:bottom w:val="none" w:sz="0" w:space="0" w:color="auto"/>
        <w:right w:val="none" w:sz="0" w:space="0" w:color="auto"/>
      </w:divBdr>
    </w:div>
    <w:div w:id="1654943369">
      <w:bodyDiv w:val="1"/>
      <w:marLeft w:val="0"/>
      <w:marRight w:val="0"/>
      <w:marTop w:val="0"/>
      <w:marBottom w:val="0"/>
      <w:divBdr>
        <w:top w:val="none" w:sz="0" w:space="0" w:color="auto"/>
        <w:left w:val="none" w:sz="0" w:space="0" w:color="auto"/>
        <w:bottom w:val="none" w:sz="0" w:space="0" w:color="auto"/>
        <w:right w:val="none" w:sz="0" w:space="0" w:color="auto"/>
      </w:divBdr>
    </w:div>
    <w:div w:id="1685939661">
      <w:bodyDiv w:val="1"/>
      <w:marLeft w:val="0"/>
      <w:marRight w:val="0"/>
      <w:marTop w:val="0"/>
      <w:marBottom w:val="0"/>
      <w:divBdr>
        <w:top w:val="none" w:sz="0" w:space="0" w:color="auto"/>
        <w:left w:val="none" w:sz="0" w:space="0" w:color="auto"/>
        <w:bottom w:val="none" w:sz="0" w:space="0" w:color="auto"/>
        <w:right w:val="none" w:sz="0" w:space="0" w:color="auto"/>
      </w:divBdr>
    </w:div>
    <w:div w:id="1727869699">
      <w:bodyDiv w:val="1"/>
      <w:marLeft w:val="0"/>
      <w:marRight w:val="0"/>
      <w:marTop w:val="0"/>
      <w:marBottom w:val="0"/>
      <w:divBdr>
        <w:top w:val="none" w:sz="0" w:space="0" w:color="auto"/>
        <w:left w:val="none" w:sz="0" w:space="0" w:color="auto"/>
        <w:bottom w:val="none" w:sz="0" w:space="0" w:color="auto"/>
        <w:right w:val="none" w:sz="0" w:space="0" w:color="auto"/>
      </w:divBdr>
    </w:div>
    <w:div w:id="1738238479">
      <w:bodyDiv w:val="1"/>
      <w:marLeft w:val="0"/>
      <w:marRight w:val="0"/>
      <w:marTop w:val="0"/>
      <w:marBottom w:val="0"/>
      <w:divBdr>
        <w:top w:val="none" w:sz="0" w:space="0" w:color="auto"/>
        <w:left w:val="none" w:sz="0" w:space="0" w:color="auto"/>
        <w:bottom w:val="none" w:sz="0" w:space="0" w:color="auto"/>
        <w:right w:val="none" w:sz="0" w:space="0" w:color="auto"/>
      </w:divBdr>
    </w:div>
    <w:div w:id="1788231679">
      <w:bodyDiv w:val="1"/>
      <w:marLeft w:val="0"/>
      <w:marRight w:val="0"/>
      <w:marTop w:val="0"/>
      <w:marBottom w:val="0"/>
      <w:divBdr>
        <w:top w:val="none" w:sz="0" w:space="0" w:color="auto"/>
        <w:left w:val="none" w:sz="0" w:space="0" w:color="auto"/>
        <w:bottom w:val="none" w:sz="0" w:space="0" w:color="auto"/>
        <w:right w:val="none" w:sz="0" w:space="0" w:color="auto"/>
      </w:divBdr>
    </w:div>
    <w:div w:id="1793672066">
      <w:bodyDiv w:val="1"/>
      <w:marLeft w:val="0"/>
      <w:marRight w:val="0"/>
      <w:marTop w:val="0"/>
      <w:marBottom w:val="0"/>
      <w:divBdr>
        <w:top w:val="none" w:sz="0" w:space="0" w:color="auto"/>
        <w:left w:val="none" w:sz="0" w:space="0" w:color="auto"/>
        <w:bottom w:val="none" w:sz="0" w:space="0" w:color="auto"/>
        <w:right w:val="none" w:sz="0" w:space="0" w:color="auto"/>
      </w:divBdr>
    </w:div>
    <w:div w:id="1842353725">
      <w:bodyDiv w:val="1"/>
      <w:marLeft w:val="0"/>
      <w:marRight w:val="0"/>
      <w:marTop w:val="0"/>
      <w:marBottom w:val="0"/>
      <w:divBdr>
        <w:top w:val="none" w:sz="0" w:space="0" w:color="auto"/>
        <w:left w:val="none" w:sz="0" w:space="0" w:color="auto"/>
        <w:bottom w:val="none" w:sz="0" w:space="0" w:color="auto"/>
        <w:right w:val="none" w:sz="0" w:space="0" w:color="auto"/>
      </w:divBdr>
    </w:div>
    <w:div w:id="1863929829">
      <w:bodyDiv w:val="1"/>
      <w:marLeft w:val="0"/>
      <w:marRight w:val="0"/>
      <w:marTop w:val="0"/>
      <w:marBottom w:val="0"/>
      <w:divBdr>
        <w:top w:val="none" w:sz="0" w:space="0" w:color="auto"/>
        <w:left w:val="none" w:sz="0" w:space="0" w:color="auto"/>
        <w:bottom w:val="none" w:sz="0" w:space="0" w:color="auto"/>
        <w:right w:val="none" w:sz="0" w:space="0" w:color="auto"/>
      </w:divBdr>
    </w:div>
    <w:div w:id="1925794856">
      <w:bodyDiv w:val="1"/>
      <w:marLeft w:val="0"/>
      <w:marRight w:val="0"/>
      <w:marTop w:val="0"/>
      <w:marBottom w:val="0"/>
      <w:divBdr>
        <w:top w:val="none" w:sz="0" w:space="0" w:color="auto"/>
        <w:left w:val="none" w:sz="0" w:space="0" w:color="auto"/>
        <w:bottom w:val="none" w:sz="0" w:space="0" w:color="auto"/>
        <w:right w:val="none" w:sz="0" w:space="0" w:color="auto"/>
      </w:divBdr>
    </w:div>
    <w:div w:id="1931887945">
      <w:bodyDiv w:val="1"/>
      <w:marLeft w:val="0"/>
      <w:marRight w:val="0"/>
      <w:marTop w:val="0"/>
      <w:marBottom w:val="0"/>
      <w:divBdr>
        <w:top w:val="none" w:sz="0" w:space="0" w:color="auto"/>
        <w:left w:val="none" w:sz="0" w:space="0" w:color="auto"/>
        <w:bottom w:val="none" w:sz="0" w:space="0" w:color="auto"/>
        <w:right w:val="none" w:sz="0" w:space="0" w:color="auto"/>
      </w:divBdr>
    </w:div>
    <w:div w:id="1973171613">
      <w:bodyDiv w:val="1"/>
      <w:marLeft w:val="0"/>
      <w:marRight w:val="0"/>
      <w:marTop w:val="0"/>
      <w:marBottom w:val="0"/>
      <w:divBdr>
        <w:top w:val="none" w:sz="0" w:space="0" w:color="auto"/>
        <w:left w:val="none" w:sz="0" w:space="0" w:color="auto"/>
        <w:bottom w:val="none" w:sz="0" w:space="0" w:color="auto"/>
        <w:right w:val="none" w:sz="0" w:space="0" w:color="auto"/>
      </w:divBdr>
    </w:div>
    <w:div w:id="2006467528">
      <w:bodyDiv w:val="1"/>
      <w:marLeft w:val="0"/>
      <w:marRight w:val="0"/>
      <w:marTop w:val="0"/>
      <w:marBottom w:val="0"/>
      <w:divBdr>
        <w:top w:val="none" w:sz="0" w:space="0" w:color="auto"/>
        <w:left w:val="none" w:sz="0" w:space="0" w:color="auto"/>
        <w:bottom w:val="none" w:sz="0" w:space="0" w:color="auto"/>
        <w:right w:val="none" w:sz="0" w:space="0" w:color="auto"/>
      </w:divBdr>
    </w:div>
    <w:div w:id="2017611352">
      <w:bodyDiv w:val="1"/>
      <w:marLeft w:val="0"/>
      <w:marRight w:val="0"/>
      <w:marTop w:val="0"/>
      <w:marBottom w:val="0"/>
      <w:divBdr>
        <w:top w:val="none" w:sz="0" w:space="0" w:color="auto"/>
        <w:left w:val="none" w:sz="0" w:space="0" w:color="auto"/>
        <w:bottom w:val="none" w:sz="0" w:space="0" w:color="auto"/>
        <w:right w:val="none" w:sz="0" w:space="0" w:color="auto"/>
      </w:divBdr>
    </w:div>
    <w:div w:id="2069382088">
      <w:bodyDiv w:val="1"/>
      <w:marLeft w:val="0"/>
      <w:marRight w:val="0"/>
      <w:marTop w:val="0"/>
      <w:marBottom w:val="0"/>
      <w:divBdr>
        <w:top w:val="none" w:sz="0" w:space="0" w:color="auto"/>
        <w:left w:val="none" w:sz="0" w:space="0" w:color="auto"/>
        <w:bottom w:val="none" w:sz="0" w:space="0" w:color="auto"/>
        <w:right w:val="none" w:sz="0" w:space="0" w:color="auto"/>
      </w:divBdr>
    </w:div>
    <w:div w:id="2072269659">
      <w:bodyDiv w:val="1"/>
      <w:marLeft w:val="0"/>
      <w:marRight w:val="0"/>
      <w:marTop w:val="0"/>
      <w:marBottom w:val="0"/>
      <w:divBdr>
        <w:top w:val="none" w:sz="0" w:space="0" w:color="auto"/>
        <w:left w:val="none" w:sz="0" w:space="0" w:color="auto"/>
        <w:bottom w:val="none" w:sz="0" w:space="0" w:color="auto"/>
        <w:right w:val="none" w:sz="0" w:space="0" w:color="auto"/>
      </w:divBdr>
    </w:div>
    <w:div w:id="2087191261">
      <w:bodyDiv w:val="1"/>
      <w:marLeft w:val="0"/>
      <w:marRight w:val="0"/>
      <w:marTop w:val="0"/>
      <w:marBottom w:val="0"/>
      <w:divBdr>
        <w:top w:val="none" w:sz="0" w:space="0" w:color="auto"/>
        <w:left w:val="none" w:sz="0" w:space="0" w:color="auto"/>
        <w:bottom w:val="none" w:sz="0" w:space="0" w:color="auto"/>
        <w:right w:val="none" w:sz="0" w:space="0" w:color="auto"/>
      </w:divBdr>
    </w:div>
    <w:div w:id="2097939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ure.gov.pl/pl/energia-elektryczna/zmiana-sprzedawcy-moni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CFD7B-DCEC-404C-9988-6499B4372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69</Pages>
  <Words>24562</Words>
  <Characters>147373</Characters>
  <Application>Microsoft Office Word</Application>
  <DocSecurity>0</DocSecurity>
  <Lines>1228</Lines>
  <Paragraphs>343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171592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Ciesluk Joanna</dc:creator>
  <cp:keywords/>
  <dc:description/>
  <cp:lastModifiedBy>AUGUSTYNIAK Łukasz</cp:lastModifiedBy>
  <cp:revision>2</cp:revision>
  <dcterms:created xsi:type="dcterms:W3CDTF">2022-06-10T12:39:00Z</dcterms:created>
  <dcterms:modified xsi:type="dcterms:W3CDTF">2022-06-10T12:39:00Z</dcterms:modified>
</cp:coreProperties>
</file>