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09A4" w14:textId="77777777" w:rsidR="00C64B1B" w:rsidRPr="00707403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707403" w:rsidRPr="00707403" w14:paraId="65BB411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B51A1DB" w14:textId="77777777" w:rsidR="00A06425" w:rsidRPr="00707403" w:rsidRDefault="00A06425" w:rsidP="004E7788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 w:rsidRPr="007074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707403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 w:rsidRPr="0070740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E7788"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System Chorób Rzadkich</w:t>
            </w:r>
            <w:r w:rsidR="00AC65EE"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 w:rsidRPr="00707403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7074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07403" w:rsidRPr="00707403" w14:paraId="3EF6E066" w14:textId="77777777" w:rsidTr="00680E13">
        <w:trPr>
          <w:trHeight w:val="1171"/>
        </w:trPr>
        <w:tc>
          <w:tcPr>
            <w:tcW w:w="562" w:type="dxa"/>
            <w:shd w:val="clear" w:color="auto" w:fill="auto"/>
            <w:vAlign w:val="center"/>
          </w:tcPr>
          <w:p w14:paraId="5BBE380C" w14:textId="77777777" w:rsidR="00A06425" w:rsidRPr="0070740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912E1" w14:textId="77777777" w:rsidR="00A06425" w:rsidRPr="0070740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D61881" w14:textId="77777777" w:rsidR="00A06425" w:rsidRPr="0070740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676F3BD" w14:textId="77777777" w:rsidR="00A06425" w:rsidRPr="0070740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718290" w14:textId="77777777" w:rsidR="00A06425" w:rsidRPr="0070740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9AA8D2E" w14:textId="77777777" w:rsidR="00A06425" w:rsidRPr="00707403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07403" w:rsidRPr="00707403" w14:paraId="7F7795EF" w14:textId="77777777" w:rsidTr="00B30966">
        <w:tc>
          <w:tcPr>
            <w:tcW w:w="562" w:type="dxa"/>
            <w:shd w:val="clear" w:color="auto" w:fill="auto"/>
          </w:tcPr>
          <w:p w14:paraId="200B75DC" w14:textId="77777777" w:rsidR="00E5716F" w:rsidRPr="00707403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B5335D" w14:textId="77777777" w:rsidR="00E5716F" w:rsidRPr="00707403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2C806AB3" w14:textId="77777777" w:rsidR="00E5716F" w:rsidRPr="00707403" w:rsidRDefault="004E778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F1AA3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.1.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Identyfikacja problemu i potrzeb.</w:t>
            </w:r>
          </w:p>
        </w:tc>
        <w:tc>
          <w:tcPr>
            <w:tcW w:w="7938" w:type="dxa"/>
            <w:shd w:val="clear" w:color="auto" w:fill="auto"/>
          </w:tcPr>
          <w:p w14:paraId="558A2EDE" w14:textId="77777777" w:rsidR="00E5716F" w:rsidRPr="00707403" w:rsidRDefault="004D7859" w:rsidP="004D7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="004E7788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rozważ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yć</w:t>
            </w:r>
            <w:r w:rsidR="004E7788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wyłączenie Platformy Informacyjnej, jako elementu składowego Systemu Chorób Rzadki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ch. Jest to osobny produkt, nie</w:t>
            </w:r>
            <w:r w:rsidR="004E7788" w:rsidRPr="00707403">
              <w:rPr>
                <w:rFonts w:asciiTheme="minorHAnsi" w:hAnsiTheme="minorHAnsi" w:cstheme="minorHAnsi"/>
                <w:sz w:val="22"/>
                <w:szCs w:val="22"/>
              </w:rPr>
              <w:t>posiadający żadnych elementów integracyjnych ani wspólnych z projektowanym rozwiązaniem.</w:t>
            </w:r>
          </w:p>
        </w:tc>
        <w:tc>
          <w:tcPr>
            <w:tcW w:w="2127" w:type="dxa"/>
            <w:shd w:val="clear" w:color="auto" w:fill="auto"/>
          </w:tcPr>
          <w:p w14:paraId="3134CC52" w14:textId="77777777" w:rsidR="00E5716F" w:rsidRPr="00707403" w:rsidRDefault="009C197A" w:rsidP="00A75D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</w:t>
            </w:r>
            <w:r w:rsidR="00A75D44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nalizę i  </w:t>
            </w:r>
            <w:r w:rsidR="004E7788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518F3F2E" w14:textId="7C8E4510" w:rsidR="00E5716F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707403" w:rsidRPr="00707403" w14:paraId="6B0380CC" w14:textId="77777777" w:rsidTr="00B30966">
        <w:tc>
          <w:tcPr>
            <w:tcW w:w="562" w:type="dxa"/>
            <w:shd w:val="clear" w:color="auto" w:fill="auto"/>
          </w:tcPr>
          <w:p w14:paraId="29BFE3F1" w14:textId="77777777" w:rsidR="00E5716F" w:rsidRPr="00707403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198609A" w14:textId="77777777" w:rsidR="00E5716F" w:rsidRPr="00707403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DBEDBCD" w14:textId="77777777" w:rsidR="00E5716F" w:rsidRPr="00707403" w:rsidRDefault="004E7788" w:rsidP="00AC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1.2.</w:t>
            </w:r>
            <w:r w:rsidR="00BF1AA3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Opis stanu obecnego.</w:t>
            </w:r>
          </w:p>
        </w:tc>
        <w:tc>
          <w:tcPr>
            <w:tcW w:w="7938" w:type="dxa"/>
            <w:shd w:val="clear" w:color="auto" w:fill="auto"/>
          </w:tcPr>
          <w:p w14:paraId="6E02F181" w14:textId="77777777" w:rsidR="00B30966" w:rsidRPr="00707403" w:rsidRDefault="004E7788" w:rsidP="004D7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doprecyzować/przeredagować opis dotyczący współdziałania Platformy Informacyjnej z Orphanet Polska, </w:t>
            </w:r>
            <w:r w:rsidR="004D7859" w:rsidRPr="00707403">
              <w:rPr>
                <w:rFonts w:asciiTheme="minorHAnsi" w:hAnsiTheme="minorHAnsi" w:cstheme="minorHAnsi"/>
                <w:sz w:val="22"/>
                <w:szCs w:val="22"/>
              </w:rPr>
              <w:t>mając na uwadze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wiarygodność opisów wielu chorób rzadkich. Zgodnie z wyjaśnieniami Orphanet (globalna, a nie Polska) zwyczajowo 1-2 razy w roku udostępnia xml, który jest pobierany</w:t>
            </w:r>
            <w:r w:rsidR="004D7859" w:rsidRPr="007074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a jego zawartość „zaciągana” do Platformy Informacyjnej.</w:t>
            </w:r>
          </w:p>
        </w:tc>
        <w:tc>
          <w:tcPr>
            <w:tcW w:w="2127" w:type="dxa"/>
            <w:shd w:val="clear" w:color="auto" w:fill="auto"/>
          </w:tcPr>
          <w:p w14:paraId="01F7DE40" w14:textId="77777777" w:rsidR="00E5716F" w:rsidRPr="00707403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D15DE72" w14:textId="7777D4E3" w:rsidR="00E5716F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742BE7" w:rsidRPr="007074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07403" w:rsidRPr="00707403" w14:paraId="11273F0B" w14:textId="77777777" w:rsidTr="00B30966">
        <w:tc>
          <w:tcPr>
            <w:tcW w:w="562" w:type="dxa"/>
            <w:shd w:val="clear" w:color="auto" w:fill="auto"/>
          </w:tcPr>
          <w:p w14:paraId="00710A99" w14:textId="77777777" w:rsidR="007A5233" w:rsidRPr="00707403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BB0460F" w14:textId="77777777" w:rsidR="007A5233" w:rsidRPr="00707403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47C62F4" w14:textId="77777777" w:rsidR="00DA01FA" w:rsidRPr="00707403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32ECDDC8" w14:textId="77777777" w:rsidR="004E7788" w:rsidRPr="00707403" w:rsidRDefault="004E7788" w:rsidP="004E77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Dla celu </w:t>
            </w:r>
            <w:r w:rsidR="00A00D4E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D7859" w:rsidRPr="007074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4050727" w14:textId="77777777" w:rsidR="004E7788" w:rsidRPr="00707403" w:rsidRDefault="004D7859" w:rsidP="00F2180F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contextualSpacing/>
              <w:jc w:val="both"/>
              <w:rPr>
                <w:rFonts w:asciiTheme="minorHAnsi" w:hAnsiTheme="minorHAnsi" w:cstheme="minorHAnsi"/>
              </w:rPr>
            </w:pPr>
            <w:r w:rsidRPr="00707403">
              <w:rPr>
                <w:rFonts w:asciiTheme="minorHAnsi" w:hAnsiTheme="minorHAnsi" w:cstheme="minorHAnsi"/>
              </w:rPr>
              <w:t>n</w:t>
            </w:r>
            <w:r w:rsidR="004E7788" w:rsidRPr="00707403">
              <w:rPr>
                <w:rFonts w:asciiTheme="minorHAnsi" w:hAnsiTheme="minorHAnsi" w:cstheme="minorHAnsi"/>
              </w:rPr>
              <w:t>ależy odwrócić chronologię KPI,</w:t>
            </w:r>
          </w:p>
          <w:p w14:paraId="0FF03BEC" w14:textId="77777777" w:rsidR="004E7788" w:rsidRPr="00707403" w:rsidRDefault="004D7859" w:rsidP="00F2180F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contextualSpacing/>
              <w:jc w:val="both"/>
              <w:rPr>
                <w:rFonts w:asciiTheme="minorHAnsi" w:hAnsiTheme="minorHAnsi" w:cstheme="minorHAnsi"/>
              </w:rPr>
            </w:pPr>
            <w:r w:rsidRPr="00707403">
              <w:rPr>
                <w:rFonts w:asciiTheme="minorHAnsi" w:hAnsiTheme="minorHAnsi" w:cstheme="minorHAnsi"/>
              </w:rPr>
              <w:t xml:space="preserve">w zakresie </w:t>
            </w:r>
            <w:r w:rsidR="004E7788" w:rsidRPr="00707403">
              <w:rPr>
                <w:rFonts w:asciiTheme="minorHAnsi" w:hAnsiTheme="minorHAnsi" w:cstheme="minorHAnsi"/>
              </w:rPr>
              <w:t xml:space="preserve">KPI 1 – należy zweryfikować wartość docelową wynoszącą 10 000 – rok po wdrożeniu; wydaje się nieadekwatna, przy tak dużej skali potencjalnych chorych na choroby rzadkie (szacunkowo 2-3 mln). </w:t>
            </w:r>
          </w:p>
          <w:p w14:paraId="0E379951" w14:textId="77777777" w:rsidR="004E7788" w:rsidRPr="00707403" w:rsidRDefault="004D7859" w:rsidP="00F2180F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jc w:val="both"/>
              <w:rPr>
                <w:rFonts w:asciiTheme="minorHAnsi" w:hAnsiTheme="minorHAnsi" w:cstheme="minorHAnsi"/>
              </w:rPr>
            </w:pPr>
            <w:r w:rsidRPr="00707403">
              <w:rPr>
                <w:rFonts w:asciiTheme="minorHAnsi" w:hAnsiTheme="minorHAnsi" w:cstheme="minorHAnsi"/>
              </w:rPr>
              <w:t xml:space="preserve">w zakresie </w:t>
            </w:r>
            <w:r w:rsidR="004E7788" w:rsidRPr="00707403">
              <w:rPr>
                <w:rFonts w:asciiTheme="minorHAnsi" w:hAnsiTheme="minorHAnsi" w:cstheme="minorHAnsi"/>
              </w:rPr>
              <w:t>KPI 1 – należy usunąć z opisu wartości docelowej określenia „rocznie” z uwagi na jednokrotny pomiar (tj. w 12.2025),</w:t>
            </w:r>
          </w:p>
          <w:p w14:paraId="06015DF8" w14:textId="77777777" w:rsidR="007A5233" w:rsidRPr="00707403" w:rsidRDefault="004D7859" w:rsidP="004D7859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jc w:val="both"/>
              <w:rPr>
                <w:rFonts w:asciiTheme="minorHAnsi" w:hAnsiTheme="minorHAnsi" w:cstheme="minorHAnsi"/>
              </w:rPr>
            </w:pPr>
            <w:r w:rsidRPr="00707403">
              <w:rPr>
                <w:rFonts w:asciiTheme="minorHAnsi" w:hAnsiTheme="minorHAnsi" w:cstheme="minorHAnsi"/>
              </w:rPr>
              <w:t>w zakresie KPI 3 – należy skorygować nazwę</w:t>
            </w:r>
            <w:r w:rsidR="004E7788" w:rsidRPr="00707403">
              <w:rPr>
                <w:rFonts w:asciiTheme="minorHAnsi" w:hAnsiTheme="minorHAnsi" w:cstheme="minorHAnsi"/>
              </w:rPr>
              <w:t xml:space="preserve"> wskaźnika, gdyż cel w rzeczywistości dotyczy utworzenia PRCR, a nie systemu go obsługującego. </w:t>
            </w:r>
            <w:r w:rsidRPr="00707403">
              <w:rPr>
                <w:rFonts w:asciiTheme="minorHAnsi" w:hAnsiTheme="minorHAnsi" w:cstheme="minorHAnsi"/>
              </w:rPr>
              <w:t>Należy rozważyć</w:t>
            </w:r>
            <w:r w:rsidR="004E7788" w:rsidRPr="00707403">
              <w:rPr>
                <w:rFonts w:asciiTheme="minorHAnsi" w:hAnsiTheme="minorHAnsi" w:cstheme="minorHAnsi"/>
              </w:rPr>
              <w:t xml:space="preserve"> dodanie w pkt 3 kamienia milowego pozwalającego na ocenę czy „Utworzono system teleinformatycznych obsługujących Polski Rejestr Chorób Rzadkich”.</w:t>
            </w:r>
          </w:p>
        </w:tc>
        <w:tc>
          <w:tcPr>
            <w:tcW w:w="2127" w:type="dxa"/>
            <w:shd w:val="clear" w:color="auto" w:fill="auto"/>
          </w:tcPr>
          <w:p w14:paraId="7D7EA6A4" w14:textId="77777777" w:rsidR="007A5233" w:rsidRPr="00707403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ECBE094" w14:textId="04E44680" w:rsidR="00E340B5" w:rsidRPr="00707403" w:rsidRDefault="00E340B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Chronologia KPI </w:t>
            </w:r>
            <w:r w:rsidR="00647436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- uwzględniono</w:t>
            </w:r>
          </w:p>
          <w:p w14:paraId="58D342DD" w14:textId="54AC49B8" w:rsidR="00647436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KPI 1 </w:t>
            </w:r>
            <w:r w:rsidR="00C64DA7" w:rsidRPr="0070740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uwzględniono</w:t>
            </w:r>
            <w:r w:rsidR="00C64DA7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w zakresie usunięcia określenia ‘rocznie’</w:t>
            </w:r>
          </w:p>
          <w:p w14:paraId="6E738978" w14:textId="77777777" w:rsidR="00E340B5" w:rsidRPr="00707403" w:rsidRDefault="00E340B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6DBC99" w14:textId="1F52FDDE" w:rsidR="007A5233" w:rsidRPr="00707403" w:rsidRDefault="00742BE7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KPI</w:t>
            </w:r>
            <w:r w:rsidR="00C64DA7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: Narodowy Fundusz Zdrowia (rocznie ok 10000 transakcji) - został oszacowany na podstawie informacji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 Rady Naukowej ds. Chorób Rzadkich, która określiła szacunkową ilość osób dodaną do Polskiego Rejestru Chorób Rzadkich w pierwszym roku funkcjonowania systemu. Należy zakładać, że świadomość na temat rejestru będzie się dopiero rozwijać w świadomości Polaków, zakładany popyt będzie w opinii Rad rósł powoli. Liczba ta uwzględnia również ograniczone możliwości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dodawanie pacjentów wynikające ze stosunkowo niewielkiej podaży specjalistów zatrudnionych w Ośrodkach Eksperckich Chorób Rzadkich oraz samych ośrodków.</w:t>
            </w:r>
          </w:p>
          <w:p w14:paraId="49E92B19" w14:textId="4EF1A033" w:rsidR="00647436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KPI 3 – Uwaga uwzględniona w zakresie zmiany nazwy.  Nie uwzględniona w zakresie dodania kamienia milowego. Nie ma w projekcie produktu „system teleinformatyczny do obsługi rejestru chorób rzadkich”.</w:t>
            </w:r>
          </w:p>
        </w:tc>
      </w:tr>
      <w:tr w:rsidR="00707403" w:rsidRPr="00707403" w14:paraId="37ABBFE5" w14:textId="77777777" w:rsidTr="00B30966">
        <w:tc>
          <w:tcPr>
            <w:tcW w:w="562" w:type="dxa"/>
            <w:shd w:val="clear" w:color="auto" w:fill="auto"/>
          </w:tcPr>
          <w:p w14:paraId="29AA3E1F" w14:textId="77777777" w:rsidR="00BF1AA3" w:rsidRPr="00707403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031DFCCA" w14:textId="77777777" w:rsidR="00BF1AA3" w:rsidRPr="00707403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0777679" w14:textId="77777777" w:rsidR="00BF1AA3" w:rsidRPr="00707403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7208D66D" w14:textId="77777777" w:rsidR="00BF1AA3" w:rsidRPr="00707403" w:rsidRDefault="004E7788" w:rsidP="00EB27F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Dla celu</w:t>
            </w:r>
            <w:r w:rsidR="00A00D4E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nr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="00EB27FA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należy przeformułować nazwę wskaźnika</w:t>
            </w:r>
            <w:r w:rsidR="00EB27FA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KPI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B27FA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Brak podstaw dla stwierdzenia, że 5000 chorych stanowi 100% pacjentów</w:t>
            </w:r>
            <w:r w:rsidR="00EB27FA" w:rsidRPr="007074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5816F59A" w14:textId="77777777" w:rsidR="00BF1AA3" w:rsidRPr="00707403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3D90544" w14:textId="512F9AFF" w:rsidR="00BF1AA3" w:rsidRPr="00707403" w:rsidRDefault="005D2890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</w:t>
            </w:r>
            <w:r w:rsidR="00647436" w:rsidRPr="0070740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</w:tr>
      <w:tr w:rsidR="00707403" w:rsidRPr="00707403" w14:paraId="4DFD2463" w14:textId="77777777" w:rsidTr="00B30966">
        <w:tc>
          <w:tcPr>
            <w:tcW w:w="562" w:type="dxa"/>
            <w:shd w:val="clear" w:color="auto" w:fill="auto"/>
          </w:tcPr>
          <w:p w14:paraId="52ED84E3" w14:textId="77777777" w:rsidR="00BF1AA3" w:rsidRPr="00707403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D0FEA5A" w14:textId="77777777" w:rsidR="00BF1AA3" w:rsidRPr="00707403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669E827E" w14:textId="77777777" w:rsidR="00BF1AA3" w:rsidRPr="00707403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14:paraId="6A010917" w14:textId="77777777" w:rsidR="00BF1AA3" w:rsidRPr="00707403" w:rsidRDefault="004E54BE" w:rsidP="00EB27F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Dla celu </w:t>
            </w:r>
            <w:r w:rsidR="00A00D4E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B27FA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należy zweryfikować wartość docelową wskaźnika </w:t>
            </w:r>
            <w:r w:rsidR="00EB27FA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KPI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wynoszącą 150 000 oszacowanej jako % osób potencjalnie zainteresowanych – czyt. chorych (także potencjalnie) na Choroby Rzadkie lub ich bliskich.</w:t>
            </w:r>
          </w:p>
        </w:tc>
        <w:tc>
          <w:tcPr>
            <w:tcW w:w="2127" w:type="dxa"/>
            <w:shd w:val="clear" w:color="auto" w:fill="auto"/>
          </w:tcPr>
          <w:p w14:paraId="44C6B815" w14:textId="77777777" w:rsidR="00BF1AA3" w:rsidRPr="00707403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690D9B8" w14:textId="77777777" w:rsidR="00BF1AA3" w:rsidRPr="00707403" w:rsidRDefault="00E340B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Style w:val="ui-provider"/>
                <w:rFonts w:asciiTheme="minorHAnsi" w:hAnsiTheme="minorHAnsi" w:cstheme="minorHAnsi"/>
                <w:sz w:val="22"/>
                <w:szCs w:val="22"/>
              </w:rPr>
              <w:t xml:space="preserve">150 000 wejść na Platformę (do końca 06.2025). Jest to ostrożny rachunek zakładający stopniowe zwiększanie się w społeczeństwie świadomości na temat Systemu dla Chorób Rzadkich. 6/8% populacji kraju cierpi na choroby rzadkie, co stanowi ok 2-3mln obywateli, natomiast należy założyć, że zainteresowanie tych osób będzie rozwijać się stopniowo i </w:t>
            </w:r>
            <w:r w:rsidRPr="00707403">
              <w:rPr>
                <w:rStyle w:val="ui-provider"/>
                <w:rFonts w:asciiTheme="minorHAnsi" w:hAnsiTheme="minorHAnsi" w:cstheme="minorHAnsi"/>
                <w:sz w:val="22"/>
                <w:szCs w:val="22"/>
              </w:rPr>
              <w:lastRenderedPageBreak/>
              <w:t>będzie musiało zostać wsparte odpowiednią kampanią marketingową. W związku z tym założono, że w początkowym okresie funkcjonowania Platformy liczba ta będzie wynikiem satysfakcjonującym</w:t>
            </w:r>
          </w:p>
        </w:tc>
      </w:tr>
      <w:tr w:rsidR="00707403" w:rsidRPr="00707403" w14:paraId="208A74D5" w14:textId="77777777" w:rsidTr="00B30966">
        <w:tc>
          <w:tcPr>
            <w:tcW w:w="562" w:type="dxa"/>
            <w:shd w:val="clear" w:color="auto" w:fill="auto"/>
          </w:tcPr>
          <w:p w14:paraId="0369BAD1" w14:textId="77777777" w:rsidR="00BF1AA3" w:rsidRPr="00707403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0A309708" w14:textId="77777777" w:rsidR="00BF1AA3" w:rsidRPr="00707403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51EBCBE" w14:textId="77777777" w:rsidR="00BF1AA3" w:rsidRPr="00707403" w:rsidRDefault="00BF1AA3" w:rsidP="00C44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2.4. </w:t>
            </w:r>
            <w:r w:rsidR="00C44C35" w:rsidRPr="00707403">
              <w:rPr>
                <w:rFonts w:asciiTheme="minorHAnsi" w:hAnsiTheme="minorHAnsi" w:cstheme="minorHAnsi"/>
                <w:sz w:val="22"/>
                <w:szCs w:val="22"/>
              </w:rPr>
              <w:t>Produkty końcowe projektu.</w:t>
            </w:r>
          </w:p>
        </w:tc>
        <w:tc>
          <w:tcPr>
            <w:tcW w:w="7938" w:type="dxa"/>
            <w:shd w:val="clear" w:color="auto" w:fill="auto"/>
          </w:tcPr>
          <w:p w14:paraId="073B664C" w14:textId="77777777" w:rsidR="00BF1AA3" w:rsidRPr="00707403" w:rsidRDefault="007E7709" w:rsidP="009777B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9777B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rozważyć wskazanie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Portal</w:t>
            </w:r>
            <w:r w:rsidR="009777B9" w:rsidRPr="007074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Informacyjn</w:t>
            </w:r>
            <w:r w:rsidR="009777B9" w:rsidRPr="00707403">
              <w:rPr>
                <w:rFonts w:asciiTheme="minorHAnsi" w:hAnsiTheme="minorHAnsi" w:cstheme="minorHAnsi"/>
                <w:sz w:val="22"/>
                <w:szCs w:val="22"/>
              </w:rPr>
              <w:t>ego jako osobnego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produkt</w:t>
            </w:r>
            <w:r w:rsidR="009777B9" w:rsidRPr="007074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14:paraId="0CD0179A" w14:textId="77777777" w:rsidR="00BF1AA3" w:rsidRPr="00707403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262625F2" w14:textId="3F22BE52" w:rsidR="00BF1AA3" w:rsidRPr="00707403" w:rsidRDefault="00E340B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5D2890" w:rsidRPr="00707403">
              <w:rPr>
                <w:rFonts w:asciiTheme="minorHAnsi" w:hAnsiTheme="minorHAnsi" w:cstheme="minorHAnsi"/>
                <w:sz w:val="22"/>
                <w:szCs w:val="22"/>
              </w:rPr>
              <w:t>względniono</w:t>
            </w:r>
          </w:p>
        </w:tc>
      </w:tr>
      <w:tr w:rsidR="00707403" w:rsidRPr="00707403" w14:paraId="00D96600" w14:textId="77777777" w:rsidTr="00B30966">
        <w:tc>
          <w:tcPr>
            <w:tcW w:w="562" w:type="dxa"/>
            <w:shd w:val="clear" w:color="auto" w:fill="auto"/>
          </w:tcPr>
          <w:p w14:paraId="7AB0C087" w14:textId="77777777" w:rsidR="00C44C35" w:rsidRPr="00707403" w:rsidRDefault="00CF23B9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9D7013D" w14:textId="77777777" w:rsidR="00C44C35" w:rsidRPr="00707403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78576749" w14:textId="77777777" w:rsidR="00C44C35" w:rsidRPr="00707403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kosztowych.</w:t>
            </w:r>
          </w:p>
        </w:tc>
        <w:tc>
          <w:tcPr>
            <w:tcW w:w="7938" w:type="dxa"/>
            <w:shd w:val="clear" w:color="auto" w:fill="auto"/>
          </w:tcPr>
          <w:p w14:paraId="4C224B76" w14:textId="77777777" w:rsidR="00C44C35" w:rsidRPr="00707403" w:rsidRDefault="00CC268A" w:rsidP="00CC268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Należy zweryfikować prawidłowość oszacowania kosztów w poszczególnych pozycjach kosztowych i </w:t>
            </w:r>
            <w:r w:rsidR="007E7709" w:rsidRPr="00707403">
              <w:rPr>
                <w:rFonts w:asciiTheme="minorHAnsi" w:hAnsiTheme="minorHAnsi" w:cstheme="minorHAnsi"/>
                <w:sz w:val="22"/>
                <w:szCs w:val="22"/>
              </w:rPr>
              <w:t>wyodrębnić</w:t>
            </w:r>
            <w:r w:rsidR="00A00D4E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koszty szkoleń ujęte</w:t>
            </w:r>
            <w:r w:rsidR="007E770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w koszcie oprogramowania.</w:t>
            </w:r>
          </w:p>
        </w:tc>
        <w:tc>
          <w:tcPr>
            <w:tcW w:w="2127" w:type="dxa"/>
            <w:shd w:val="clear" w:color="auto" w:fill="auto"/>
          </w:tcPr>
          <w:p w14:paraId="5AB5D617" w14:textId="77777777" w:rsidR="00C44C35" w:rsidRPr="00707403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CE32399" w14:textId="1C34FED1" w:rsidR="00C44C35" w:rsidRPr="00707403" w:rsidRDefault="005D2890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707403" w:rsidRPr="00707403" w14:paraId="2669036C" w14:textId="77777777" w:rsidTr="00B30966">
        <w:tc>
          <w:tcPr>
            <w:tcW w:w="562" w:type="dxa"/>
            <w:shd w:val="clear" w:color="auto" w:fill="auto"/>
          </w:tcPr>
          <w:p w14:paraId="2F2AB111" w14:textId="77777777" w:rsidR="00C44C35" w:rsidRPr="00707403" w:rsidRDefault="00CF23B9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3D7B352" w14:textId="77777777" w:rsidR="00C44C35" w:rsidRPr="00707403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506FD1C" w14:textId="77777777" w:rsidR="00C44C35" w:rsidRPr="00707403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5.2. Ryzyka wpływające na utrzymanie efektów.</w:t>
            </w:r>
          </w:p>
        </w:tc>
        <w:tc>
          <w:tcPr>
            <w:tcW w:w="7938" w:type="dxa"/>
            <w:shd w:val="clear" w:color="auto" w:fill="auto"/>
          </w:tcPr>
          <w:p w14:paraId="0828F2BB" w14:textId="77777777" w:rsidR="00C44C35" w:rsidRPr="00707403" w:rsidRDefault="006D4101" w:rsidP="007E770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Sposób zarządzania wskazanym ryzykiem niezapewnienia odpowiedniego poziomu dostępności systemu należy uzupełnić o aspekty związane z bezpieczeństwem rozwiązania, które tak jak wydajność ma wpływ na dostępność.</w:t>
            </w:r>
          </w:p>
        </w:tc>
        <w:tc>
          <w:tcPr>
            <w:tcW w:w="2127" w:type="dxa"/>
            <w:shd w:val="clear" w:color="auto" w:fill="auto"/>
          </w:tcPr>
          <w:p w14:paraId="25F499BF" w14:textId="77777777" w:rsidR="00C44C35" w:rsidRPr="00707403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3BAF580" w14:textId="3EE4CA6C" w:rsidR="00C44C35" w:rsidRPr="00707403" w:rsidRDefault="001D4ABE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Uwzględniono </w:t>
            </w:r>
          </w:p>
        </w:tc>
      </w:tr>
      <w:tr w:rsidR="00707403" w:rsidRPr="00707403" w14:paraId="5B196D9E" w14:textId="77777777" w:rsidTr="00B30966">
        <w:tc>
          <w:tcPr>
            <w:tcW w:w="562" w:type="dxa"/>
            <w:shd w:val="clear" w:color="auto" w:fill="auto"/>
          </w:tcPr>
          <w:p w14:paraId="25B50A7F" w14:textId="77777777" w:rsidR="00C44C35" w:rsidRPr="00707403" w:rsidRDefault="00CF23B9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2D606FD2" w14:textId="77777777" w:rsidR="00C44C35" w:rsidRPr="00707403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67AEA247" w14:textId="77777777" w:rsidR="00C44C35" w:rsidRPr="00707403" w:rsidRDefault="002020C6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14:paraId="31947993" w14:textId="77777777" w:rsidR="00C44C35" w:rsidRPr="00707403" w:rsidRDefault="00DB0628" w:rsidP="00DB06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45E77" w:rsidRPr="00707403">
              <w:rPr>
                <w:rFonts w:asciiTheme="minorHAnsi" w:hAnsiTheme="minorHAnsi" w:cstheme="minorHAnsi"/>
                <w:sz w:val="22"/>
                <w:szCs w:val="22"/>
              </w:rPr>
              <w:t>idok kooperacji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aplikacji</w:t>
            </w:r>
            <w:r w:rsidR="00245E77" w:rsidRPr="007074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listę systemów i listę</w:t>
            </w:r>
            <w:r w:rsidR="00245E77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przepływów 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należy zaktualizować </w:t>
            </w:r>
            <w:r w:rsidR="00245E77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2D166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 w:rsidR="00245E77" w:rsidRPr="00707403">
              <w:rPr>
                <w:rFonts w:asciiTheme="minorHAnsi" w:hAnsiTheme="minorHAnsi" w:cstheme="minorHAnsi"/>
                <w:sz w:val="22"/>
                <w:szCs w:val="22"/>
              </w:rPr>
              <w:t>gabinet.gov.pl, który mają wykorzystywać lekarze do korzystania z SChRz.</w:t>
            </w:r>
          </w:p>
        </w:tc>
        <w:tc>
          <w:tcPr>
            <w:tcW w:w="2127" w:type="dxa"/>
            <w:shd w:val="clear" w:color="auto" w:fill="auto"/>
          </w:tcPr>
          <w:p w14:paraId="2808D8F1" w14:textId="77777777" w:rsidR="00C44C35" w:rsidRPr="00707403" w:rsidRDefault="008C59B2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6775589" w14:textId="2A4412E8" w:rsidR="00C44C35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707403" w:rsidRPr="00707403" w14:paraId="6F3C3EB9" w14:textId="77777777" w:rsidTr="00B30966">
        <w:tc>
          <w:tcPr>
            <w:tcW w:w="562" w:type="dxa"/>
            <w:shd w:val="clear" w:color="auto" w:fill="auto"/>
          </w:tcPr>
          <w:p w14:paraId="798F222F" w14:textId="77777777" w:rsidR="002D1669" w:rsidRPr="00707403" w:rsidRDefault="006579C6" w:rsidP="002D166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31F5279" w14:textId="77777777" w:rsidR="002D1669" w:rsidRPr="00707403" w:rsidRDefault="002D1669" w:rsidP="002D16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63ABA6EC" w14:textId="77777777" w:rsidR="002D1669" w:rsidRPr="00707403" w:rsidRDefault="002D1669" w:rsidP="002D1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14:paraId="4B2FAA11" w14:textId="77777777" w:rsidR="002D1669" w:rsidRPr="00707403" w:rsidRDefault="002D1669" w:rsidP="002D16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W przypadku wyłączenia Portalu Informacyjnego z systemu SChRZ konieczna jest zmiana widoku kooperacji, listy systemów i listy przepływów. </w:t>
            </w:r>
          </w:p>
        </w:tc>
        <w:tc>
          <w:tcPr>
            <w:tcW w:w="2127" w:type="dxa"/>
            <w:shd w:val="clear" w:color="auto" w:fill="auto"/>
          </w:tcPr>
          <w:p w14:paraId="7E9C2218" w14:textId="77777777" w:rsidR="002D1669" w:rsidRPr="00707403" w:rsidRDefault="002D1669" w:rsidP="002D1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46D4DD57" w14:textId="5D9627D0" w:rsidR="002D1669" w:rsidRPr="00707403" w:rsidRDefault="00647436" w:rsidP="002D1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707403" w:rsidRPr="00707403" w14:paraId="28F52F2E" w14:textId="77777777" w:rsidTr="00B30966">
        <w:tc>
          <w:tcPr>
            <w:tcW w:w="562" w:type="dxa"/>
            <w:shd w:val="clear" w:color="auto" w:fill="auto"/>
          </w:tcPr>
          <w:p w14:paraId="753F4387" w14:textId="77777777" w:rsidR="00DB0628" w:rsidRPr="00707403" w:rsidRDefault="00CF23B9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  <w:r w:rsidR="006579C6"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0E89DB" w14:textId="77777777" w:rsidR="00DB0628" w:rsidRPr="00707403" w:rsidRDefault="00DB062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23CB5B1F" w14:textId="77777777" w:rsidR="00DB0628" w:rsidRPr="00707403" w:rsidRDefault="00DB0628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14:paraId="4B736F74" w14:textId="77777777" w:rsidR="00DB0628" w:rsidRPr="00707403" w:rsidRDefault="00DB0628" w:rsidP="00DB06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W Liście systemów, pkt. 10 „mojeIKP” w polu „Krótki opis..” należy skorygować błąd redakcyjny (dot. hemofilii).</w:t>
            </w:r>
          </w:p>
        </w:tc>
        <w:tc>
          <w:tcPr>
            <w:tcW w:w="2127" w:type="dxa"/>
            <w:shd w:val="clear" w:color="auto" w:fill="auto"/>
          </w:tcPr>
          <w:p w14:paraId="2687A203" w14:textId="77777777" w:rsidR="00DB0628" w:rsidRPr="00707403" w:rsidRDefault="00DB0628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C5F2402" w14:textId="771006B1" w:rsidR="00DB0628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707403" w:rsidRPr="00707403" w14:paraId="5357CDBB" w14:textId="77777777" w:rsidTr="00B30966">
        <w:tc>
          <w:tcPr>
            <w:tcW w:w="562" w:type="dxa"/>
            <w:shd w:val="clear" w:color="auto" w:fill="auto"/>
          </w:tcPr>
          <w:p w14:paraId="611FB201" w14:textId="77777777" w:rsidR="00DB0628" w:rsidRPr="00707403" w:rsidRDefault="00DB0628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7FCB658" w14:textId="77777777" w:rsidR="00DB0628" w:rsidRPr="00707403" w:rsidRDefault="00DB062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4EC099C" w14:textId="77777777" w:rsidR="00DB0628" w:rsidRPr="00707403" w:rsidRDefault="00DB0628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rozwiązania.</w:t>
            </w:r>
          </w:p>
        </w:tc>
        <w:tc>
          <w:tcPr>
            <w:tcW w:w="7938" w:type="dxa"/>
            <w:shd w:val="clear" w:color="auto" w:fill="auto"/>
          </w:tcPr>
          <w:p w14:paraId="7E3995FC" w14:textId="77777777" w:rsidR="00DB0628" w:rsidRPr="00707403" w:rsidRDefault="002D1669" w:rsidP="002D16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W przypadku</w:t>
            </w:r>
            <w:r w:rsidR="00DB0628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wyłącz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enia</w:t>
            </w:r>
            <w:r w:rsidR="00DB0628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Portal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u Informacyjnego z systemu SChRZ konieczna jest zmiana widoku komponentów. </w:t>
            </w:r>
          </w:p>
        </w:tc>
        <w:tc>
          <w:tcPr>
            <w:tcW w:w="2127" w:type="dxa"/>
            <w:shd w:val="clear" w:color="auto" w:fill="auto"/>
          </w:tcPr>
          <w:p w14:paraId="023BEF78" w14:textId="77777777" w:rsidR="00DB0628" w:rsidRPr="00707403" w:rsidRDefault="00DB0628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505E7914" w14:textId="162EA833" w:rsidR="00DB0628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707403" w:rsidRPr="00707403" w14:paraId="4BD2797F" w14:textId="77777777" w:rsidTr="00B30966">
        <w:tc>
          <w:tcPr>
            <w:tcW w:w="562" w:type="dxa"/>
            <w:shd w:val="clear" w:color="auto" w:fill="auto"/>
          </w:tcPr>
          <w:p w14:paraId="6A7C6B21" w14:textId="77777777" w:rsidR="00DB0628" w:rsidRPr="00707403" w:rsidRDefault="00014011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226B5EB" w14:textId="77777777" w:rsidR="00DB0628" w:rsidRPr="00707403" w:rsidRDefault="00CF23B9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621DC58C" w14:textId="77777777" w:rsidR="00DB0628" w:rsidRPr="00707403" w:rsidRDefault="00DB0628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rozwiązania.</w:t>
            </w:r>
          </w:p>
        </w:tc>
        <w:tc>
          <w:tcPr>
            <w:tcW w:w="7938" w:type="dxa"/>
            <w:shd w:val="clear" w:color="auto" w:fill="auto"/>
          </w:tcPr>
          <w:p w14:paraId="2B306926" w14:textId="77777777" w:rsidR="00DB0628" w:rsidRPr="00707403" w:rsidRDefault="00DB0628" w:rsidP="002D16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Należy rozważyć modyfikację elementów, które są elementami wspólnymi dla projektu eHemofilia, dlatego zostały wskazane jako planowane w innym projekcie, ale jednocześnie one jako całość stanowią </w:t>
            </w:r>
            <w:r w:rsidR="002D166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PRCR, który jest jednym z głównych produktów projektu.</w:t>
            </w:r>
          </w:p>
        </w:tc>
        <w:tc>
          <w:tcPr>
            <w:tcW w:w="2127" w:type="dxa"/>
            <w:shd w:val="clear" w:color="auto" w:fill="auto"/>
          </w:tcPr>
          <w:p w14:paraId="7B3E8FBF" w14:textId="77777777" w:rsidR="00DB0628" w:rsidRPr="00707403" w:rsidRDefault="00DB0628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14:paraId="2A1D9464" w14:textId="7288A355" w:rsidR="00DB0628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CF23B9" w:rsidRPr="00707403" w14:paraId="1F4DA19E" w14:textId="77777777" w:rsidTr="00B30966">
        <w:tc>
          <w:tcPr>
            <w:tcW w:w="562" w:type="dxa"/>
            <w:shd w:val="clear" w:color="auto" w:fill="auto"/>
          </w:tcPr>
          <w:p w14:paraId="648BEDAD" w14:textId="77777777" w:rsidR="00CF23B9" w:rsidRPr="00707403" w:rsidRDefault="00CF23B9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729FF4E" w14:textId="77777777" w:rsidR="00CF23B9" w:rsidRPr="00707403" w:rsidRDefault="00CF23B9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1343E08" w14:textId="77777777" w:rsidR="00CF23B9" w:rsidRPr="00707403" w:rsidRDefault="00CF23B9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938" w:type="dxa"/>
            <w:shd w:val="clear" w:color="auto" w:fill="auto"/>
          </w:tcPr>
          <w:p w14:paraId="5C3CABEB" w14:textId="77777777" w:rsidR="00CF23B9" w:rsidRPr="00707403" w:rsidRDefault="006579C6" w:rsidP="00CF23B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Ze względu na zakres projektu należy</w:t>
            </w:r>
            <w:r w:rsidR="002D166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uzupełnić</w:t>
            </w:r>
            <w:r w:rsidR="00CF23B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informację</w:t>
            </w:r>
            <w:r w:rsidR="002D1669" w:rsidRPr="00707403">
              <w:rPr>
                <w:rFonts w:asciiTheme="minorHAnsi" w:hAnsiTheme="minorHAnsi" w:cstheme="minorHAnsi"/>
                <w:sz w:val="22"/>
                <w:szCs w:val="22"/>
              </w:rPr>
              <w:t xml:space="preserve"> o zapewnienie zgodności z ISO27001 (SZBI)</w:t>
            </w:r>
          </w:p>
          <w:p w14:paraId="1E9C4F9C" w14:textId="77777777" w:rsidR="00CF23B9" w:rsidRPr="00707403" w:rsidRDefault="00CF23B9" w:rsidP="00DB06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6DA6C319" w14:textId="77777777" w:rsidR="00CF23B9" w:rsidRPr="00707403" w:rsidRDefault="00CF23B9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1979576" w14:textId="121B0B74" w:rsidR="00CF23B9" w:rsidRPr="00707403" w:rsidRDefault="0064743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7403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157596" w:rsidRPr="00707403" w14:paraId="4E2DD2A1" w14:textId="77777777" w:rsidTr="00B30966">
        <w:tc>
          <w:tcPr>
            <w:tcW w:w="562" w:type="dxa"/>
            <w:shd w:val="clear" w:color="auto" w:fill="auto"/>
          </w:tcPr>
          <w:p w14:paraId="6C5ACA10" w14:textId="077ECEEC" w:rsidR="00157596" w:rsidRPr="00707403" w:rsidRDefault="00046B7A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7206C2B1" w14:textId="09EA2D28" w:rsidR="00157596" w:rsidRPr="00707403" w:rsidRDefault="00046B7A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2268" w:type="dxa"/>
            <w:shd w:val="clear" w:color="auto" w:fill="auto"/>
          </w:tcPr>
          <w:p w14:paraId="0867FC50" w14:textId="47ADFAA4" w:rsidR="00157596" w:rsidRPr="00707403" w:rsidRDefault="00046B7A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1.1; 2.1; 2.2; 3; 6</w:t>
            </w:r>
          </w:p>
        </w:tc>
        <w:tc>
          <w:tcPr>
            <w:tcW w:w="7938" w:type="dxa"/>
            <w:shd w:val="clear" w:color="auto" w:fill="auto"/>
          </w:tcPr>
          <w:p w14:paraId="18472DDB" w14:textId="7C9F103C" w:rsidR="00157596" w:rsidRPr="00707403" w:rsidRDefault="00046B7A" w:rsidP="00CF23B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ww. projektu informatycznego jest mowa o </w:t>
            </w:r>
            <w:r w:rsidRPr="00693E73">
              <w:rPr>
                <w:rFonts w:asciiTheme="minorHAnsi" w:hAnsiTheme="minorHAnsi" w:cstheme="minorHAnsi"/>
                <w:sz w:val="22"/>
                <w:szCs w:val="22"/>
              </w:rPr>
              <w:t>Paszpor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693E73">
              <w:rPr>
                <w:rFonts w:asciiTheme="minorHAnsi" w:hAnsiTheme="minorHAnsi" w:cstheme="minorHAnsi"/>
                <w:sz w:val="22"/>
                <w:szCs w:val="22"/>
              </w:rPr>
              <w:t xml:space="preserve"> Pacjenta z Chorobą Rzadką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Pod rozwagę należy poddać zmianę zwrotu: </w:t>
            </w:r>
            <w:r w:rsidRPr="00BC193F">
              <w:rPr>
                <w:rFonts w:asciiTheme="minorHAnsi" w:hAnsiTheme="minorHAnsi" w:cstheme="minorHAnsi"/>
                <w:i/>
                <w:sz w:val="22"/>
                <w:szCs w:val="22"/>
              </w:rPr>
              <w:t>„paszport”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inny. Obecny zapis może sugerować, że chodzi o dokument podróży wydawany dla pacjenta, który ma chorobę rzadką. To z kolei budzi wątpliwości w kontekście ustawy z dnia 27 stycznia 2022 r. </w:t>
            </w:r>
            <w:r w:rsidRPr="00BC193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 dokumentach paszportowych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(Dz. U. z 2023 r. poz. 1302, z późn. zm.), która określa m. in. osoby uprawnione do posiadania dokumentu paszportowego, rodzaje dokumentów paszportowych, wśród których wyróżnia paszport, jak też </w:t>
            </w:r>
            <w:r w:rsidRPr="00BC193F">
              <w:rPr>
                <w:rFonts w:asciiTheme="minorHAnsi" w:hAnsiTheme="minorHAnsi" w:cstheme="minorHAnsi"/>
                <w:sz w:val="22"/>
                <w:szCs w:val="22"/>
              </w:rPr>
              <w:t>zasady wydawania dokumentów paszportowych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etc.</w:t>
            </w:r>
          </w:p>
        </w:tc>
        <w:tc>
          <w:tcPr>
            <w:tcW w:w="2127" w:type="dxa"/>
            <w:shd w:val="clear" w:color="auto" w:fill="auto"/>
          </w:tcPr>
          <w:p w14:paraId="7DB6E526" w14:textId="331F0C15" w:rsidR="00157596" w:rsidRPr="00707403" w:rsidRDefault="00046B7A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Rozważenie zmiany</w:t>
            </w:r>
            <w:r w:rsidRPr="00BC193F">
              <w:rPr>
                <w:rFonts w:asciiTheme="minorHAnsi" w:hAnsiTheme="minorHAnsi" w:cstheme="minorHAnsi"/>
                <w:sz w:val="22"/>
                <w:szCs w:val="22"/>
              </w:rPr>
              <w:t xml:space="preserve"> zwrotu: </w:t>
            </w:r>
            <w:r w:rsidRPr="00DF59CA">
              <w:rPr>
                <w:rFonts w:asciiTheme="minorHAnsi" w:hAnsiTheme="minorHAnsi" w:cstheme="minorHAnsi"/>
                <w:i/>
                <w:sz w:val="22"/>
                <w:szCs w:val="22"/>
              </w:rPr>
              <w:t>„paszport”</w:t>
            </w:r>
            <w:r w:rsidRPr="00BC193F">
              <w:rPr>
                <w:rFonts w:asciiTheme="minorHAnsi" w:hAnsiTheme="minorHAnsi" w:cstheme="minorHAnsi"/>
                <w:sz w:val="22"/>
                <w:szCs w:val="22"/>
              </w:rPr>
              <w:t xml:space="preserve"> na inny.</w:t>
            </w:r>
          </w:p>
        </w:tc>
        <w:tc>
          <w:tcPr>
            <w:tcW w:w="1359" w:type="dxa"/>
          </w:tcPr>
          <w:p w14:paraId="22D1A82D" w14:textId="78E19241" w:rsidR="00157596" w:rsidRDefault="00046B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Nazwa pochodzi z załącznika do uchwały nr 110 Rady Ministrów z dnia 24 sierpnia 2021 r. w sprawie przyjęcia dokumentu Plan dla Chorób Rzadkich. W chwili obecnej Ministerstwo Zdrowia proceduje zmiany ww. dokumentu, które mają m.in.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zmienić nazwę omawianego dokumentu.</w:t>
            </w:r>
          </w:p>
          <w:p w14:paraId="50788DD8" w14:textId="77777777" w:rsidR="00046B7A" w:rsidRPr="00046B7A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08DBB6" w14:textId="77777777" w:rsidR="00046B7A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81E4A7" w14:textId="77777777" w:rsidR="00046B7A" w:rsidRPr="00046B7A" w:rsidRDefault="00046B7A" w:rsidP="00046B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7596" w:rsidRPr="00707403" w14:paraId="5D5A8B09" w14:textId="77777777" w:rsidTr="00B30966">
        <w:tc>
          <w:tcPr>
            <w:tcW w:w="562" w:type="dxa"/>
            <w:shd w:val="clear" w:color="auto" w:fill="auto"/>
          </w:tcPr>
          <w:p w14:paraId="0DCACFB8" w14:textId="7CD14DF4" w:rsidR="00157596" w:rsidRPr="00707403" w:rsidRDefault="00046B7A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1134" w:type="dxa"/>
            <w:shd w:val="clear" w:color="auto" w:fill="auto"/>
          </w:tcPr>
          <w:p w14:paraId="388F7054" w14:textId="7FEA0407" w:rsidR="00157596" w:rsidRPr="00707403" w:rsidRDefault="00046B7A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2268" w:type="dxa"/>
            <w:shd w:val="clear" w:color="auto" w:fill="auto"/>
          </w:tcPr>
          <w:p w14:paraId="71D51FFA" w14:textId="4B98694B" w:rsidR="00157596" w:rsidRPr="00707403" w:rsidRDefault="00046B7A" w:rsidP="00046B7A">
            <w:pPr>
              <w:tabs>
                <w:tab w:val="left" w:pos="3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177CB4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938" w:type="dxa"/>
            <w:shd w:val="clear" w:color="auto" w:fill="auto"/>
          </w:tcPr>
          <w:p w14:paraId="39641A0C" w14:textId="77777777" w:rsidR="00046B7A" w:rsidRPr="00177CB4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projekcie nie zaplanowano środków na działania informacyjno-promocyjne. Zgodnie z podręcznikiem </w:t>
            </w:r>
            <w:r w:rsidRPr="00177CB4">
              <w:rPr>
                <w:rFonts w:asciiTheme="minorHAnsi" w:hAnsiTheme="minorHAnsi" w:cstheme="minorHAnsi"/>
                <w:sz w:val="22"/>
                <w:szCs w:val="22"/>
              </w:rPr>
              <w:t>wnioskodawcy i beneficjenta Funduszy Europejskich na lata 2021-2027 w zakresie informacji i promocji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0480384" w14:textId="77777777" w:rsidR="00046B7A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Należy: „t</w:t>
            </w:r>
            <w:r w:rsidRPr="00177CB4">
              <w:rPr>
                <w:rFonts w:asciiTheme="minorHAnsi" w:hAnsiTheme="minorHAnsi" w:cstheme="minorHAnsi"/>
                <w:sz w:val="22"/>
                <w:szCs w:val="22"/>
              </w:rPr>
              <w:t xml:space="preserve">ablicę informacyjną umieszczasz, gdy projekt obejmuje prace budowlane, działania w zakresie infrastruktury, inwestycje rzeczowe lub </w:t>
            </w:r>
            <w:r w:rsidRPr="00177C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zakup sprzętu</w:t>
            </w:r>
            <w:r w:rsidRPr="00177CB4">
              <w:rPr>
                <w:rFonts w:asciiTheme="minorHAnsi" w:hAnsiTheme="minorHAnsi" w:cstheme="minorHAnsi"/>
                <w:sz w:val="22"/>
                <w:szCs w:val="22"/>
              </w:rPr>
              <w:t xml:space="preserve"> oraz jest wspierany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77CB4">
              <w:rPr>
                <w:rFonts w:asciiTheme="minorHAnsi" w:hAnsiTheme="minorHAnsi" w:cstheme="minorHAnsi"/>
                <w:sz w:val="22"/>
                <w:szCs w:val="22"/>
              </w:rPr>
              <w:t>z Europejskiego Funduszu Rozwoju Regionalnego lub Funduszu Spójności i jego całkowity koszt przekracza 500 tys. Euro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75BBD1E4" w14:textId="77777777" w:rsidR="00046B7A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700A18" w14:textId="77777777" w:rsidR="00046B7A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do kategorii „Oprogramowanie” wpisali Państwo </w:t>
            </w:r>
            <w:r w:rsidRPr="00247E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szkolenia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a w rubryce szkolenia nie wpisali Państwo żadnych wydatków. </w:t>
            </w:r>
          </w:p>
          <w:p w14:paraId="1838B561" w14:textId="024014B6" w:rsidR="00157596" w:rsidRPr="00707403" w:rsidRDefault="00046B7A" w:rsidP="00046B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należy łączyć oprogramowania i szkoleń. Informuję, że szkolenia w projektach FERC realizowane będą w ramach tzw. cross-financingu. W rozporządzeniu ogólnym dla perspektywy 2021-2027 określono limit na te wydatki w wysokości 15% środków danego priorytetu programu. Z racji limitowania tych wydatków, włączenie kosztu szkolenia do innej kategorii może być odczytany jako nieprawidłowość. Ponadto utrudnia to bardzo instytucjom systemu monitorowanie, czy limit ten nie został w całym priorytecie przekroczony. Jest to o tyle istotne, że w FERC całe jedno działanie 2.5 będzie w bardzo dużej mierze finansowane w ramach cross-financingu, gdyż ukierunkowane jest na szkolenia.</w:t>
            </w:r>
          </w:p>
        </w:tc>
        <w:tc>
          <w:tcPr>
            <w:tcW w:w="2127" w:type="dxa"/>
            <w:shd w:val="clear" w:color="auto" w:fill="auto"/>
          </w:tcPr>
          <w:p w14:paraId="529311F2" w14:textId="6BC1457E" w:rsidR="00157596" w:rsidRPr="00707403" w:rsidRDefault="00046B7A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przeanalizowanie uwagi i poprawę budżetu zgodnie z nią.</w:t>
            </w:r>
          </w:p>
        </w:tc>
        <w:tc>
          <w:tcPr>
            <w:tcW w:w="1359" w:type="dxa"/>
          </w:tcPr>
          <w:p w14:paraId="6F24443B" w14:textId="45B4B774" w:rsidR="00157596" w:rsidRPr="00707403" w:rsidRDefault="00046B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046B7A">
              <w:rPr>
                <w:rFonts w:asciiTheme="minorHAnsi" w:hAnsiTheme="minorHAnsi" w:cstheme="minorHAnsi"/>
                <w:sz w:val="22"/>
                <w:szCs w:val="22"/>
              </w:rPr>
              <w:t>waga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została</w:t>
            </w:r>
            <w:r w:rsidRPr="00046B7A">
              <w:rPr>
                <w:rFonts w:asciiTheme="minorHAnsi" w:hAnsiTheme="minorHAnsi" w:cstheme="minorHAnsi"/>
                <w:sz w:val="22"/>
                <w:szCs w:val="22"/>
              </w:rPr>
              <w:t xml:space="preserve"> wycofana podczas posiedzenia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KRMC w dn.</w:t>
            </w:r>
            <w:r w:rsidRPr="00046B7A">
              <w:rPr>
                <w:rFonts w:asciiTheme="minorHAnsi" w:hAnsiTheme="minorHAnsi" w:cstheme="minorHAnsi"/>
                <w:sz w:val="22"/>
                <w:szCs w:val="22"/>
              </w:rPr>
              <w:t xml:space="preserve"> 11.10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.2023 r.</w:t>
            </w:r>
          </w:p>
        </w:tc>
      </w:tr>
      <w:tr w:rsidR="00157596" w:rsidRPr="00707403" w14:paraId="144853CC" w14:textId="77777777" w:rsidTr="00B30966">
        <w:tc>
          <w:tcPr>
            <w:tcW w:w="562" w:type="dxa"/>
            <w:shd w:val="clear" w:color="auto" w:fill="auto"/>
          </w:tcPr>
          <w:p w14:paraId="20FAE795" w14:textId="230AF48B" w:rsidR="00157596" w:rsidRPr="00707403" w:rsidRDefault="00046B7A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14:paraId="5492F72D" w14:textId="0D6ED1CA" w:rsidR="00157596" w:rsidRPr="00707403" w:rsidRDefault="00046B7A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25214E18" w14:textId="427A7A1B" w:rsidR="00157596" w:rsidRPr="00707403" w:rsidRDefault="00046B7A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7938" w:type="dxa"/>
            <w:shd w:val="clear" w:color="auto" w:fill="auto"/>
          </w:tcPr>
          <w:p w14:paraId="3ACAA039" w14:textId="28D4D894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informacją zawartą w pkt. 4.4 opisu założeń</w:t>
            </w:r>
          </w:p>
          <w:p w14:paraId="0A718E84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tj. „zostaną pokryte w ramach budżetów odpowiednich</w:t>
            </w:r>
          </w:p>
          <w:p w14:paraId="41750F55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dysponentów części budżetowych bez konieczności występowania</w:t>
            </w:r>
          </w:p>
          <w:p w14:paraId="42D9FE41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 dodatkowe środki z budżetu państwa”, należy dodać</w:t>
            </w:r>
          </w:p>
          <w:p w14:paraId="3FFBDD4E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zapewnienie, że sfinansowanie przedmiotowych wydatków</w:t>
            </w:r>
          </w:p>
          <w:p w14:paraId="3C65BD12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ramach realizacji i utrzymania projektu nastąpi w ramach</w:t>
            </w:r>
          </w:p>
          <w:p w14:paraId="26133D2C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nakładów na zdrowie, w tym części 46 – Zdrowie, które zostaną</w:t>
            </w:r>
          </w:p>
          <w:p w14:paraId="4B1E8E76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pokryte w ramach wysokości środków przeznaczonych na</w:t>
            </w:r>
          </w:p>
          <w:p w14:paraId="6E4C17A9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finansowanie ochrony zdrowia, ustalonych zgodnie z art. 131c</w:t>
            </w:r>
          </w:p>
          <w:p w14:paraId="7834A394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ustawy z dnia 27 sierpnia 2004 r. o świadczeniach opieki</w:t>
            </w:r>
          </w:p>
          <w:p w14:paraId="16746845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zdrowotnej finansowanych ze środków publicznych, bez</w:t>
            </w:r>
          </w:p>
          <w:p w14:paraId="0AD0CA27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konieczności ich dodatkowego zwiększania oraz w ramach</w:t>
            </w:r>
          </w:p>
          <w:p w14:paraId="09BDB2E8" w14:textId="06E7FEA8" w:rsidR="00157596" w:rsidRPr="00707403" w:rsidRDefault="00046B7A" w:rsidP="00046B7A">
            <w:pPr>
              <w:tabs>
                <w:tab w:val="left" w:pos="3132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niezwiększonego z tego tytułu funduszu wynagrodzeń</w:t>
            </w:r>
          </w:p>
        </w:tc>
        <w:tc>
          <w:tcPr>
            <w:tcW w:w="2127" w:type="dxa"/>
            <w:shd w:val="clear" w:color="auto" w:fill="auto"/>
          </w:tcPr>
          <w:p w14:paraId="6B926D21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Uzupełnienie OZPI we wskazanym zakresie</w:t>
            </w:r>
          </w:p>
          <w:p w14:paraId="4D852CFF" w14:textId="3B07BCE6" w:rsidR="00157596" w:rsidRPr="00707403" w:rsidRDefault="00046B7A" w:rsidP="00046B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 OZPI w formie pisemnych wyjaśnień).</w:t>
            </w:r>
          </w:p>
        </w:tc>
        <w:tc>
          <w:tcPr>
            <w:tcW w:w="1359" w:type="dxa"/>
          </w:tcPr>
          <w:p w14:paraId="753D74E3" w14:textId="77777777" w:rsidR="00216E17" w:rsidRDefault="00216E17" w:rsidP="00216E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CeZ deklaruje, że koszty utrzymania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budżet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jednostki przyznawanego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części 46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bez konieczności 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</w:t>
            </w:r>
          </w:p>
          <w:p w14:paraId="091C0DC1" w14:textId="77777777" w:rsidR="00157596" w:rsidRPr="00707403" w:rsidRDefault="00157596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7596" w:rsidRPr="00707403" w14:paraId="2BB36D4D" w14:textId="77777777" w:rsidTr="00B30966">
        <w:tc>
          <w:tcPr>
            <w:tcW w:w="562" w:type="dxa"/>
            <w:shd w:val="clear" w:color="auto" w:fill="auto"/>
          </w:tcPr>
          <w:p w14:paraId="2A4E8B87" w14:textId="1AB6CCA0" w:rsidR="00157596" w:rsidRPr="00707403" w:rsidRDefault="00046B7A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1134" w:type="dxa"/>
            <w:shd w:val="clear" w:color="auto" w:fill="auto"/>
          </w:tcPr>
          <w:p w14:paraId="224B7D68" w14:textId="28056248" w:rsidR="00157596" w:rsidRPr="00707403" w:rsidRDefault="00046B7A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4516BD92" w14:textId="56FB7EF0" w:rsidR="00157596" w:rsidRPr="00707403" w:rsidRDefault="00046B7A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7938" w:type="dxa"/>
            <w:shd w:val="clear" w:color="auto" w:fill="auto"/>
          </w:tcPr>
          <w:p w14:paraId="022C8514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tym, że w ramach kosztów realizacji projektu</w:t>
            </w:r>
          </w:p>
          <w:p w14:paraId="00FA053E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przewidywane są do sfinansowania koszty wynagrodzenia dla</w:t>
            </w:r>
          </w:p>
          <w:p w14:paraId="12A7DF1D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zespołu projektu, należy wskazać czy i w jakiej wysokości</w:t>
            </w:r>
          </w:p>
          <w:p w14:paraId="4D271FDD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przewidziane są do sfinansowania wynagrodzenia w ramach</w:t>
            </w:r>
          </w:p>
          <w:p w14:paraId="70FE412C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kosztów utrzymania projektu. Należy podać również, ilu etatów</w:t>
            </w:r>
          </w:p>
          <w:p w14:paraId="651729DF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dotyczą wynagrodzenia w ramach realizacji projektu oraz</w:t>
            </w:r>
          </w:p>
          <w:p w14:paraId="14736C20" w14:textId="44AE37A3" w:rsidR="00157596" w:rsidRPr="00707403" w:rsidRDefault="00046B7A" w:rsidP="00046B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ramach utrzymania (w przypadku ich występowania).</w:t>
            </w:r>
          </w:p>
        </w:tc>
        <w:tc>
          <w:tcPr>
            <w:tcW w:w="2127" w:type="dxa"/>
            <w:shd w:val="clear" w:color="auto" w:fill="auto"/>
          </w:tcPr>
          <w:p w14:paraId="6B2FC2B8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Uzupełnienie OZPI we wskazanym zakresie</w:t>
            </w:r>
          </w:p>
          <w:p w14:paraId="224E1032" w14:textId="77777777" w:rsidR="00046B7A" w:rsidRDefault="00046B7A" w:rsidP="00046B7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</w:t>
            </w:r>
          </w:p>
          <w:p w14:paraId="2B07B230" w14:textId="27D011AD" w:rsidR="00046B7A" w:rsidRPr="00046B7A" w:rsidRDefault="00046B7A" w:rsidP="00046B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OZPI w formie pisemnych wyjaśnień).</w:t>
            </w:r>
          </w:p>
        </w:tc>
        <w:tc>
          <w:tcPr>
            <w:tcW w:w="1359" w:type="dxa"/>
          </w:tcPr>
          <w:p w14:paraId="7913143F" w14:textId="215F89B2" w:rsidR="00AC61CB" w:rsidRDefault="00216E17" w:rsidP="00333F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E17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AC61CB">
              <w:rPr>
                <w:rFonts w:asciiTheme="minorHAnsi" w:hAnsiTheme="minorHAnsi" w:cstheme="minorHAnsi"/>
                <w:sz w:val="22"/>
                <w:szCs w:val="22"/>
              </w:rPr>
              <w:t xml:space="preserve">okresie realizacji projektu wynagrodzenia dotyczą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16E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61C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216E17">
              <w:rPr>
                <w:rFonts w:asciiTheme="minorHAnsi" w:hAnsiTheme="minorHAnsi" w:cstheme="minorHAnsi"/>
                <w:sz w:val="22"/>
                <w:szCs w:val="22"/>
              </w:rPr>
              <w:t>tat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AC61CB">
              <w:rPr>
                <w:rFonts w:asciiTheme="minorHAnsi" w:hAnsiTheme="minorHAnsi" w:cstheme="minorHAnsi"/>
                <w:sz w:val="22"/>
                <w:szCs w:val="22"/>
              </w:rPr>
              <w:t>, natomiast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okresie</w:t>
            </w:r>
            <w:r w:rsidR="00AC61CB">
              <w:rPr>
                <w:rFonts w:asciiTheme="minorHAnsi" w:hAnsiTheme="minorHAnsi" w:cstheme="minorHAnsi"/>
                <w:sz w:val="22"/>
                <w:szCs w:val="22"/>
              </w:rPr>
              <w:t xml:space="preserve"> utrzymania zaplanowano wynagrodzenia dla zespołu składającego się z 5 etatów.</w:t>
            </w:r>
          </w:p>
          <w:p w14:paraId="5019CB75" w14:textId="233A3292" w:rsidR="00AC61CB" w:rsidRDefault="00AC61CB" w:rsidP="00333F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założono, że w okresie realizacji jak i utrzymania </w:t>
            </w:r>
            <w:r>
              <w:rPr>
                <w:rFonts w:ascii="Calibri" w:hAnsi="Calibri" w:cs="Calibri"/>
                <w:sz w:val="22"/>
                <w:szCs w:val="22"/>
              </w:rPr>
              <w:t>znaczna część zespołu będzie oparta</w:t>
            </w:r>
          </w:p>
          <w:p w14:paraId="089F168F" w14:textId="77777777" w:rsidR="00AC61CB" w:rsidRDefault="00AC61CB" w:rsidP="00333F1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o konsultantów pozyskanych w ramach umów zewnętrznych z firmami wyspecjalizowanymi w branży</w:t>
            </w:r>
          </w:p>
          <w:p w14:paraId="614B9581" w14:textId="5A311143" w:rsidR="00157596" w:rsidRPr="00707403" w:rsidRDefault="00AC61CB" w:rsidP="00333F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bodyleasingu/outsoursingu zasobów IT.</w:t>
            </w:r>
            <w:r w:rsidR="00216E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003DE466" w14:textId="77777777" w:rsidR="00C64B1B" w:rsidRPr="00707403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70740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9FD3" w14:textId="77777777" w:rsidR="00F61A6A" w:rsidRDefault="00F61A6A" w:rsidP="00E340B5">
      <w:r>
        <w:separator/>
      </w:r>
    </w:p>
  </w:endnote>
  <w:endnote w:type="continuationSeparator" w:id="0">
    <w:p w14:paraId="6831ECB7" w14:textId="77777777" w:rsidR="00F61A6A" w:rsidRDefault="00F61A6A" w:rsidP="00E3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9C1F4" w14:textId="77777777" w:rsidR="00F61A6A" w:rsidRDefault="00F61A6A" w:rsidP="00E340B5">
      <w:r>
        <w:separator/>
      </w:r>
    </w:p>
  </w:footnote>
  <w:footnote w:type="continuationSeparator" w:id="0">
    <w:p w14:paraId="725D58B1" w14:textId="77777777" w:rsidR="00F61A6A" w:rsidRDefault="00F61A6A" w:rsidP="00E34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21BB"/>
    <w:multiLevelType w:val="hybridMultilevel"/>
    <w:tmpl w:val="7D081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263BF"/>
    <w:multiLevelType w:val="hybridMultilevel"/>
    <w:tmpl w:val="DF9609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C72F0"/>
    <w:multiLevelType w:val="hybridMultilevel"/>
    <w:tmpl w:val="E4E0F4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E1083"/>
    <w:multiLevelType w:val="hybridMultilevel"/>
    <w:tmpl w:val="502AD7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7D2689"/>
    <w:multiLevelType w:val="hybridMultilevel"/>
    <w:tmpl w:val="148220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97C1F"/>
    <w:multiLevelType w:val="hybridMultilevel"/>
    <w:tmpl w:val="1CEC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C7032"/>
    <w:multiLevelType w:val="hybridMultilevel"/>
    <w:tmpl w:val="87180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784335"/>
    <w:multiLevelType w:val="hybridMultilevel"/>
    <w:tmpl w:val="04B84A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50386"/>
    <w:multiLevelType w:val="hybridMultilevel"/>
    <w:tmpl w:val="ADC4C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86783"/>
    <w:multiLevelType w:val="hybridMultilevel"/>
    <w:tmpl w:val="8A00C6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224915">
    <w:abstractNumId w:val="7"/>
  </w:num>
  <w:num w:numId="2" w16cid:durableId="1321421980">
    <w:abstractNumId w:val="1"/>
  </w:num>
  <w:num w:numId="3" w16cid:durableId="734008397">
    <w:abstractNumId w:val="8"/>
  </w:num>
  <w:num w:numId="4" w16cid:durableId="2049639663">
    <w:abstractNumId w:val="6"/>
  </w:num>
  <w:num w:numId="5" w16cid:durableId="1349600102">
    <w:abstractNumId w:val="0"/>
  </w:num>
  <w:num w:numId="6" w16cid:durableId="298463005">
    <w:abstractNumId w:val="9"/>
  </w:num>
  <w:num w:numId="7" w16cid:durableId="1630428390">
    <w:abstractNumId w:val="5"/>
  </w:num>
  <w:num w:numId="8" w16cid:durableId="771242010">
    <w:abstractNumId w:val="2"/>
  </w:num>
  <w:num w:numId="9" w16cid:durableId="1930307143">
    <w:abstractNumId w:val="3"/>
  </w:num>
  <w:num w:numId="10" w16cid:durableId="177832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4011"/>
    <w:rsid w:val="00015D96"/>
    <w:rsid w:val="00034258"/>
    <w:rsid w:val="00036373"/>
    <w:rsid w:val="00046B7A"/>
    <w:rsid w:val="0004713B"/>
    <w:rsid w:val="000C4B79"/>
    <w:rsid w:val="001347FA"/>
    <w:rsid w:val="00140BE8"/>
    <w:rsid w:val="001448E3"/>
    <w:rsid w:val="00157596"/>
    <w:rsid w:val="0019648E"/>
    <w:rsid w:val="001D4ABE"/>
    <w:rsid w:val="002020C6"/>
    <w:rsid w:val="00216E17"/>
    <w:rsid w:val="00245E77"/>
    <w:rsid w:val="0026542A"/>
    <w:rsid w:val="002715B2"/>
    <w:rsid w:val="002D1669"/>
    <w:rsid w:val="003124D1"/>
    <w:rsid w:val="00333F11"/>
    <w:rsid w:val="00340F00"/>
    <w:rsid w:val="00354B55"/>
    <w:rsid w:val="0036529D"/>
    <w:rsid w:val="003B4105"/>
    <w:rsid w:val="003C18F0"/>
    <w:rsid w:val="003E58BD"/>
    <w:rsid w:val="00415B34"/>
    <w:rsid w:val="0041618F"/>
    <w:rsid w:val="004262BB"/>
    <w:rsid w:val="0045532B"/>
    <w:rsid w:val="0045681A"/>
    <w:rsid w:val="004575FF"/>
    <w:rsid w:val="004A4E55"/>
    <w:rsid w:val="004D086F"/>
    <w:rsid w:val="004D7859"/>
    <w:rsid w:val="004E54BE"/>
    <w:rsid w:val="004E7788"/>
    <w:rsid w:val="005D2890"/>
    <w:rsid w:val="005E20B6"/>
    <w:rsid w:val="005F6527"/>
    <w:rsid w:val="006003A8"/>
    <w:rsid w:val="00647436"/>
    <w:rsid w:val="006579C6"/>
    <w:rsid w:val="00660CE4"/>
    <w:rsid w:val="006705EC"/>
    <w:rsid w:val="00680E13"/>
    <w:rsid w:val="006D4101"/>
    <w:rsid w:val="006E16E9"/>
    <w:rsid w:val="00707403"/>
    <w:rsid w:val="00742BE7"/>
    <w:rsid w:val="0077037F"/>
    <w:rsid w:val="007A5233"/>
    <w:rsid w:val="007E7709"/>
    <w:rsid w:val="00807385"/>
    <w:rsid w:val="008C59B2"/>
    <w:rsid w:val="008C6FFF"/>
    <w:rsid w:val="00944932"/>
    <w:rsid w:val="00945482"/>
    <w:rsid w:val="009777B9"/>
    <w:rsid w:val="009B3C3D"/>
    <w:rsid w:val="009C197A"/>
    <w:rsid w:val="009E5FDB"/>
    <w:rsid w:val="00A00D4E"/>
    <w:rsid w:val="00A06425"/>
    <w:rsid w:val="00A75D44"/>
    <w:rsid w:val="00AC33E5"/>
    <w:rsid w:val="00AC61CB"/>
    <w:rsid w:val="00AC65EE"/>
    <w:rsid w:val="00AC7796"/>
    <w:rsid w:val="00B10358"/>
    <w:rsid w:val="00B30966"/>
    <w:rsid w:val="00B871B6"/>
    <w:rsid w:val="00BD5A47"/>
    <w:rsid w:val="00BF1AA3"/>
    <w:rsid w:val="00C44C35"/>
    <w:rsid w:val="00C64B1B"/>
    <w:rsid w:val="00C64DA7"/>
    <w:rsid w:val="00CC268A"/>
    <w:rsid w:val="00CD5EB0"/>
    <w:rsid w:val="00CF23B9"/>
    <w:rsid w:val="00D069A5"/>
    <w:rsid w:val="00D13E7F"/>
    <w:rsid w:val="00DA01FA"/>
    <w:rsid w:val="00DB0628"/>
    <w:rsid w:val="00E14C33"/>
    <w:rsid w:val="00E340B5"/>
    <w:rsid w:val="00E5716F"/>
    <w:rsid w:val="00EB27FA"/>
    <w:rsid w:val="00F2180F"/>
    <w:rsid w:val="00F47845"/>
    <w:rsid w:val="00F61A6A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A4BA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BF1AA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F1AA3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BF1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1AA3"/>
    <w:rPr>
      <w:rFonts w:ascii="Helvetica" w:hAnsi="Helvetic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AA3"/>
    <w:rPr>
      <w:rFonts w:ascii="Helvetica" w:hAnsi="Helvetica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E340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340B5"/>
  </w:style>
  <w:style w:type="character" w:styleId="Odwoanieprzypisukocowego">
    <w:name w:val="endnote reference"/>
    <w:basedOn w:val="Domylnaczcionkaakapitu"/>
    <w:rsid w:val="00E340B5"/>
    <w:rPr>
      <w:vertAlign w:val="superscript"/>
    </w:rPr>
  </w:style>
  <w:style w:type="character" w:customStyle="1" w:styleId="ui-provider">
    <w:name w:val="ui-provider"/>
    <w:basedOn w:val="Domylnaczcionkaakapitu"/>
    <w:rsid w:val="00E34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1426</Words>
  <Characters>8976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2023-11-21T07:54:00Z</dcterms:created>
  <dcterms:modified xsi:type="dcterms:W3CDTF">2023-11-21T07:54:00Z</dcterms:modified>
</cp:coreProperties>
</file>