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FB084" w14:textId="77777777" w:rsidR="00C64B1B" w:rsidRPr="00475D0B" w:rsidRDefault="00C64B1B" w:rsidP="00B556C9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095"/>
        <w:gridCol w:w="4395"/>
        <w:gridCol w:w="1359"/>
      </w:tblGrid>
      <w:tr w:rsidR="00A06425" w:rsidRPr="00A01CEA" w14:paraId="399C736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585D07F" w14:textId="3402B2A9" w:rsidR="00A06425" w:rsidRPr="00A01CEA" w:rsidRDefault="00A06425" w:rsidP="00B556C9">
            <w:pPr>
              <w:rPr>
                <w:b/>
                <w:i/>
                <w:sz w:val="18"/>
                <w:szCs w:val="18"/>
              </w:rPr>
            </w:pPr>
            <w:r w:rsidRPr="00A01CEA">
              <w:rPr>
                <w:b/>
                <w:iCs/>
                <w:sz w:val="18"/>
                <w:szCs w:val="18"/>
              </w:rPr>
              <w:t>Nazwa dokumentu:</w:t>
            </w:r>
            <w:r w:rsidR="00B556C9" w:rsidRPr="00A01CEA">
              <w:rPr>
                <w:b/>
                <w:iCs/>
                <w:sz w:val="18"/>
                <w:szCs w:val="18"/>
              </w:rPr>
              <w:t xml:space="preserve"> </w:t>
            </w:r>
            <w:r w:rsidR="007D2A81" w:rsidRPr="007D2A81">
              <w:rPr>
                <w:bCs/>
                <w:iCs/>
                <w:sz w:val="18"/>
                <w:szCs w:val="18"/>
              </w:rPr>
              <w:t xml:space="preserve">Ars </w:t>
            </w:r>
            <w:proofErr w:type="spellStart"/>
            <w:r w:rsidR="007D2A81" w:rsidRPr="007D2A81">
              <w:rPr>
                <w:bCs/>
                <w:iCs/>
                <w:sz w:val="18"/>
                <w:szCs w:val="18"/>
              </w:rPr>
              <w:t>Aperta</w:t>
            </w:r>
            <w:proofErr w:type="spellEnd"/>
            <w:r w:rsidR="007D2A81" w:rsidRPr="007D2A81">
              <w:rPr>
                <w:bCs/>
                <w:iCs/>
                <w:sz w:val="18"/>
                <w:szCs w:val="18"/>
              </w:rPr>
              <w:t>. Digitalizacja i udostępnienie zbiorów MNP</w:t>
            </w:r>
          </w:p>
        </w:tc>
      </w:tr>
      <w:tr w:rsidR="00A06425" w:rsidRPr="00A01CEA" w14:paraId="741B8273" w14:textId="77777777" w:rsidTr="00752801">
        <w:tc>
          <w:tcPr>
            <w:tcW w:w="562" w:type="dxa"/>
            <w:shd w:val="clear" w:color="auto" w:fill="auto"/>
            <w:vAlign w:val="center"/>
          </w:tcPr>
          <w:p w14:paraId="4203F309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F7816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FEB957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Jednostka redakcyjna, do której wnoszone są uwagi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518EDCF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Treść uwagi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86808AC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A218C97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Odniesienie do uwagi</w:t>
            </w:r>
          </w:p>
        </w:tc>
      </w:tr>
      <w:tr w:rsidR="00A06425" w:rsidRPr="00A01CEA" w14:paraId="2A2CB62A" w14:textId="77777777" w:rsidTr="00752801">
        <w:tc>
          <w:tcPr>
            <w:tcW w:w="562" w:type="dxa"/>
            <w:shd w:val="clear" w:color="auto" w:fill="auto"/>
          </w:tcPr>
          <w:p w14:paraId="5E6870E2" w14:textId="7B2162E3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1</w:t>
            </w:r>
            <w:r w:rsidR="0032266F" w:rsidRPr="00A01CE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7BF78B9" w14:textId="6DC6F30F" w:rsidR="00A06425" w:rsidRPr="00A01CEA" w:rsidRDefault="00B556C9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37873D41" w14:textId="6B2F75C7" w:rsidR="00A06425" w:rsidRPr="00A01CEA" w:rsidRDefault="007D2A81" w:rsidP="00B556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556C9" w:rsidRPr="00A01CEA">
              <w:rPr>
                <w:sz w:val="18"/>
                <w:szCs w:val="18"/>
              </w:rPr>
              <w:t xml:space="preserve">.1. </w:t>
            </w:r>
            <w:r>
              <w:rPr>
                <w:sz w:val="18"/>
                <w:szCs w:val="18"/>
              </w:rPr>
              <w:t>Identyfikacja problemu i potrzeb</w:t>
            </w:r>
          </w:p>
        </w:tc>
        <w:tc>
          <w:tcPr>
            <w:tcW w:w="6095" w:type="dxa"/>
            <w:shd w:val="clear" w:color="auto" w:fill="auto"/>
          </w:tcPr>
          <w:p w14:paraId="3D5AF743" w14:textId="02D8D35F" w:rsidR="007D2A81" w:rsidRDefault="007D2A81" w:rsidP="0006629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Należy odnotować konieczność usystematyzowania informacji dotyczących opisu interesariuszy opiniowanego projektu.</w:t>
            </w:r>
            <w:r w:rsidR="00A752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 uwagi na charakter i liczbę poszczególnych grup potencjalnych użytkowników Muzeum Narodowego w Poznaniu opis interesariuszy projektu powinien wynikać z prawdopodobieństwa </w:t>
            </w:r>
            <w:r w:rsidR="009D6CA7">
              <w:rPr>
                <w:sz w:val="18"/>
                <w:szCs w:val="18"/>
              </w:rPr>
              <w:t xml:space="preserve">wykorzystania przez nich muzealiów </w:t>
            </w:r>
            <w:r>
              <w:rPr>
                <w:sz w:val="18"/>
                <w:szCs w:val="18"/>
              </w:rPr>
              <w:t>udostępni</w:t>
            </w:r>
            <w:r w:rsidR="009D6CA7">
              <w:rPr>
                <w:sz w:val="18"/>
                <w:szCs w:val="18"/>
              </w:rPr>
              <w:t>onych przez Muzeum Narodowego w Poznaniu w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internecie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="009D6CA7">
              <w:rPr>
                <w:sz w:val="18"/>
                <w:szCs w:val="18"/>
              </w:rPr>
              <w:t xml:space="preserve">Przykładowo </w:t>
            </w:r>
            <w:r>
              <w:rPr>
                <w:sz w:val="18"/>
                <w:szCs w:val="18"/>
              </w:rPr>
              <w:t>częściej</w:t>
            </w:r>
            <w:r w:rsidR="00A75224">
              <w:rPr>
                <w:sz w:val="18"/>
                <w:szCs w:val="18"/>
              </w:rPr>
              <w:t>, choćby z uwagi na liczbę nauczycieli akademickich zatrudnionych na samych polskich</w:t>
            </w:r>
            <w:r>
              <w:rPr>
                <w:sz w:val="18"/>
                <w:szCs w:val="18"/>
              </w:rPr>
              <w:t xml:space="preserve"> </w:t>
            </w:r>
            <w:r w:rsidR="00A75224">
              <w:rPr>
                <w:sz w:val="18"/>
                <w:szCs w:val="18"/>
              </w:rPr>
              <w:t xml:space="preserve">uczelniach, </w:t>
            </w:r>
            <w:r>
              <w:rPr>
                <w:sz w:val="18"/>
                <w:szCs w:val="18"/>
              </w:rPr>
              <w:t xml:space="preserve">z zasobu tego lub innego muzeum udostępnionego w </w:t>
            </w:r>
            <w:proofErr w:type="spellStart"/>
            <w:r>
              <w:rPr>
                <w:sz w:val="18"/>
                <w:szCs w:val="18"/>
              </w:rPr>
              <w:t>internecie</w:t>
            </w:r>
            <w:proofErr w:type="spellEnd"/>
            <w:r>
              <w:rPr>
                <w:sz w:val="18"/>
                <w:szCs w:val="18"/>
              </w:rPr>
              <w:t xml:space="preserve"> będą </w:t>
            </w:r>
            <w:r w:rsidR="00A75224">
              <w:rPr>
                <w:sz w:val="18"/>
                <w:szCs w:val="18"/>
              </w:rPr>
              <w:t>korzystać</w:t>
            </w:r>
            <w:r>
              <w:rPr>
                <w:sz w:val="18"/>
                <w:szCs w:val="18"/>
              </w:rPr>
              <w:t xml:space="preserve"> pracownicy naukowi</w:t>
            </w:r>
            <w:r w:rsidR="009D6CA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aniżeli pracownicy Ministerstwa Kultury i Dziedzictwa Narodowego. Inne będą również społeczne efektu poznania muzealiów prezentowanych w </w:t>
            </w:r>
            <w:proofErr w:type="spellStart"/>
            <w:r>
              <w:rPr>
                <w:sz w:val="18"/>
                <w:szCs w:val="18"/>
              </w:rPr>
              <w:t>internecie</w:t>
            </w:r>
            <w:proofErr w:type="spellEnd"/>
            <w:r>
              <w:rPr>
                <w:sz w:val="18"/>
                <w:szCs w:val="18"/>
              </w:rPr>
              <w:t xml:space="preserve"> – w przypadku badaczy będą to w pierwszej kolejności </w:t>
            </w:r>
            <w:r w:rsidR="009D6CA7">
              <w:rPr>
                <w:sz w:val="18"/>
                <w:szCs w:val="18"/>
              </w:rPr>
              <w:t>cele i korzyści</w:t>
            </w:r>
            <w:r>
              <w:rPr>
                <w:sz w:val="18"/>
                <w:szCs w:val="18"/>
              </w:rPr>
              <w:t xml:space="preserve"> naukowe</w:t>
            </w:r>
            <w:r w:rsidR="009D6CA7">
              <w:rPr>
                <w:sz w:val="18"/>
                <w:szCs w:val="18"/>
              </w:rPr>
              <w:t xml:space="preserve"> (z którymi zapoznać może się każdy zainteresowany)</w:t>
            </w:r>
            <w:r>
              <w:rPr>
                <w:sz w:val="18"/>
                <w:szCs w:val="18"/>
              </w:rPr>
              <w:t xml:space="preserve">, a jeśli chodzi o pracowników </w:t>
            </w:r>
            <w:proofErr w:type="spellStart"/>
            <w:r>
              <w:rPr>
                <w:sz w:val="18"/>
                <w:szCs w:val="18"/>
              </w:rPr>
              <w:t>MKiDN</w:t>
            </w:r>
            <w:proofErr w:type="spellEnd"/>
            <w:r>
              <w:rPr>
                <w:sz w:val="18"/>
                <w:szCs w:val="18"/>
              </w:rPr>
              <w:t xml:space="preserve"> będzie </w:t>
            </w:r>
            <w:r w:rsidR="00B7613B">
              <w:rPr>
                <w:sz w:val="18"/>
                <w:szCs w:val="18"/>
              </w:rPr>
              <w:t>to raczej realizacja zainteresowań, pasji itd.</w:t>
            </w:r>
            <w:r w:rsidR="009D6CA7">
              <w:rPr>
                <w:sz w:val="18"/>
                <w:szCs w:val="18"/>
              </w:rPr>
              <w:t xml:space="preserve"> </w:t>
            </w:r>
            <w:r w:rsidR="00A75224">
              <w:rPr>
                <w:sz w:val="18"/>
                <w:szCs w:val="18"/>
              </w:rPr>
              <w:t>P</w:t>
            </w:r>
            <w:r w:rsidR="009D6CA7">
              <w:rPr>
                <w:sz w:val="18"/>
                <w:szCs w:val="18"/>
              </w:rPr>
              <w:t>racowników</w:t>
            </w:r>
            <w:r w:rsidR="00A75224">
              <w:rPr>
                <w:sz w:val="18"/>
                <w:szCs w:val="18"/>
              </w:rPr>
              <w:t xml:space="preserve"> tej instytucji</w:t>
            </w:r>
            <w:r w:rsidR="009D6CA7">
              <w:rPr>
                <w:sz w:val="18"/>
                <w:szCs w:val="18"/>
              </w:rPr>
              <w:t>.</w:t>
            </w:r>
            <w:r w:rsidR="00A75224">
              <w:rPr>
                <w:sz w:val="18"/>
                <w:szCs w:val="18"/>
              </w:rPr>
              <w:t xml:space="preserve"> </w:t>
            </w:r>
          </w:p>
          <w:p w14:paraId="084E7664" w14:textId="754334D9" w:rsidR="00B7613B" w:rsidRDefault="007D2A81" w:rsidP="0006629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 xml:space="preserve">Zastosowany w opisie podział nie spełnia następujących warunków będących podstawą wprowadzenia jakiekolwiek klasyfikacji: rozłączności, </w:t>
            </w:r>
            <w:proofErr w:type="spellStart"/>
            <w:r w:rsidRPr="00475D0B">
              <w:rPr>
                <w:sz w:val="18"/>
                <w:szCs w:val="18"/>
              </w:rPr>
              <w:t>wyczerpywalności</w:t>
            </w:r>
            <w:proofErr w:type="spellEnd"/>
            <w:r w:rsidRPr="00475D0B">
              <w:rPr>
                <w:sz w:val="18"/>
                <w:szCs w:val="18"/>
              </w:rPr>
              <w:t xml:space="preserve"> i wyłączności. </w:t>
            </w:r>
            <w:r w:rsidR="00B7613B">
              <w:rPr>
                <w:sz w:val="18"/>
                <w:szCs w:val="18"/>
              </w:rPr>
              <w:t>Osiem</w:t>
            </w:r>
            <w:r w:rsidRPr="00475D0B">
              <w:rPr>
                <w:color w:val="C00000"/>
                <w:sz w:val="18"/>
                <w:szCs w:val="18"/>
              </w:rPr>
              <w:t xml:space="preserve"> </w:t>
            </w:r>
            <w:r w:rsidRPr="00475D0B">
              <w:rPr>
                <w:sz w:val="18"/>
                <w:szCs w:val="18"/>
              </w:rPr>
              <w:t>wierszy tabeli umieszczonej w punkcie 1.1. opisu (</w:t>
            </w:r>
            <w:r w:rsidR="00B7613B">
              <w:rPr>
                <w:sz w:val="18"/>
                <w:szCs w:val="18"/>
              </w:rPr>
              <w:t xml:space="preserve">pracownicy </w:t>
            </w:r>
            <w:proofErr w:type="spellStart"/>
            <w:r w:rsidR="00B7613B">
              <w:rPr>
                <w:sz w:val="18"/>
                <w:szCs w:val="18"/>
              </w:rPr>
              <w:t>MKiDN</w:t>
            </w:r>
            <w:proofErr w:type="spellEnd"/>
            <w:r w:rsidR="00B7613B">
              <w:rPr>
                <w:sz w:val="18"/>
                <w:szCs w:val="18"/>
              </w:rPr>
              <w:t xml:space="preserve">; </w:t>
            </w:r>
            <w:r w:rsidRPr="00475D0B">
              <w:rPr>
                <w:sz w:val="18"/>
                <w:szCs w:val="18"/>
              </w:rPr>
              <w:t>badacze</w:t>
            </w:r>
            <w:r w:rsidR="00B7613B">
              <w:rPr>
                <w:sz w:val="18"/>
                <w:szCs w:val="18"/>
              </w:rPr>
              <w:t>;</w:t>
            </w:r>
            <w:r w:rsidRPr="00475D0B">
              <w:rPr>
                <w:sz w:val="18"/>
                <w:szCs w:val="18"/>
              </w:rPr>
              <w:t xml:space="preserve"> uczniowie </w:t>
            </w:r>
            <w:r w:rsidR="00B7613B">
              <w:rPr>
                <w:sz w:val="18"/>
                <w:szCs w:val="18"/>
              </w:rPr>
              <w:t>i studenci;</w:t>
            </w:r>
            <w:r w:rsidRPr="00475D0B">
              <w:rPr>
                <w:sz w:val="18"/>
                <w:szCs w:val="18"/>
              </w:rPr>
              <w:t xml:space="preserve"> </w:t>
            </w:r>
            <w:r w:rsidR="00B7613B">
              <w:rPr>
                <w:sz w:val="18"/>
                <w:szCs w:val="18"/>
              </w:rPr>
              <w:t xml:space="preserve">nauczyciele i nauczyciele akademiccy; pracownicy Muzeum Narodowego w Poznaniu; </w:t>
            </w:r>
            <w:r w:rsidR="00B7613B" w:rsidRPr="00475D0B">
              <w:rPr>
                <w:sz w:val="18"/>
                <w:szCs w:val="18"/>
              </w:rPr>
              <w:t>osoby z niepełnosprawnościami</w:t>
            </w:r>
            <w:r w:rsidR="00B7613B">
              <w:rPr>
                <w:sz w:val="18"/>
                <w:szCs w:val="18"/>
              </w:rPr>
              <w:t xml:space="preserve">; turyści; pasjonaci) </w:t>
            </w:r>
            <w:r w:rsidRPr="00475D0B">
              <w:rPr>
                <w:sz w:val="18"/>
                <w:szCs w:val="18"/>
              </w:rPr>
              <w:t xml:space="preserve">dotyczy </w:t>
            </w:r>
            <w:r w:rsidRPr="00475D0B">
              <w:rPr>
                <w:i/>
                <w:iCs/>
                <w:sz w:val="18"/>
                <w:szCs w:val="18"/>
              </w:rPr>
              <w:t>de facto</w:t>
            </w:r>
            <w:r w:rsidRPr="00475D0B">
              <w:rPr>
                <w:sz w:val="18"/>
                <w:szCs w:val="18"/>
              </w:rPr>
              <w:t xml:space="preserve"> potencjalnych użytkowników </w:t>
            </w:r>
            <w:r w:rsidR="009D6CA7">
              <w:rPr>
                <w:sz w:val="18"/>
                <w:szCs w:val="18"/>
              </w:rPr>
              <w:t>Muzeum Narodowego w Poznaniu</w:t>
            </w:r>
            <w:r w:rsidRPr="00475D0B">
              <w:rPr>
                <w:sz w:val="18"/>
                <w:szCs w:val="18"/>
              </w:rPr>
              <w:t xml:space="preserve"> (podział przedmiotowy). Natomiast pozostałe </w:t>
            </w:r>
            <w:r w:rsidR="00B7613B">
              <w:rPr>
                <w:sz w:val="18"/>
                <w:szCs w:val="18"/>
              </w:rPr>
              <w:t xml:space="preserve">wiersze </w:t>
            </w:r>
            <w:r w:rsidRPr="00475D0B">
              <w:rPr>
                <w:sz w:val="18"/>
                <w:szCs w:val="18"/>
              </w:rPr>
              <w:t>odnoszą się do konkretnych instytucji i podmiotów zainteresowanych w projekcie (podział przedmiotowy).</w:t>
            </w:r>
            <w:r w:rsidR="00A75224">
              <w:rPr>
                <w:sz w:val="18"/>
                <w:szCs w:val="18"/>
              </w:rPr>
              <w:t xml:space="preserve"> Systematyzacja ta k</w:t>
            </w:r>
            <w:r w:rsidRPr="00475D0B">
              <w:rPr>
                <w:sz w:val="18"/>
                <w:szCs w:val="18"/>
              </w:rPr>
              <w:t>rzyżuje się z podziałem według kryterium podmiotowości. Informacje dotyczące użytkowników muzealiów (</w:t>
            </w:r>
            <w:r w:rsidR="009D6CA7">
              <w:rPr>
                <w:sz w:val="18"/>
                <w:szCs w:val="18"/>
              </w:rPr>
              <w:t>osiem</w:t>
            </w:r>
            <w:r w:rsidRPr="00475D0B">
              <w:rPr>
                <w:sz w:val="18"/>
                <w:szCs w:val="18"/>
              </w:rPr>
              <w:t xml:space="preserve"> opisanych wierszy tabeli) nie mają charakteru rozłącznego, przez co systematyzacja ta może utrudniać ocenę całego projektu. Powoduje to kolejny problem, tj. powtarzanie szczegółowej charakterystyki zidentyfikowanych problemów, a każdym ze wskazanych wyżej wierszy opisu projektu.</w:t>
            </w:r>
            <w:r w:rsidR="00B7613B">
              <w:rPr>
                <w:sz w:val="18"/>
                <w:szCs w:val="18"/>
              </w:rPr>
              <w:t xml:space="preserve"> </w:t>
            </w:r>
          </w:p>
          <w:p w14:paraId="62C670FB" w14:textId="77777777" w:rsidR="00A06425" w:rsidRDefault="00B7613B" w:rsidP="0006629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Poza tym trudno uznać za uzasadnione opisanie w jednym punkcie uczniów i studentów (z uwagi na inną specyfikę wykorzystania muzealiów w szkołach – jako pomoc dydaktyczna i na studiach – pomoc naukowa) oraz nauczycieli i nauczycieli akademickich (z uwagi na inną specyfikę pracy tych pierwszych – edukacja powszechna w porównaniu do drugiej wymienionej grupy – rozwijanie danej dyscypliny naukowej oraz prowadzenie zajęć dydaktycznych z tym związanych)</w:t>
            </w:r>
            <w:r w:rsidR="009D6CA7">
              <w:rPr>
                <w:sz w:val="18"/>
                <w:szCs w:val="18"/>
              </w:rPr>
              <w:t>.</w:t>
            </w:r>
          </w:p>
          <w:p w14:paraId="5A45BD9B" w14:textId="1090CDFD" w:rsidR="009D6CA7" w:rsidRPr="00A01CEA" w:rsidRDefault="009D6CA7" w:rsidP="0006629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Wszystkie opisane wyżej uwagi mogą mieć wpływ na obniżoną ocenę opiniowanego projektu 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087B8BA" w14:textId="0D29F036" w:rsidR="00A06425" w:rsidRPr="00A01CEA" w:rsidRDefault="009D6CA7" w:rsidP="0006629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Rozwiązaniem zasygnalizowanego problemu może być wprowadzenie jednego wiersza, w którym można opisać wszystkich potencjalnych interesariuszy projektu, tj. ich użytkowników, z podziałem na przykładowe cele prowadzonych kwerend (naukowe, administracyjne, genealogiczne itd.). Pozwoliło by to na połączenie powtarzających się treści dotyczących szczegółowej charakterystyki zidentyfikowanych problemów w jednym miejscu.</w:t>
            </w:r>
          </w:p>
        </w:tc>
        <w:tc>
          <w:tcPr>
            <w:tcW w:w="1359" w:type="dxa"/>
          </w:tcPr>
          <w:p w14:paraId="31C6941C" w14:textId="77777777" w:rsidR="00A06425" w:rsidRPr="00A01CEA" w:rsidRDefault="00A06425" w:rsidP="00B556C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405FE1B" w14:textId="77777777" w:rsidR="00C64B1B" w:rsidRPr="00475D0B" w:rsidRDefault="00C64B1B" w:rsidP="00B556C9">
      <w:pPr>
        <w:jc w:val="center"/>
      </w:pPr>
    </w:p>
    <w:sectPr w:rsidR="00C64B1B" w:rsidRPr="00475D0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775BE"/>
    <w:multiLevelType w:val="multilevel"/>
    <w:tmpl w:val="BCB6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13455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6224"/>
    <w:rsid w:val="00034258"/>
    <w:rsid w:val="00047E99"/>
    <w:rsid w:val="00053A3F"/>
    <w:rsid w:val="00066299"/>
    <w:rsid w:val="00140BE8"/>
    <w:rsid w:val="00154627"/>
    <w:rsid w:val="00185326"/>
    <w:rsid w:val="0019648E"/>
    <w:rsid w:val="001E2DE2"/>
    <w:rsid w:val="00246F5C"/>
    <w:rsid w:val="002715B2"/>
    <w:rsid w:val="003124D1"/>
    <w:rsid w:val="0032266F"/>
    <w:rsid w:val="003B4105"/>
    <w:rsid w:val="00425157"/>
    <w:rsid w:val="004463E2"/>
    <w:rsid w:val="00475D0B"/>
    <w:rsid w:val="004D086F"/>
    <w:rsid w:val="005F6527"/>
    <w:rsid w:val="006705EC"/>
    <w:rsid w:val="006E16E9"/>
    <w:rsid w:val="006E716E"/>
    <w:rsid w:val="00752801"/>
    <w:rsid w:val="007D2A81"/>
    <w:rsid w:val="00807385"/>
    <w:rsid w:val="00822465"/>
    <w:rsid w:val="008763DB"/>
    <w:rsid w:val="00944932"/>
    <w:rsid w:val="009D6CA7"/>
    <w:rsid w:val="009E5FDB"/>
    <w:rsid w:val="00A01CEA"/>
    <w:rsid w:val="00A06425"/>
    <w:rsid w:val="00A75224"/>
    <w:rsid w:val="00A75EA9"/>
    <w:rsid w:val="00AC7796"/>
    <w:rsid w:val="00B556C9"/>
    <w:rsid w:val="00B7613B"/>
    <w:rsid w:val="00B871B6"/>
    <w:rsid w:val="00C64B1B"/>
    <w:rsid w:val="00CD5EB0"/>
    <w:rsid w:val="00CF0D28"/>
    <w:rsid w:val="00D46157"/>
    <w:rsid w:val="00E13454"/>
    <w:rsid w:val="00E14C33"/>
    <w:rsid w:val="00F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AF06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55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3</cp:revision>
  <cp:lastPrinted>2024-11-25T09:06:00Z</cp:lastPrinted>
  <dcterms:created xsi:type="dcterms:W3CDTF">2024-11-25T11:13:00Z</dcterms:created>
  <dcterms:modified xsi:type="dcterms:W3CDTF">2024-11-25T11:41:00Z</dcterms:modified>
</cp:coreProperties>
</file>