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25B44" w14:textId="77777777" w:rsidR="00803057" w:rsidRPr="00B52DC0" w:rsidRDefault="00594B4C" w:rsidP="00B52DC0">
      <w:pPr>
        <w:pStyle w:val="Tekstpodstawowy"/>
        <w:spacing w:line="276" w:lineRule="auto"/>
        <w:rPr>
          <w:b/>
          <w:bCs/>
        </w:rPr>
      </w:pPr>
      <w:r w:rsidRPr="00B52DC0">
        <w:rPr>
          <w:b/>
          <w:bCs/>
        </w:rPr>
        <w:t>Sprawozdanie</w:t>
      </w:r>
      <w:r w:rsidRPr="00B52DC0">
        <w:rPr>
          <w:b/>
          <w:bCs/>
          <w:spacing w:val="-10"/>
        </w:rPr>
        <w:t xml:space="preserve"> </w:t>
      </w:r>
      <w:r w:rsidRPr="00B52DC0">
        <w:rPr>
          <w:b/>
          <w:bCs/>
        </w:rPr>
        <w:t>z</w:t>
      </w:r>
      <w:r w:rsidRPr="00B52DC0">
        <w:rPr>
          <w:b/>
          <w:bCs/>
          <w:spacing w:val="-10"/>
        </w:rPr>
        <w:t xml:space="preserve"> </w:t>
      </w:r>
      <w:r w:rsidRPr="00B52DC0">
        <w:rPr>
          <w:b/>
          <w:bCs/>
        </w:rPr>
        <w:t>realizacji</w:t>
      </w:r>
      <w:r w:rsidRPr="00B52DC0">
        <w:rPr>
          <w:b/>
          <w:bCs/>
          <w:spacing w:val="-10"/>
        </w:rPr>
        <w:t xml:space="preserve"> </w:t>
      </w:r>
      <w:r w:rsidRPr="00B52DC0">
        <w:rPr>
          <w:b/>
          <w:bCs/>
        </w:rPr>
        <w:t>zadania</w:t>
      </w:r>
      <w:r w:rsidRPr="00B52DC0">
        <w:rPr>
          <w:b/>
          <w:bCs/>
          <w:spacing w:val="-9"/>
        </w:rPr>
        <w:t xml:space="preserve"> </w:t>
      </w:r>
      <w:r w:rsidRPr="00B52DC0">
        <w:rPr>
          <w:b/>
          <w:bCs/>
        </w:rPr>
        <w:t>dofinansowanego</w:t>
      </w:r>
      <w:r w:rsidRPr="00B52DC0">
        <w:rPr>
          <w:b/>
          <w:bCs/>
          <w:spacing w:val="-9"/>
        </w:rPr>
        <w:t xml:space="preserve"> </w:t>
      </w:r>
      <w:r w:rsidRPr="00B52DC0">
        <w:rPr>
          <w:b/>
          <w:bCs/>
        </w:rPr>
        <w:t>ze</w:t>
      </w:r>
      <w:r w:rsidRPr="00B52DC0">
        <w:rPr>
          <w:b/>
          <w:bCs/>
          <w:spacing w:val="-10"/>
        </w:rPr>
        <w:t xml:space="preserve"> </w:t>
      </w:r>
      <w:r w:rsidRPr="00B52DC0">
        <w:rPr>
          <w:b/>
          <w:bCs/>
        </w:rPr>
        <w:t>środków</w:t>
      </w:r>
      <w:r w:rsidRPr="00B52DC0">
        <w:rPr>
          <w:b/>
          <w:bCs/>
          <w:spacing w:val="-7"/>
        </w:rPr>
        <w:t xml:space="preserve"> </w:t>
      </w:r>
      <w:proofErr w:type="spellStart"/>
      <w:r w:rsidRPr="00B52DC0">
        <w:rPr>
          <w:b/>
          <w:bCs/>
        </w:rPr>
        <w:t>WFOŚiGW</w:t>
      </w:r>
      <w:proofErr w:type="spellEnd"/>
      <w:r w:rsidRPr="00B52DC0">
        <w:rPr>
          <w:b/>
          <w:bCs/>
          <w:spacing w:val="-9"/>
        </w:rPr>
        <w:t xml:space="preserve"> </w:t>
      </w:r>
      <w:r w:rsidRPr="00B52DC0">
        <w:rPr>
          <w:b/>
          <w:bCs/>
          <w:spacing w:val="-2"/>
        </w:rPr>
        <w:t>Gdańsk</w:t>
      </w:r>
    </w:p>
    <w:p w14:paraId="27042036" w14:textId="77777777" w:rsidR="00803057" w:rsidRPr="00594B4C" w:rsidRDefault="00803057" w:rsidP="00B52DC0">
      <w:pPr>
        <w:pStyle w:val="Tekstpodstawowy"/>
        <w:spacing w:line="276" w:lineRule="auto"/>
        <w:rPr>
          <w:bCs/>
          <w:color w:val="FF0000"/>
        </w:rPr>
      </w:pPr>
    </w:p>
    <w:p w14:paraId="6B893A66" w14:textId="06C3AD59" w:rsidR="006645F8" w:rsidRPr="00594B4C" w:rsidRDefault="006645F8" w:rsidP="00B52DC0">
      <w:pPr>
        <w:pStyle w:val="Tekstpodstawowy"/>
        <w:spacing w:line="276" w:lineRule="auto"/>
        <w:rPr>
          <w:bCs/>
        </w:rPr>
      </w:pPr>
      <w:r w:rsidRPr="00594B4C">
        <w:rPr>
          <w:bCs/>
        </w:rPr>
        <w:t>Komenda Powiatowa Państwowej Straży Pożarnej w Bytowie w ramach umowy nr WFOŚ/D/IV-1/9451/2024 z dnia 21.10.2024  roku o dofinansowanie z Wojewódzkiego Funduszu Ochrony Środowiska i Gospodarki Wodnej w Gdańsku na rok 2024 zrealizowała zadanie inwestycyjne pn. „Zakup lekkiego samochodu rozpoznawczo-ratowniczego (</w:t>
      </w:r>
      <w:proofErr w:type="spellStart"/>
      <w:r w:rsidRPr="00594B4C">
        <w:rPr>
          <w:bCs/>
        </w:rPr>
        <w:t>SLRr</w:t>
      </w:r>
      <w:proofErr w:type="spellEnd"/>
      <w:r w:rsidRPr="00594B4C">
        <w:rPr>
          <w:bCs/>
        </w:rPr>
        <w:t>) dla Komendy Powiatowej Państwowej Straży Pożarnej w Bytowie”.</w:t>
      </w:r>
    </w:p>
    <w:p w14:paraId="1B180A48" w14:textId="50AC9CF1" w:rsidR="00803057" w:rsidRPr="00594B4C" w:rsidRDefault="00594B4C" w:rsidP="00B52DC0">
      <w:pPr>
        <w:pStyle w:val="Tekstpodstawowy"/>
        <w:spacing w:line="276" w:lineRule="auto"/>
        <w:rPr>
          <w:bCs/>
        </w:rPr>
      </w:pPr>
      <w:r w:rsidRPr="00594B4C">
        <w:rPr>
          <w:bCs/>
        </w:rPr>
        <w:t xml:space="preserve">Całkowity koszt kwalifikowany realizacji zadania wyniósł </w:t>
      </w:r>
      <w:r w:rsidR="006645F8" w:rsidRPr="00594B4C">
        <w:rPr>
          <w:bCs/>
        </w:rPr>
        <w:t>305 000,00</w:t>
      </w:r>
      <w:r w:rsidRPr="00594B4C">
        <w:rPr>
          <w:bCs/>
        </w:rPr>
        <w:t xml:space="preserve"> zł przy dofinansowaniu</w:t>
      </w:r>
      <w:r w:rsidRPr="00594B4C">
        <w:rPr>
          <w:bCs/>
          <w:spacing w:val="40"/>
        </w:rPr>
        <w:t xml:space="preserve"> </w:t>
      </w:r>
      <w:r w:rsidRPr="00594B4C">
        <w:rPr>
          <w:bCs/>
        </w:rPr>
        <w:t>w</w:t>
      </w:r>
      <w:r w:rsidRPr="00594B4C">
        <w:rPr>
          <w:bCs/>
          <w:spacing w:val="40"/>
        </w:rPr>
        <w:t xml:space="preserve"> </w:t>
      </w:r>
      <w:r w:rsidRPr="00594B4C">
        <w:rPr>
          <w:bCs/>
        </w:rPr>
        <w:t>ramach</w:t>
      </w:r>
      <w:r w:rsidRPr="00594B4C">
        <w:rPr>
          <w:bCs/>
          <w:spacing w:val="40"/>
        </w:rPr>
        <w:t xml:space="preserve"> </w:t>
      </w:r>
      <w:r w:rsidRPr="00594B4C">
        <w:rPr>
          <w:bCs/>
        </w:rPr>
        <w:t>umowy</w:t>
      </w:r>
      <w:r w:rsidRPr="00594B4C">
        <w:rPr>
          <w:bCs/>
          <w:spacing w:val="40"/>
        </w:rPr>
        <w:t xml:space="preserve"> </w:t>
      </w:r>
      <w:r w:rsidRPr="00594B4C">
        <w:rPr>
          <w:bCs/>
        </w:rPr>
        <w:t>nr</w:t>
      </w:r>
      <w:r w:rsidRPr="00594B4C">
        <w:rPr>
          <w:bCs/>
          <w:spacing w:val="40"/>
        </w:rPr>
        <w:t xml:space="preserve"> </w:t>
      </w:r>
      <w:r w:rsidR="006645F8" w:rsidRPr="00594B4C">
        <w:rPr>
          <w:bCs/>
        </w:rPr>
        <w:t xml:space="preserve">WFOŚ/D/IV-1/9451/2024 z dnia 21.10.2024 </w:t>
      </w:r>
      <w:r w:rsidRPr="00594B4C">
        <w:rPr>
          <w:bCs/>
        </w:rPr>
        <w:t>roku</w:t>
      </w:r>
      <w:r w:rsidRPr="00594B4C">
        <w:rPr>
          <w:bCs/>
          <w:spacing w:val="40"/>
        </w:rPr>
        <w:t xml:space="preserve"> </w:t>
      </w:r>
      <w:r w:rsidRPr="00594B4C">
        <w:rPr>
          <w:bCs/>
        </w:rPr>
        <w:t>z</w:t>
      </w:r>
      <w:r w:rsidRPr="00594B4C">
        <w:rPr>
          <w:bCs/>
          <w:spacing w:val="80"/>
        </w:rPr>
        <w:t xml:space="preserve"> </w:t>
      </w:r>
      <w:r w:rsidRPr="00594B4C">
        <w:rPr>
          <w:bCs/>
        </w:rPr>
        <w:t>Wojewódzkiego</w:t>
      </w:r>
      <w:r w:rsidRPr="00594B4C">
        <w:rPr>
          <w:bCs/>
          <w:spacing w:val="80"/>
        </w:rPr>
        <w:t xml:space="preserve"> </w:t>
      </w:r>
      <w:r w:rsidRPr="00594B4C">
        <w:rPr>
          <w:bCs/>
        </w:rPr>
        <w:t>Funduszu</w:t>
      </w:r>
      <w:r w:rsidRPr="00594B4C">
        <w:rPr>
          <w:bCs/>
          <w:spacing w:val="80"/>
        </w:rPr>
        <w:t xml:space="preserve"> </w:t>
      </w:r>
      <w:r w:rsidRPr="00594B4C">
        <w:rPr>
          <w:bCs/>
        </w:rPr>
        <w:t>Ochrony</w:t>
      </w:r>
      <w:r w:rsidRPr="00594B4C">
        <w:rPr>
          <w:bCs/>
          <w:spacing w:val="80"/>
        </w:rPr>
        <w:t xml:space="preserve"> </w:t>
      </w:r>
      <w:r w:rsidRPr="00594B4C">
        <w:rPr>
          <w:bCs/>
        </w:rPr>
        <w:t>Środowiska</w:t>
      </w:r>
      <w:r w:rsidRPr="00594B4C">
        <w:rPr>
          <w:bCs/>
          <w:spacing w:val="80"/>
        </w:rPr>
        <w:t xml:space="preserve"> </w:t>
      </w:r>
      <w:r w:rsidRPr="00594B4C">
        <w:rPr>
          <w:bCs/>
        </w:rPr>
        <w:t>i</w:t>
      </w:r>
      <w:r w:rsidRPr="00594B4C">
        <w:rPr>
          <w:bCs/>
          <w:spacing w:val="80"/>
        </w:rPr>
        <w:t xml:space="preserve"> </w:t>
      </w:r>
      <w:r w:rsidRPr="00594B4C">
        <w:rPr>
          <w:bCs/>
        </w:rPr>
        <w:t>Gospodarki</w:t>
      </w:r>
      <w:r w:rsidRPr="00594B4C">
        <w:rPr>
          <w:bCs/>
          <w:spacing w:val="80"/>
        </w:rPr>
        <w:t xml:space="preserve"> </w:t>
      </w:r>
      <w:r w:rsidRPr="00594B4C">
        <w:rPr>
          <w:bCs/>
        </w:rPr>
        <w:t>Wodnej</w:t>
      </w:r>
      <w:r w:rsidRPr="00594B4C">
        <w:rPr>
          <w:bCs/>
          <w:spacing w:val="80"/>
        </w:rPr>
        <w:t xml:space="preserve"> </w:t>
      </w:r>
      <w:r w:rsidRPr="00594B4C">
        <w:rPr>
          <w:bCs/>
        </w:rPr>
        <w:t>w</w:t>
      </w:r>
      <w:r w:rsidRPr="00594B4C">
        <w:rPr>
          <w:bCs/>
          <w:spacing w:val="80"/>
        </w:rPr>
        <w:t xml:space="preserve"> </w:t>
      </w:r>
      <w:r w:rsidRPr="00594B4C">
        <w:rPr>
          <w:bCs/>
        </w:rPr>
        <w:t>Gdańsku</w:t>
      </w:r>
      <w:r w:rsidRPr="00594B4C">
        <w:rPr>
          <w:bCs/>
          <w:spacing w:val="80"/>
        </w:rPr>
        <w:t xml:space="preserve"> </w:t>
      </w:r>
      <w:r w:rsidRPr="00594B4C">
        <w:rPr>
          <w:bCs/>
        </w:rPr>
        <w:t xml:space="preserve">w wysokości </w:t>
      </w:r>
      <w:r w:rsidR="006645F8" w:rsidRPr="00594B4C">
        <w:rPr>
          <w:bCs/>
        </w:rPr>
        <w:t xml:space="preserve">120 </w:t>
      </w:r>
      <w:r w:rsidRPr="00594B4C">
        <w:rPr>
          <w:bCs/>
        </w:rPr>
        <w:t>000,00 zł.</w:t>
      </w:r>
    </w:p>
    <w:p w14:paraId="759A8042" w14:textId="09347221" w:rsidR="00B52DC0" w:rsidRPr="00B52DC0" w:rsidRDefault="00B52DC0" w:rsidP="00B52DC0">
      <w:pPr>
        <w:pStyle w:val="Tekstpodstawowy"/>
        <w:spacing w:line="276" w:lineRule="auto"/>
      </w:pPr>
      <w:r w:rsidRPr="00B52DC0">
        <w:t xml:space="preserve">Zgodnie z wymaganiami art. 13 Ustawy z dnia 24 sierpnia 1991 r. o Państwowej Straży Pożarnej jednym z ustawowych obowiązków organu jakim jest Komendant Powiatowy Państwowej Straży Pożarnej w Bytowie jest organizowanie na obszarze Miasta Bytów oraz Powiatu bytowskiego krajowego systemu ratowniczo-gaśniczego (systemu szeroko pojętego ratownictwa kraju z wiodącą rolą Państwowej Straży Pożarnej), a także organizowanie </w:t>
      </w:r>
      <w:r>
        <w:br/>
      </w:r>
      <w:r w:rsidRPr="00B52DC0">
        <w:t xml:space="preserve">i prowadzenie akcji ratowniczej (walka z pożarami, wybuchami oraz innymi miejscowymi zagrożeniami) oraz działań profilaktycznych i </w:t>
      </w:r>
      <w:proofErr w:type="spellStart"/>
      <w:r w:rsidRPr="00B52DC0">
        <w:t>kontrolno</w:t>
      </w:r>
      <w:proofErr w:type="spellEnd"/>
      <w:r w:rsidRPr="00B52DC0">
        <w:t xml:space="preserve"> – rozpoznawczych. Celem szerokiego wachlarza działań jest ochrona życia, zdrowia, mienia i środowiska. Aby sprostać tym wymaganiom i skutecznie prowadzić działania ratowniczo – gaśnicze oraz wszelakie działania wspierające efektywność ich prowadzenia konieczna jest wymiana pojazdów mocno wyeksploatowanych i długotrwale użytkowanych, dla których minął już okres minimalnej eksploatacji określony w Zarządzeniu nr 3 z dnia 09.03.2021 r. Komendanta Głównego PSP </w:t>
      </w:r>
      <w:r>
        <w:br/>
      </w:r>
      <w:r w:rsidRPr="00B52DC0">
        <w:t>w sprawie gospodarki transportowej w jednostkach organizacyjnych Państwowej Straży Pożarnej.</w:t>
      </w:r>
    </w:p>
    <w:p w14:paraId="43376D78" w14:textId="77777777" w:rsidR="00B52DC0" w:rsidRPr="00B52DC0" w:rsidRDefault="00B52DC0" w:rsidP="00B52DC0">
      <w:pPr>
        <w:pStyle w:val="Tekstpodstawowy"/>
        <w:spacing w:line="276" w:lineRule="auto"/>
      </w:pPr>
      <w:r w:rsidRPr="00B52DC0">
        <w:t>Realizacja zadania pozwoli na poprawę działań związanych z ochroną środowiska naturalnego oraz zdrowia i życia ludzkiego. Zakup nowego pojazdu specjalnego pozwoli na dostosowanie się do ustalonych norm emisji spalin.</w:t>
      </w:r>
    </w:p>
    <w:p w14:paraId="406F7A6C" w14:textId="77777777" w:rsidR="00B52DC0" w:rsidRPr="00B52DC0" w:rsidRDefault="00B52DC0" w:rsidP="00B52DC0">
      <w:pPr>
        <w:pStyle w:val="Tekstpodstawowy"/>
        <w:spacing w:line="276" w:lineRule="auto"/>
        <w:rPr>
          <w:sz w:val="22"/>
          <w:szCs w:val="22"/>
        </w:rPr>
      </w:pPr>
      <w:r w:rsidRPr="00B52DC0">
        <w:rPr>
          <w:sz w:val="22"/>
          <w:szCs w:val="22"/>
        </w:rPr>
        <w:t>Zakupiony</w:t>
      </w:r>
      <w:r w:rsidRPr="00B52DC0">
        <w:rPr>
          <w:spacing w:val="-12"/>
          <w:sz w:val="22"/>
          <w:szCs w:val="22"/>
        </w:rPr>
        <w:t xml:space="preserve"> </w:t>
      </w:r>
      <w:r w:rsidRPr="00B52DC0">
        <w:rPr>
          <w:sz w:val="22"/>
          <w:szCs w:val="22"/>
        </w:rPr>
        <w:t>pojazd</w:t>
      </w:r>
      <w:r w:rsidRPr="00B52DC0">
        <w:rPr>
          <w:spacing w:val="-8"/>
          <w:sz w:val="22"/>
          <w:szCs w:val="22"/>
        </w:rPr>
        <w:t xml:space="preserve"> </w:t>
      </w:r>
      <w:r w:rsidRPr="00B52DC0">
        <w:rPr>
          <w:sz w:val="22"/>
          <w:szCs w:val="22"/>
        </w:rPr>
        <w:t>zostanie</w:t>
      </w:r>
      <w:r w:rsidRPr="00B52DC0">
        <w:rPr>
          <w:spacing w:val="-6"/>
          <w:sz w:val="22"/>
          <w:szCs w:val="22"/>
        </w:rPr>
        <w:t xml:space="preserve"> </w:t>
      </w:r>
      <w:r w:rsidRPr="00B52DC0">
        <w:rPr>
          <w:sz w:val="22"/>
          <w:szCs w:val="22"/>
        </w:rPr>
        <w:t>wykorzystany</w:t>
      </w:r>
      <w:r w:rsidRPr="00B52DC0">
        <w:rPr>
          <w:spacing w:val="-11"/>
          <w:sz w:val="22"/>
          <w:szCs w:val="22"/>
        </w:rPr>
        <w:t xml:space="preserve"> </w:t>
      </w:r>
      <w:r w:rsidRPr="00B52DC0">
        <w:rPr>
          <w:sz w:val="22"/>
          <w:szCs w:val="22"/>
        </w:rPr>
        <w:t>do</w:t>
      </w:r>
      <w:r w:rsidRPr="00B52DC0">
        <w:rPr>
          <w:spacing w:val="-7"/>
          <w:sz w:val="22"/>
          <w:szCs w:val="22"/>
        </w:rPr>
        <w:t xml:space="preserve"> </w:t>
      </w:r>
      <w:r w:rsidRPr="00B52DC0">
        <w:rPr>
          <w:sz w:val="22"/>
          <w:szCs w:val="22"/>
        </w:rPr>
        <w:t>zwalczania</w:t>
      </w:r>
      <w:r w:rsidRPr="00B52DC0">
        <w:rPr>
          <w:spacing w:val="-7"/>
          <w:sz w:val="22"/>
          <w:szCs w:val="22"/>
        </w:rPr>
        <w:t xml:space="preserve"> </w:t>
      </w:r>
      <w:r w:rsidRPr="00B52DC0">
        <w:rPr>
          <w:sz w:val="22"/>
          <w:szCs w:val="22"/>
        </w:rPr>
        <w:t>zagrożeń</w:t>
      </w:r>
      <w:r w:rsidRPr="00B52DC0">
        <w:rPr>
          <w:spacing w:val="-7"/>
          <w:sz w:val="22"/>
          <w:szCs w:val="22"/>
        </w:rPr>
        <w:t xml:space="preserve"> </w:t>
      </w:r>
      <w:r w:rsidRPr="00B52DC0">
        <w:rPr>
          <w:sz w:val="22"/>
          <w:szCs w:val="22"/>
        </w:rPr>
        <w:t>takich</w:t>
      </w:r>
      <w:r w:rsidRPr="00B52DC0">
        <w:rPr>
          <w:spacing w:val="-7"/>
          <w:sz w:val="22"/>
          <w:szCs w:val="22"/>
        </w:rPr>
        <w:t xml:space="preserve"> </w:t>
      </w:r>
      <w:r w:rsidRPr="00B52DC0">
        <w:rPr>
          <w:sz w:val="22"/>
          <w:szCs w:val="22"/>
        </w:rPr>
        <w:t>jak</w:t>
      </w:r>
      <w:r w:rsidRPr="00B52DC0">
        <w:rPr>
          <w:spacing w:val="-7"/>
          <w:sz w:val="22"/>
          <w:szCs w:val="22"/>
        </w:rPr>
        <w:t xml:space="preserve"> </w:t>
      </w:r>
      <w:r w:rsidRPr="00B52DC0">
        <w:rPr>
          <w:spacing w:val="-2"/>
          <w:sz w:val="22"/>
          <w:szCs w:val="22"/>
        </w:rPr>
        <w:t>m.in.:</w:t>
      </w:r>
    </w:p>
    <w:p w14:paraId="0FB8554F" w14:textId="77777777" w:rsidR="00B52DC0" w:rsidRPr="00B52DC0" w:rsidRDefault="00B52DC0" w:rsidP="00B52DC0">
      <w:pPr>
        <w:pStyle w:val="Tekstpodstawowy"/>
        <w:spacing w:line="276" w:lineRule="auto"/>
      </w:pPr>
      <w:r w:rsidRPr="00B52DC0">
        <w:t>- zagrożenia pożarowe i wybuchowe,</w:t>
      </w:r>
    </w:p>
    <w:p w14:paraId="2DAD6389" w14:textId="3C0B1B27" w:rsidR="00B52DC0" w:rsidRPr="00B52DC0" w:rsidRDefault="00B52DC0" w:rsidP="00B52DC0">
      <w:pPr>
        <w:pStyle w:val="Tekstpodstawowy"/>
        <w:spacing w:line="276" w:lineRule="auto"/>
      </w:pPr>
      <w:r w:rsidRPr="00B52DC0">
        <w:t>- zagrożenia chemiczno-ekologiczne związane z uwolnieniem podczas transportu, magazynowania i przetoby materiałów niebezpiecznych,</w:t>
      </w:r>
    </w:p>
    <w:p w14:paraId="6FD03C35" w14:textId="111D85BB" w:rsidR="00B52DC0" w:rsidRPr="00B52DC0" w:rsidRDefault="00B52DC0" w:rsidP="00B52DC0">
      <w:pPr>
        <w:pStyle w:val="Tekstpodstawowy"/>
        <w:spacing w:line="276" w:lineRule="auto"/>
      </w:pPr>
      <w:r w:rsidRPr="00B52DC0">
        <w:t xml:space="preserve">- zagrożenia związane z wystąpieniem wypadków w komunikacji drogowej, kolejowej </w:t>
      </w:r>
      <w:r>
        <w:br/>
      </w:r>
      <w:r w:rsidRPr="00B52DC0">
        <w:t>i lotniczej,</w:t>
      </w:r>
    </w:p>
    <w:p w14:paraId="22A2BB5C" w14:textId="77777777" w:rsidR="00B52DC0" w:rsidRPr="00B52DC0" w:rsidRDefault="00B52DC0" w:rsidP="00B52DC0">
      <w:pPr>
        <w:pStyle w:val="Tekstpodstawowy"/>
        <w:spacing w:line="276" w:lineRule="auto"/>
      </w:pPr>
      <w:r w:rsidRPr="00B52DC0">
        <w:t>- inne miejscowe zagrożenia - związane z wystąpieniem groźnych anomalii pogodowych (silne wiatry, huragany, intensywne opady atmosferyczne).</w:t>
      </w:r>
    </w:p>
    <w:p w14:paraId="57FA86DF" w14:textId="34A01340" w:rsidR="00B52DC0" w:rsidRPr="00B52DC0" w:rsidRDefault="00B52DC0" w:rsidP="00B52DC0">
      <w:pPr>
        <w:pStyle w:val="Tekstpodstawowy"/>
        <w:spacing w:line="276" w:lineRule="auto"/>
      </w:pPr>
      <w:r w:rsidRPr="00B52DC0">
        <w:t>W ramach realizacji zadania zakupiony został fabrycznie nowy lekkiego samochodu rozpoznawczo-ratowniczego (</w:t>
      </w:r>
      <w:proofErr w:type="spellStart"/>
      <w:r w:rsidRPr="00B52DC0">
        <w:t>SLRr</w:t>
      </w:r>
      <w:proofErr w:type="spellEnd"/>
      <w:r w:rsidRPr="00B52DC0">
        <w:t xml:space="preserve">) marki Ford </w:t>
      </w:r>
      <w:proofErr w:type="spellStart"/>
      <w:r w:rsidRPr="00B52DC0">
        <w:t>Ranger</w:t>
      </w:r>
      <w:proofErr w:type="spellEnd"/>
      <w:r w:rsidRPr="00B52DC0">
        <w:t xml:space="preserve">. Pojazd wyprodukowany w 2024 roku, turbo diesel o pojemności silnika 1996 cm3. Silnik pojazdu sprzęgnięty został z 10 biegową automatyczną skrzynią biegów, dzięki której moc przekazywana jest w układzie napędu stałego 4x4.  Pojazd jako samochód uprzywilejowany wyposażono w urządzenie sygnalizacyjno-ostrzegawcze, dźwiękowe i świetlne. W kabinie kierowcy zamontowano radiotelefon przewoźny przystosowany do pracy w sieci MSWiA oraz spełniający minimalne wymagania techniczno-funkcjonalne określone w załączniku nr 3 do instrukcji stanowiącej załącznik rozkazu nr 8 Komendanta Głównego Państwowej Straży Pożarnej z dnia 5 kwietnia 2019 r. </w:t>
      </w:r>
      <w:r>
        <w:br/>
      </w:r>
      <w:r w:rsidRPr="00B52DC0">
        <w:t>w sprawie organizacji łączności radiowej. Pojazd został wyposażony w mobilny tablet, zabudowa typu Hard Top z oświetleniem wewnętrznym LED, przyciemniane boczne okna wraz z klapą tylną z przyciemniającego szkła oraz centralnym zamkiem. Zakupiony lekki  samochód rozpoznawczo - ratowniczy (</w:t>
      </w:r>
      <w:proofErr w:type="spellStart"/>
      <w:r w:rsidRPr="00B52DC0">
        <w:t>SLRr</w:t>
      </w:r>
      <w:proofErr w:type="spellEnd"/>
      <w:r w:rsidRPr="00B52DC0">
        <w:t xml:space="preserve">)  został wyposażony w niskoemisyjny silnik z systemem SCR, który spełnia normę Euro6, o znacznie niższej emisji spalin do środowiska. </w:t>
      </w:r>
      <w:bookmarkStart w:id="0" w:name="_Hlk187160735"/>
      <w:r w:rsidRPr="00B52DC0">
        <w:t xml:space="preserve">Zakupiony pojazd zastąpił wysłużony pojazd marki Toyota </w:t>
      </w:r>
      <w:proofErr w:type="spellStart"/>
      <w:r w:rsidRPr="00B52DC0">
        <w:t>Hilux</w:t>
      </w:r>
      <w:proofErr w:type="spellEnd"/>
      <w:r w:rsidRPr="00B52DC0">
        <w:t>, którego cechuje wyższa emisja spalin. Realizacja przedsięwzięcia umożliwi ochronę zdrowia i życia środowiska naturalnego poprzez zwiększenie mobilności strażaków przy zdarzeniach wymagających  użycia sprzętu i urządzeń do działań ratowniczo-gaśniczych. Będzie stanowił istotne wsparcie krajowego systemu ratowniczo-gaśniczego w zakresie działań związanych z ochroną środowiska naturalnego na terenie powiatu bytowskiego i Miasta Bytów.</w:t>
      </w:r>
    </w:p>
    <w:p w14:paraId="4114F9AB" w14:textId="77777777" w:rsidR="00B52DC0" w:rsidRPr="00B52DC0" w:rsidRDefault="00B52DC0" w:rsidP="00B52DC0">
      <w:pPr>
        <w:pStyle w:val="Tekstpodstawowy"/>
        <w:spacing w:line="276" w:lineRule="auto"/>
        <w:rPr>
          <w:sz w:val="20"/>
          <w:szCs w:val="20"/>
        </w:rPr>
      </w:pPr>
    </w:p>
    <w:bookmarkEnd w:id="0"/>
    <w:p w14:paraId="5CBAFB19" w14:textId="77777777" w:rsidR="00B52DC0" w:rsidRPr="00B52DC0" w:rsidRDefault="00B52DC0" w:rsidP="00B52DC0">
      <w:pPr>
        <w:pStyle w:val="Tekstpodstawowy"/>
        <w:spacing w:line="276" w:lineRule="auto"/>
        <w:rPr>
          <w:color w:val="ED0000"/>
        </w:rPr>
      </w:pPr>
    </w:p>
    <w:p w14:paraId="0C3FD017" w14:textId="77777777" w:rsidR="00B52DC0" w:rsidRPr="00B52DC0" w:rsidRDefault="00B52DC0" w:rsidP="00B52DC0">
      <w:pPr>
        <w:pStyle w:val="Tekstpodstawowy"/>
        <w:spacing w:line="276" w:lineRule="auto"/>
      </w:pPr>
      <w:r w:rsidRPr="00B52DC0">
        <w:t>Zadanie inwestycyjne zostało zrealizowane dzięki wsparciu Wojewódzkiego Funduszu Ochrony Środowiska i Gospodarki Wodnej w Gdańsku kwota dotacji udzielonej na realizację zadania wyniosła 120 000,00 zł.</w:t>
      </w:r>
    </w:p>
    <w:p w14:paraId="071ECC50" w14:textId="77777777" w:rsidR="00B52DC0" w:rsidRPr="00B52DC0" w:rsidRDefault="00B52DC0" w:rsidP="00B52DC0">
      <w:pPr>
        <w:pStyle w:val="Tekstpodstawowy"/>
        <w:spacing w:line="276" w:lineRule="auto"/>
        <w:rPr>
          <w:b/>
          <w:bCs/>
          <w:color w:val="ED0000"/>
          <w:u w:val="single"/>
        </w:rPr>
      </w:pPr>
    </w:p>
    <w:p w14:paraId="4390D741" w14:textId="77777777" w:rsidR="00B52DC0" w:rsidRPr="00B52DC0" w:rsidRDefault="00B52DC0" w:rsidP="00B52DC0">
      <w:pPr>
        <w:pStyle w:val="Tekstpodstawowy"/>
        <w:spacing w:line="276" w:lineRule="auto"/>
      </w:pPr>
      <w:r w:rsidRPr="00B52DC0">
        <w:rPr>
          <w:b/>
          <w:bCs/>
          <w:u w:val="single"/>
        </w:rPr>
        <w:t>Montaż finansowy zadania :</w:t>
      </w:r>
    </w:p>
    <w:p w14:paraId="269EA950" w14:textId="77777777" w:rsidR="00B52DC0" w:rsidRPr="00B52DC0" w:rsidRDefault="00B52DC0" w:rsidP="00B52DC0">
      <w:pPr>
        <w:pStyle w:val="Tekstpodstawowy"/>
        <w:spacing w:line="276" w:lineRule="auto"/>
      </w:pPr>
      <w:r w:rsidRPr="00B52DC0">
        <w:t>Dofinansowanie Wojewódzkiego Funduszu Ochrony Środowiska i Gospodarki Wodnej</w:t>
      </w:r>
      <w:r w:rsidRPr="00B52DC0">
        <w:br/>
        <w:t>w Gdańsku - 120 000 zł.</w:t>
      </w:r>
    </w:p>
    <w:p w14:paraId="2FD22D97" w14:textId="77777777" w:rsidR="00B52DC0" w:rsidRPr="00B52DC0" w:rsidRDefault="00B52DC0" w:rsidP="00B52DC0">
      <w:pPr>
        <w:pStyle w:val="Tekstpodstawowy"/>
        <w:spacing w:line="276" w:lineRule="auto"/>
      </w:pPr>
      <w:r w:rsidRPr="00B52DC0">
        <w:t>Powiat Bytowski  – 80 000 zł</w:t>
      </w:r>
    </w:p>
    <w:p w14:paraId="2D2BD74B" w14:textId="77777777" w:rsidR="00B52DC0" w:rsidRPr="00B52DC0" w:rsidRDefault="00B52DC0" w:rsidP="00B52DC0">
      <w:pPr>
        <w:pStyle w:val="Tekstpodstawowy"/>
        <w:spacing w:line="276" w:lineRule="auto"/>
      </w:pPr>
      <w:r w:rsidRPr="00B52DC0">
        <w:t>Gmina Kołczygłowy – 100 000 zł</w:t>
      </w:r>
    </w:p>
    <w:p w14:paraId="05EF1F22" w14:textId="77777777" w:rsidR="00B52DC0" w:rsidRPr="00B52DC0" w:rsidRDefault="00B52DC0" w:rsidP="00B52DC0">
      <w:pPr>
        <w:pStyle w:val="Tekstpodstawowy"/>
        <w:spacing w:line="276" w:lineRule="auto"/>
      </w:pPr>
      <w:r w:rsidRPr="00B52DC0">
        <w:t>Nadleśnictwo Miastko – 2 000 zł</w:t>
      </w:r>
    </w:p>
    <w:p w14:paraId="418A0862" w14:textId="77777777" w:rsidR="00B52DC0" w:rsidRPr="00B52DC0" w:rsidRDefault="00B52DC0" w:rsidP="00B52DC0">
      <w:pPr>
        <w:pStyle w:val="Tekstpodstawowy"/>
        <w:spacing w:line="276" w:lineRule="auto"/>
      </w:pPr>
      <w:r w:rsidRPr="00B52DC0">
        <w:t>Nadleśnictwo Trzebielino – 3 000,00 zł</w:t>
      </w:r>
    </w:p>
    <w:p w14:paraId="421DF4AF" w14:textId="77777777" w:rsidR="00EF699A" w:rsidRPr="00B52DC0" w:rsidRDefault="00EF699A" w:rsidP="00B52DC0">
      <w:pPr>
        <w:pStyle w:val="Tekstpodstawowy"/>
        <w:spacing w:line="276" w:lineRule="auto"/>
      </w:pPr>
    </w:p>
    <w:sectPr w:rsidR="00EF699A" w:rsidRPr="00B52DC0" w:rsidSect="00CB0E3C">
      <w:type w:val="continuous"/>
      <w:pgSz w:w="11920" w:h="16840"/>
      <w:pgMar w:top="1340" w:right="1417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97D9E"/>
    <w:multiLevelType w:val="hybridMultilevel"/>
    <w:tmpl w:val="AED8427A"/>
    <w:lvl w:ilvl="0" w:tplc="BCB27B8C">
      <w:numFmt w:val="bullet"/>
      <w:lvlText w:val="-"/>
      <w:lvlJc w:val="left"/>
      <w:pPr>
        <w:ind w:left="2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9323AB8">
      <w:numFmt w:val="bullet"/>
      <w:lvlText w:val="•"/>
      <w:lvlJc w:val="left"/>
      <w:pPr>
        <w:ind w:left="1160" w:hanging="140"/>
      </w:pPr>
      <w:rPr>
        <w:rFonts w:hint="default"/>
        <w:lang w:val="pl-PL" w:eastAsia="en-US" w:bidi="ar-SA"/>
      </w:rPr>
    </w:lvl>
    <w:lvl w:ilvl="2" w:tplc="37EE326E">
      <w:numFmt w:val="bullet"/>
      <w:lvlText w:val="•"/>
      <w:lvlJc w:val="left"/>
      <w:pPr>
        <w:ind w:left="2041" w:hanging="140"/>
      </w:pPr>
      <w:rPr>
        <w:rFonts w:hint="default"/>
        <w:lang w:val="pl-PL" w:eastAsia="en-US" w:bidi="ar-SA"/>
      </w:rPr>
    </w:lvl>
    <w:lvl w:ilvl="3" w:tplc="01764FC0">
      <w:numFmt w:val="bullet"/>
      <w:lvlText w:val="•"/>
      <w:lvlJc w:val="left"/>
      <w:pPr>
        <w:ind w:left="2921" w:hanging="140"/>
      </w:pPr>
      <w:rPr>
        <w:rFonts w:hint="default"/>
        <w:lang w:val="pl-PL" w:eastAsia="en-US" w:bidi="ar-SA"/>
      </w:rPr>
    </w:lvl>
    <w:lvl w:ilvl="4" w:tplc="C8CCB336">
      <w:numFmt w:val="bullet"/>
      <w:lvlText w:val="•"/>
      <w:lvlJc w:val="left"/>
      <w:pPr>
        <w:ind w:left="3802" w:hanging="140"/>
      </w:pPr>
      <w:rPr>
        <w:rFonts w:hint="default"/>
        <w:lang w:val="pl-PL" w:eastAsia="en-US" w:bidi="ar-SA"/>
      </w:rPr>
    </w:lvl>
    <w:lvl w:ilvl="5" w:tplc="B43CDC3E">
      <w:numFmt w:val="bullet"/>
      <w:lvlText w:val="•"/>
      <w:lvlJc w:val="left"/>
      <w:pPr>
        <w:ind w:left="4683" w:hanging="140"/>
      </w:pPr>
      <w:rPr>
        <w:rFonts w:hint="default"/>
        <w:lang w:val="pl-PL" w:eastAsia="en-US" w:bidi="ar-SA"/>
      </w:rPr>
    </w:lvl>
    <w:lvl w:ilvl="6" w:tplc="DA72FAF6">
      <w:numFmt w:val="bullet"/>
      <w:lvlText w:val="•"/>
      <w:lvlJc w:val="left"/>
      <w:pPr>
        <w:ind w:left="5563" w:hanging="140"/>
      </w:pPr>
      <w:rPr>
        <w:rFonts w:hint="default"/>
        <w:lang w:val="pl-PL" w:eastAsia="en-US" w:bidi="ar-SA"/>
      </w:rPr>
    </w:lvl>
    <w:lvl w:ilvl="7" w:tplc="603C3DAE">
      <w:numFmt w:val="bullet"/>
      <w:lvlText w:val="•"/>
      <w:lvlJc w:val="left"/>
      <w:pPr>
        <w:ind w:left="6444" w:hanging="140"/>
      </w:pPr>
      <w:rPr>
        <w:rFonts w:hint="default"/>
        <w:lang w:val="pl-PL" w:eastAsia="en-US" w:bidi="ar-SA"/>
      </w:rPr>
    </w:lvl>
    <w:lvl w:ilvl="8" w:tplc="B608F780">
      <w:numFmt w:val="bullet"/>
      <w:lvlText w:val="•"/>
      <w:lvlJc w:val="left"/>
      <w:pPr>
        <w:ind w:left="7324" w:hanging="140"/>
      </w:pPr>
      <w:rPr>
        <w:rFonts w:hint="default"/>
        <w:lang w:val="pl-PL" w:eastAsia="en-US" w:bidi="ar-SA"/>
      </w:rPr>
    </w:lvl>
  </w:abstractNum>
  <w:num w:numId="1" w16cid:durableId="164554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57"/>
    <w:rsid w:val="005313B1"/>
    <w:rsid w:val="00594B4C"/>
    <w:rsid w:val="006645F8"/>
    <w:rsid w:val="006E7F73"/>
    <w:rsid w:val="00803057"/>
    <w:rsid w:val="009D35FC"/>
    <w:rsid w:val="00B52DC0"/>
    <w:rsid w:val="00CB0E3C"/>
    <w:rsid w:val="00E732DC"/>
    <w:rsid w:val="00E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5162"/>
  <w15:docId w15:val="{062616E6-10A9-4CB7-99A2-63D34738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41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5"/>
      <w:ind w:left="209"/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1"/>
      <w:ind w:left="280" w:hanging="28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B52DC0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669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E.Masternak (KP PSP)</dc:creator>
  <cp:lastModifiedBy>E.Masternak (KP PSP)</cp:lastModifiedBy>
  <cp:revision>8</cp:revision>
  <dcterms:created xsi:type="dcterms:W3CDTF">2025-01-07T15:39:00Z</dcterms:created>
  <dcterms:modified xsi:type="dcterms:W3CDTF">2025-01-08T08:04:00Z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Mozilla Firefox 133.0.3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2025-01-07T00:00:00Z</vt:filetime>
  </property>
</Properties>
</file>