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12AF" w14:textId="77777777" w:rsidR="00CB3968" w:rsidRPr="00CB3968" w:rsidRDefault="00CB3968" w:rsidP="00CB3968">
      <w:pPr>
        <w:autoSpaceDE w:val="0"/>
        <w:autoSpaceDN w:val="0"/>
        <w:adjustRightInd w:val="0"/>
        <w:spacing w:after="0"/>
        <w:ind w:left="4536"/>
        <w:jc w:val="right"/>
        <w:rPr>
          <w:rFonts w:ascii="Arial Black" w:eastAsia="Times New Roman" w:hAnsi="Arial Black" w:cs="Arial"/>
          <w:bCs/>
          <w:color w:val="auto"/>
          <w:kern w:val="28"/>
          <w:szCs w:val="22"/>
        </w:rPr>
      </w:pPr>
      <w:bookmarkStart w:id="0" w:name="_Toc508182920"/>
      <w:r w:rsidRPr="00CB3968">
        <w:rPr>
          <w:rFonts w:ascii="Arial Black" w:eastAsia="Times New Roman" w:hAnsi="Arial Black" w:cs="Arial"/>
          <w:bCs/>
          <w:color w:val="auto"/>
          <w:kern w:val="28"/>
          <w:szCs w:val="22"/>
        </w:rPr>
        <w:t xml:space="preserve">Załącznik nr </w:t>
      </w:r>
      <w:r w:rsidR="00241494">
        <w:rPr>
          <w:rFonts w:ascii="Arial Black" w:eastAsia="Times New Roman" w:hAnsi="Arial Black" w:cs="Arial"/>
          <w:bCs/>
          <w:color w:val="auto"/>
          <w:kern w:val="28"/>
          <w:szCs w:val="22"/>
        </w:rPr>
        <w:t>6</w:t>
      </w:r>
      <w:r w:rsidRPr="00CB3968">
        <w:rPr>
          <w:rFonts w:ascii="Arial Black" w:eastAsia="Times New Roman" w:hAnsi="Arial Black" w:cs="Arial"/>
          <w:bCs/>
          <w:color w:val="auto"/>
          <w:kern w:val="28"/>
          <w:szCs w:val="22"/>
        </w:rPr>
        <w:t xml:space="preserve"> </w:t>
      </w:r>
    </w:p>
    <w:p w14:paraId="3BA18E6E" w14:textId="27102008" w:rsidR="00CB3968" w:rsidRPr="00597DD1" w:rsidRDefault="00CB3968" w:rsidP="00CB3968">
      <w:pPr>
        <w:spacing w:after="600"/>
        <w:jc w:val="right"/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</w:pPr>
      <w:r w:rsidRPr="00597DD1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 xml:space="preserve">do Umowy z dnia </w:t>
      </w:r>
      <w:r w:rsidR="00D31762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>21 sierpnia 2019 r.</w:t>
      </w:r>
      <w:bookmarkStart w:id="1" w:name="_GoBack"/>
      <w:bookmarkEnd w:id="1"/>
      <w:r w:rsidRPr="00597DD1">
        <w:rPr>
          <w:rFonts w:ascii="Arial" w:eastAsia="Times New Roman" w:hAnsi="Arial" w:cs="Arial"/>
          <w:bCs/>
          <w:color w:val="auto"/>
          <w:kern w:val="28"/>
          <w:sz w:val="20"/>
          <w:szCs w:val="20"/>
        </w:rPr>
        <w:t xml:space="preserve"> na realizację programu „Pomoc w zakresie finansowania kosztów zarządzania infrastrukturą kolejową, w tym jej utrzymania i remontów do 2023 roku”</w:t>
      </w:r>
    </w:p>
    <w:p w14:paraId="3FE1D70C" w14:textId="77777777" w:rsidR="00896594" w:rsidRPr="006C6CD1" w:rsidRDefault="00F543BF" w:rsidP="00597DD1">
      <w:pPr>
        <w:spacing w:after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Metoda alokacji kosztów do poszczególnych rodzajów usług</w:t>
      </w:r>
      <w:r w:rsidR="00F341BF" w:rsidRPr="006C6CD1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oferowanych </w:t>
      </w:r>
      <w:r w:rsidR="00B85811">
        <w:rPr>
          <w:rFonts w:ascii="Arial" w:hAnsi="Arial" w:cs="Arial"/>
          <w:b/>
          <w:bCs/>
          <w:sz w:val="24"/>
        </w:rPr>
        <w:t>aplikantom</w:t>
      </w:r>
      <w:r w:rsidR="006E13BF" w:rsidRPr="006E13BF">
        <w:t xml:space="preserve"> </w:t>
      </w:r>
      <w:r w:rsidR="006E13BF" w:rsidRPr="006E13BF">
        <w:rPr>
          <w:rFonts w:ascii="Arial" w:hAnsi="Arial" w:cs="Arial"/>
          <w:b/>
          <w:bCs/>
          <w:sz w:val="24"/>
        </w:rPr>
        <w:t>w zakresie minimalnego dostępu do infrastruktury kolejowej</w:t>
      </w:r>
    </w:p>
    <w:p w14:paraId="5603ACF7" w14:textId="77777777" w:rsidR="000C0C80" w:rsidRDefault="00CB6A3D" w:rsidP="00CB6A3D">
      <w:pPr>
        <w:numPr>
          <w:ilvl w:val="1"/>
          <w:numId w:val="43"/>
        </w:numPr>
        <w:spacing w:before="120"/>
        <w:ind w:left="0" w:hanging="426"/>
        <w:rPr>
          <w:rFonts w:ascii="Arial" w:hAnsi="Arial" w:cs="Arial"/>
          <w:lang w:eastAsia="pl-PL"/>
        </w:rPr>
      </w:pPr>
      <w:r w:rsidRPr="00CB6A3D">
        <w:rPr>
          <w:rFonts w:ascii="Arial" w:hAnsi="Arial" w:cs="Arial"/>
          <w:lang w:eastAsia="pl-PL"/>
        </w:rPr>
        <w:t xml:space="preserve">Dolnośląska Służba Dróg i Kolei we Wrocławiu (dalej zwana DSDiK lub zarządca) jest samorządową jednostką budżetową finansowaną przez Samorząd Województwa Dolnośląskiego i działa m.in. na podstawie ustawy z dnia 27 sierpnia 2009 r. o finansach publicznych </w:t>
      </w:r>
      <w:r w:rsidR="00AC2482" w:rsidRPr="00AC2482">
        <w:rPr>
          <w:rFonts w:ascii="Arial" w:hAnsi="Arial" w:cs="Arial"/>
          <w:color w:val="auto"/>
          <w:lang w:eastAsia="pl-PL"/>
        </w:rPr>
        <w:t>(Dz.</w:t>
      </w:r>
      <w:r w:rsidR="009E0E53" w:rsidRPr="00AC2482">
        <w:rPr>
          <w:rFonts w:ascii="Arial" w:hAnsi="Arial" w:cs="Arial"/>
          <w:color w:val="auto"/>
          <w:lang w:eastAsia="pl-PL"/>
        </w:rPr>
        <w:t>U</w:t>
      </w:r>
      <w:r w:rsidR="00AC2482" w:rsidRPr="00AC2482">
        <w:rPr>
          <w:rFonts w:ascii="Arial" w:hAnsi="Arial" w:cs="Arial"/>
          <w:color w:val="auto"/>
          <w:lang w:eastAsia="pl-PL"/>
        </w:rPr>
        <w:t>.</w:t>
      </w:r>
      <w:r w:rsidR="009E0E53" w:rsidRPr="00AC2482">
        <w:rPr>
          <w:rFonts w:ascii="Arial" w:hAnsi="Arial" w:cs="Arial"/>
          <w:color w:val="auto"/>
          <w:lang w:eastAsia="pl-PL"/>
        </w:rPr>
        <w:t xml:space="preserve"> </w:t>
      </w:r>
      <w:r w:rsidRPr="00AC2482">
        <w:rPr>
          <w:rFonts w:ascii="Arial" w:hAnsi="Arial" w:cs="Arial"/>
          <w:color w:val="auto"/>
          <w:lang w:eastAsia="pl-PL"/>
        </w:rPr>
        <w:t xml:space="preserve">2017 poz. 2077) </w:t>
      </w:r>
      <w:r w:rsidRPr="00CB6A3D">
        <w:rPr>
          <w:rFonts w:ascii="Arial" w:hAnsi="Arial" w:cs="Arial"/>
          <w:lang w:eastAsia="pl-PL"/>
        </w:rPr>
        <w:t>oraz Uchwały nr XV/337/15 Sej</w:t>
      </w:r>
      <w:r>
        <w:rPr>
          <w:rFonts w:ascii="Arial" w:hAnsi="Arial" w:cs="Arial"/>
          <w:lang w:eastAsia="pl-PL"/>
        </w:rPr>
        <w:t>miku Województwa Dolnośląskiego</w:t>
      </w:r>
      <w:r>
        <w:rPr>
          <w:rFonts w:ascii="Arial" w:hAnsi="Arial" w:cs="Arial"/>
          <w:lang w:eastAsia="pl-PL"/>
        </w:rPr>
        <w:br/>
      </w:r>
      <w:r w:rsidRPr="00CB6A3D">
        <w:rPr>
          <w:rFonts w:ascii="Arial" w:hAnsi="Arial" w:cs="Arial"/>
          <w:lang w:eastAsia="pl-PL"/>
        </w:rPr>
        <w:t>z dnia 29 października 2015 r. DSDiK wykonuje zadania Zarządu Województwa Dolnośląskiego w zakresie praw i obowiązków należących do zarządcy infrastruktury kolejowej określonych w ustawie z dnia 28 marca 2003 r. o transporcie kolejowym (Dz. U. 2017 poz. 2117 ze zm.), dalej zwaną Ustawą.</w:t>
      </w:r>
    </w:p>
    <w:p w14:paraId="660F761D" w14:textId="77777777" w:rsidR="006B74EF" w:rsidRPr="00597DD1" w:rsidRDefault="00597DD1" w:rsidP="00597DD1">
      <w:pPr>
        <w:numPr>
          <w:ilvl w:val="1"/>
          <w:numId w:val="43"/>
        </w:numPr>
        <w:spacing w:before="120"/>
        <w:ind w:left="0" w:hanging="448"/>
        <w:rPr>
          <w:rFonts w:ascii="Arial" w:hAnsi="Arial" w:cs="Arial"/>
          <w:lang w:eastAsia="pl-PL"/>
        </w:rPr>
      </w:pPr>
      <w:r w:rsidRPr="00597DD1">
        <w:rPr>
          <w:rFonts w:ascii="Arial" w:hAnsi="Arial" w:cs="Arial"/>
          <w:lang w:eastAsia="pl-PL"/>
        </w:rPr>
        <w:t>Koszty bezpośrednie będące częścią kosztów Zarządcy określane s</w:t>
      </w:r>
      <w:r>
        <w:rPr>
          <w:rFonts w:ascii="Arial" w:hAnsi="Arial" w:cs="Arial"/>
          <w:lang w:eastAsia="pl-PL"/>
        </w:rPr>
        <w:t>ą</w:t>
      </w:r>
      <w:r w:rsidRPr="00597DD1">
        <w:rPr>
          <w:rFonts w:ascii="Arial" w:hAnsi="Arial" w:cs="Arial"/>
          <w:lang w:eastAsia="pl-PL"/>
        </w:rPr>
        <w:t xml:space="preserve"> </w:t>
      </w:r>
      <w:r w:rsidR="009E0E53">
        <w:rPr>
          <w:rFonts w:ascii="Arial" w:hAnsi="Arial" w:cs="Arial"/>
          <w:lang w:eastAsia="pl-PL"/>
        </w:rPr>
        <w:t>w oparciu o następujące przepisy prawne:</w:t>
      </w:r>
    </w:p>
    <w:p w14:paraId="7A33366F" w14:textId="74C8FD23" w:rsidR="006B74EF" w:rsidRPr="006C6CD1" w:rsidRDefault="009E0E53" w:rsidP="00597DD1">
      <w:pPr>
        <w:pStyle w:val="Akapitzlist"/>
        <w:numPr>
          <w:ilvl w:val="0"/>
          <w:numId w:val="21"/>
        </w:numPr>
        <w:spacing w:before="120" w:after="0"/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Ustawa</w:t>
      </w:r>
      <w:r w:rsidR="006B74EF" w:rsidRPr="006C6CD1">
        <w:rPr>
          <w:rFonts w:ascii="Arial" w:hAnsi="Arial" w:cs="Arial"/>
        </w:rPr>
        <w:t xml:space="preserve"> z dnia 28 marca 2003 r. o transporcie kolejowym</w:t>
      </w:r>
      <w:r w:rsidR="00BB6BA5">
        <w:rPr>
          <w:rFonts w:ascii="Arial" w:hAnsi="Arial" w:cs="Arial"/>
        </w:rPr>
        <w:t xml:space="preserve"> (Dz. U. z</w:t>
      </w:r>
      <w:r w:rsidR="0055006F">
        <w:rPr>
          <w:rFonts w:ascii="Arial" w:hAnsi="Arial" w:cs="Arial"/>
        </w:rPr>
        <w:t xml:space="preserve"> 2019</w:t>
      </w:r>
      <w:r w:rsidRPr="0055006F">
        <w:rPr>
          <w:rFonts w:ascii="Arial" w:hAnsi="Arial" w:cs="Arial"/>
        </w:rPr>
        <w:t>r</w:t>
      </w:r>
      <w:r w:rsidR="00BB6BA5">
        <w:rPr>
          <w:rFonts w:ascii="Arial" w:hAnsi="Arial" w:cs="Arial"/>
        </w:rPr>
        <w:t xml:space="preserve">., poz. </w:t>
      </w:r>
      <w:r w:rsidR="0055006F">
        <w:rPr>
          <w:rFonts w:ascii="Arial" w:hAnsi="Arial" w:cs="Arial"/>
        </w:rPr>
        <w:t>710 z późn. zm.</w:t>
      </w:r>
      <w:r>
        <w:rPr>
          <w:rFonts w:ascii="Arial" w:hAnsi="Arial" w:cs="Arial"/>
        </w:rPr>
        <w:t xml:space="preserve">) </w:t>
      </w:r>
      <w:r w:rsidR="006B74EF" w:rsidRPr="006C6CD1">
        <w:rPr>
          <w:rFonts w:ascii="Arial" w:hAnsi="Arial" w:cs="Arial"/>
        </w:rPr>
        <w:t>;</w:t>
      </w:r>
    </w:p>
    <w:p w14:paraId="19BC42DA" w14:textId="77777777" w:rsidR="006B74EF" w:rsidRPr="006C6CD1" w:rsidRDefault="004B4129" w:rsidP="00597DD1">
      <w:pPr>
        <w:pStyle w:val="Akapitzlist"/>
        <w:numPr>
          <w:ilvl w:val="0"/>
          <w:numId w:val="21"/>
        </w:numPr>
        <w:spacing w:before="120" w:after="0"/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Rozporządzenie</w:t>
      </w:r>
      <w:r w:rsidR="006B74EF" w:rsidRPr="006C6CD1">
        <w:rPr>
          <w:rFonts w:ascii="Arial" w:hAnsi="Arial" w:cs="Arial"/>
        </w:rPr>
        <w:t xml:space="preserve"> Ministra Infrastruktury i Budownictwa z dnia 7 kwietnia 2017 r. w sprawie udostępniania infrastruktury kolejowej (Dz. U. z 2017 r., poz. 755</w:t>
      </w:r>
      <w:r w:rsidR="0055006F">
        <w:rPr>
          <w:rFonts w:ascii="Arial" w:hAnsi="Arial" w:cs="Arial"/>
        </w:rPr>
        <w:t xml:space="preserve"> ze zm.</w:t>
      </w:r>
      <w:r w:rsidR="006B74EF" w:rsidRPr="006C6CD1">
        <w:rPr>
          <w:rFonts w:ascii="Arial" w:hAnsi="Arial" w:cs="Arial"/>
        </w:rPr>
        <w:t>) – dalej rozporządzenie;</w:t>
      </w:r>
    </w:p>
    <w:p w14:paraId="665D68DB" w14:textId="77777777" w:rsidR="006B74EF" w:rsidRPr="006C6CD1" w:rsidRDefault="004B4129" w:rsidP="00597DD1">
      <w:pPr>
        <w:pStyle w:val="Akapitzlist"/>
        <w:numPr>
          <w:ilvl w:val="0"/>
          <w:numId w:val="21"/>
        </w:numPr>
        <w:spacing w:before="120" w:after="0"/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Rozporządzenie</w:t>
      </w:r>
      <w:r w:rsidR="006B74EF" w:rsidRPr="006C6C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Wykonawcze</w:t>
      </w:r>
      <w:r w:rsidR="006B74EF" w:rsidRPr="006C6CD1">
        <w:rPr>
          <w:rFonts w:ascii="Arial" w:hAnsi="Arial" w:cs="Arial"/>
        </w:rPr>
        <w:t xml:space="preserve"> Komisji (UE) 2015/909 z dnia 12 czerwca 2015 r. w sprawie zasad obliczania kosztów, które są ponoszone bezpośrednio jako rezultat przejazdu pociągu (Dz. Urz. UE L 148 z 13.06.2015, str. 17) – dalej: rozporządzenie KE.</w:t>
      </w:r>
    </w:p>
    <w:p w14:paraId="288C7439" w14:textId="77777777" w:rsidR="006B74EF" w:rsidRPr="006C6CD1" w:rsidRDefault="006B74EF" w:rsidP="00597DD1">
      <w:pPr>
        <w:spacing w:before="120" w:after="0"/>
        <w:ind w:left="426"/>
        <w:rPr>
          <w:rFonts w:ascii="Arial" w:hAnsi="Arial" w:cs="Arial"/>
        </w:rPr>
      </w:pPr>
      <w:r w:rsidRPr="006C6CD1">
        <w:rPr>
          <w:rFonts w:ascii="Arial" w:hAnsi="Arial" w:cs="Arial"/>
        </w:rPr>
        <w:t>Proces kalkulacji został opracowany przy zachowaniu zgodności z przepisami ww. aktów prawnych.</w:t>
      </w:r>
    </w:p>
    <w:p w14:paraId="2F53804E" w14:textId="77777777" w:rsidR="006B74EF" w:rsidRPr="006C6CD1" w:rsidRDefault="006B74EF" w:rsidP="00597DD1">
      <w:pPr>
        <w:numPr>
          <w:ilvl w:val="1"/>
          <w:numId w:val="43"/>
        </w:numPr>
        <w:spacing w:before="120"/>
        <w:ind w:left="0" w:hanging="448"/>
        <w:rPr>
          <w:rFonts w:ascii="Arial" w:hAnsi="Arial" w:cs="Arial"/>
          <w:lang w:eastAsia="pl-PL"/>
        </w:rPr>
      </w:pPr>
      <w:r w:rsidRPr="006C6CD1">
        <w:rPr>
          <w:rFonts w:ascii="Arial" w:hAnsi="Arial" w:cs="Arial"/>
          <w:lang w:eastAsia="pl-PL"/>
        </w:rPr>
        <w:t>Przyjęto następujące założenia do kalkulacji kosztów bezpośrednich:</w:t>
      </w:r>
    </w:p>
    <w:p w14:paraId="316E02C2" w14:textId="77777777" w:rsidR="006B74EF" w:rsidRPr="006C6CD1" w:rsidRDefault="006B74EF" w:rsidP="006C1304">
      <w:pPr>
        <w:pStyle w:val="Akapitzlist"/>
        <w:numPr>
          <w:ilvl w:val="0"/>
          <w:numId w:val="22"/>
        </w:numPr>
        <w:spacing w:before="80" w:after="0"/>
        <w:ind w:left="425" w:hanging="425"/>
        <w:rPr>
          <w:rFonts w:ascii="Arial" w:hAnsi="Arial" w:cs="Arial"/>
        </w:rPr>
      </w:pPr>
      <w:r w:rsidRPr="006C6CD1">
        <w:rPr>
          <w:rFonts w:ascii="Arial" w:hAnsi="Arial" w:cs="Arial"/>
        </w:rPr>
        <w:t xml:space="preserve">koszty ponoszone bezpośrednio jako rezultat przejazdu pociągu ustalane są tzw. metodą różnicy kosztów na podstawie art. 3 ust. 1 rozporządzenia KE: </w:t>
      </w:r>
    </w:p>
    <w:p w14:paraId="646C9ED2" w14:textId="77777777" w:rsidR="006B74EF" w:rsidRPr="006C6CD1" w:rsidRDefault="006B74EF" w:rsidP="006B74EF">
      <w:pPr>
        <w:spacing w:before="80" w:after="0"/>
        <w:ind w:left="426"/>
        <w:rPr>
          <w:rFonts w:ascii="Arial" w:hAnsi="Arial" w:cs="Arial"/>
        </w:rPr>
      </w:pPr>
      <w:r w:rsidRPr="006C6CD1">
        <w:rPr>
          <w:rFonts w:ascii="Arial" w:hAnsi="Arial" w:cs="Arial"/>
        </w:rPr>
        <w:t>„Koszty bezpośrednie na całej sieci oblicza się jako różnicę między kosztami zapewniania usług minimalnego pakietu dostępu i dostępu do infrastruktury łączącej obiekty infrastruktury usługowej z jednej strony, a z drugiej stro</w:t>
      </w:r>
      <w:r w:rsidR="00AC2482">
        <w:rPr>
          <w:rFonts w:ascii="Arial" w:hAnsi="Arial" w:cs="Arial"/>
        </w:rPr>
        <w:t>ny kosztami niekwalifikowanymi,</w:t>
      </w:r>
      <w:r w:rsidR="00AC2482">
        <w:rPr>
          <w:rFonts w:ascii="Arial" w:hAnsi="Arial" w:cs="Arial"/>
        </w:rPr>
        <w:br/>
      </w:r>
      <w:r w:rsidRPr="006C6CD1">
        <w:rPr>
          <w:rFonts w:ascii="Arial" w:hAnsi="Arial" w:cs="Arial"/>
        </w:rPr>
        <w:t xml:space="preserve">o których mowa w art. 4”. </w:t>
      </w:r>
    </w:p>
    <w:p w14:paraId="3615D008" w14:textId="77777777" w:rsidR="006B74EF" w:rsidRPr="006C6CD1" w:rsidRDefault="006B74EF" w:rsidP="006B74EF">
      <w:pPr>
        <w:spacing w:before="80" w:after="0"/>
        <w:ind w:left="426"/>
        <w:rPr>
          <w:rFonts w:ascii="Arial" w:hAnsi="Arial" w:cs="Arial"/>
        </w:rPr>
      </w:pPr>
      <w:r w:rsidRPr="006C6CD1">
        <w:rPr>
          <w:rFonts w:ascii="Arial" w:hAnsi="Arial" w:cs="Arial"/>
        </w:rPr>
        <w:t>Poprzez wyłączenia kosztów niekwalifikowanych, w stawkach za minimalny dostęp do infrastruktury kolejowej ujmowane są wyłącznie koszty ponoszone bezpośrednio jako rezultat przejazdu pociągu.</w:t>
      </w:r>
    </w:p>
    <w:p w14:paraId="7DDA9267" w14:textId="77777777" w:rsidR="006B74EF" w:rsidRPr="006C6CD1" w:rsidRDefault="006B74EF" w:rsidP="006C1304">
      <w:pPr>
        <w:pStyle w:val="Akapitzlist"/>
        <w:numPr>
          <w:ilvl w:val="0"/>
          <w:numId w:val="22"/>
        </w:numPr>
        <w:spacing w:before="80" w:after="0"/>
        <w:ind w:left="425" w:hanging="425"/>
        <w:rPr>
          <w:rFonts w:ascii="Arial" w:hAnsi="Arial" w:cs="Arial"/>
        </w:rPr>
      </w:pPr>
      <w:r w:rsidRPr="006C6CD1">
        <w:rPr>
          <w:rFonts w:ascii="Arial" w:hAnsi="Arial" w:cs="Arial"/>
        </w:rPr>
        <w:t>§ 21 ust. 13 rozporządzenia stanowi, że:</w:t>
      </w:r>
    </w:p>
    <w:p w14:paraId="452F6EE8" w14:textId="77777777" w:rsidR="006B74EF" w:rsidRPr="006C6CD1" w:rsidRDefault="006B74EF" w:rsidP="006B74EF">
      <w:pPr>
        <w:spacing w:before="80" w:after="0"/>
        <w:ind w:left="426"/>
        <w:rPr>
          <w:rFonts w:ascii="Arial" w:hAnsi="Arial" w:cs="Arial"/>
        </w:rPr>
      </w:pPr>
      <w:r w:rsidRPr="006C6CD1">
        <w:rPr>
          <w:rFonts w:ascii="Arial" w:hAnsi="Arial" w:cs="Arial"/>
        </w:rPr>
        <w:t xml:space="preserve">„planowaną wysokość kosztów bezpośrednich ustala się na podstawie wysokości odpowiednich kosztów bezpośrednich w ostatnim zakończonym roku obrotowym”. </w:t>
      </w:r>
    </w:p>
    <w:p w14:paraId="47BE8CED" w14:textId="77777777" w:rsidR="006B74EF" w:rsidRPr="006C6CD1" w:rsidRDefault="006B74EF" w:rsidP="006B74EF">
      <w:pPr>
        <w:spacing w:before="80" w:after="0"/>
        <w:ind w:left="426"/>
        <w:rPr>
          <w:rFonts w:ascii="Arial" w:hAnsi="Arial" w:cs="Arial"/>
        </w:rPr>
      </w:pPr>
      <w:r w:rsidRPr="006C6CD1">
        <w:rPr>
          <w:rFonts w:ascii="Arial" w:hAnsi="Arial" w:cs="Arial"/>
        </w:rPr>
        <w:t>W celu zachowania spójności, informacje o danych technicznych pochodzą z analogicznego okresu jak dane finansowe.</w:t>
      </w:r>
    </w:p>
    <w:p w14:paraId="74314759" w14:textId="77777777" w:rsidR="00597DD1" w:rsidRDefault="00597DD1" w:rsidP="00CF00B7">
      <w:pPr>
        <w:pStyle w:val="ListParagraph2"/>
        <w:spacing w:line="276" w:lineRule="auto"/>
        <w:ind w:left="0"/>
        <w:jc w:val="both"/>
        <w:rPr>
          <w:b/>
          <w:color w:val="000000" w:themeColor="text1"/>
        </w:rPr>
      </w:pPr>
    </w:p>
    <w:p w14:paraId="218B06B6" w14:textId="77777777" w:rsidR="00597DD1" w:rsidRDefault="00597DD1" w:rsidP="00CF00B7">
      <w:pPr>
        <w:pStyle w:val="ListParagraph2"/>
        <w:spacing w:line="276" w:lineRule="auto"/>
        <w:ind w:left="0"/>
        <w:jc w:val="both"/>
        <w:rPr>
          <w:b/>
          <w:color w:val="000000" w:themeColor="text1"/>
        </w:rPr>
      </w:pPr>
    </w:p>
    <w:p w14:paraId="6D8D44D0" w14:textId="77777777" w:rsidR="003812EC" w:rsidRDefault="003812EC" w:rsidP="00CF00B7">
      <w:pPr>
        <w:pStyle w:val="ListParagraph2"/>
        <w:spacing w:line="276" w:lineRule="auto"/>
        <w:ind w:left="0"/>
        <w:jc w:val="both"/>
        <w:rPr>
          <w:b/>
          <w:color w:val="000000" w:themeColor="text1"/>
        </w:rPr>
      </w:pPr>
    </w:p>
    <w:p w14:paraId="5F95D174" w14:textId="77777777" w:rsidR="004B4129" w:rsidRDefault="004B4129" w:rsidP="00CF00B7">
      <w:pPr>
        <w:pStyle w:val="ListParagraph2"/>
        <w:spacing w:line="276" w:lineRule="auto"/>
        <w:ind w:left="0"/>
        <w:jc w:val="both"/>
        <w:rPr>
          <w:b/>
          <w:color w:val="000000" w:themeColor="text1"/>
        </w:rPr>
      </w:pPr>
    </w:p>
    <w:p w14:paraId="11912C94" w14:textId="77777777" w:rsidR="00CF00B7" w:rsidRPr="00CF00B7" w:rsidRDefault="00CF00B7" w:rsidP="00CF00B7">
      <w:pPr>
        <w:pStyle w:val="ListParagraph2"/>
        <w:spacing w:line="276" w:lineRule="auto"/>
        <w:ind w:left="0"/>
        <w:jc w:val="both"/>
        <w:rPr>
          <w:b/>
          <w:color w:val="000000" w:themeColor="text1"/>
        </w:rPr>
      </w:pPr>
      <w:r w:rsidRPr="00CF00B7">
        <w:rPr>
          <w:b/>
          <w:color w:val="000000" w:themeColor="text1"/>
        </w:rPr>
        <w:lastRenderedPageBreak/>
        <w:t>Ogólne założenia bazy kosztowej</w:t>
      </w:r>
      <w:r w:rsidR="00597DD1">
        <w:rPr>
          <w:b/>
          <w:color w:val="000000" w:themeColor="text1"/>
        </w:rPr>
        <w:t xml:space="preserve"> do ustalania kosztów minimalnego dostępu do infrastruktury kolejowej</w:t>
      </w:r>
    </w:p>
    <w:p w14:paraId="0967F0A7" w14:textId="77777777" w:rsidR="00CF00B7" w:rsidRPr="00CF00B7" w:rsidRDefault="00CF00B7" w:rsidP="00CF00B7">
      <w:pPr>
        <w:pStyle w:val="ListParagraph2"/>
        <w:spacing w:line="276" w:lineRule="auto"/>
        <w:ind w:left="0"/>
        <w:jc w:val="both"/>
        <w:rPr>
          <w:rFonts w:eastAsiaTheme="minorHAnsi"/>
        </w:rPr>
      </w:pPr>
      <w:r w:rsidRPr="00CF00B7">
        <w:rPr>
          <w:color w:val="000000" w:themeColor="text1"/>
        </w:rPr>
        <w:t>D</w:t>
      </w:r>
      <w:r w:rsidRPr="00CF00B7">
        <w:t>o ustalania stawki jednostkowej opłaty podstawowej za</w:t>
      </w:r>
      <w:r w:rsidRPr="00CF00B7">
        <w:rPr>
          <w:rFonts w:eastAsiaTheme="minorHAnsi"/>
        </w:rPr>
        <w:t xml:space="preserve"> dostęp do infrastruktury kolejowej, przyjęto tę część kosztów, które mają być sfinansowane z tej opłaty, i które są bezpośrednio ponoszone przez zarządcę jako rezultat wykonywania przewozów kolejowych. Do kosztów tych zaliczono w szczególności:</w:t>
      </w:r>
    </w:p>
    <w:p w14:paraId="7387E3B2" w14:textId="77777777" w:rsidR="00CF00B7" w:rsidRPr="00CF00B7" w:rsidRDefault="00CF00B7" w:rsidP="00CF00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rPr>
          <w:rFonts w:ascii="Arial" w:eastAsiaTheme="minorHAnsi" w:hAnsi="Arial" w:cs="Arial"/>
        </w:rPr>
      </w:pPr>
      <w:r w:rsidRPr="00CF00B7">
        <w:rPr>
          <w:rFonts w:ascii="Arial" w:eastAsiaTheme="minorHAnsi" w:hAnsi="Arial" w:cs="Arial"/>
        </w:rPr>
        <w:t>część kosztów utrzymania i remontów infrastruktury kolejowej;</w:t>
      </w:r>
    </w:p>
    <w:p w14:paraId="3F372A3C" w14:textId="77777777" w:rsidR="00CF00B7" w:rsidRDefault="003812EC" w:rsidP="00CF00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 w:line="276" w:lineRule="auto"/>
        <w:ind w:left="714" w:hanging="357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koszty</w:t>
      </w:r>
      <w:r w:rsidR="00CF00B7" w:rsidRPr="00CF00B7">
        <w:rPr>
          <w:rFonts w:ascii="Arial" w:eastAsiaTheme="minorHAnsi" w:hAnsi="Arial" w:cs="Arial"/>
        </w:rPr>
        <w:t xml:space="preserve"> prowadzenia ruchu pociągów;</w:t>
      </w:r>
    </w:p>
    <w:p w14:paraId="425C2254" w14:textId="77777777" w:rsidR="003812EC" w:rsidRPr="00CF00B7" w:rsidRDefault="003812EC" w:rsidP="00CF00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 w:line="276" w:lineRule="auto"/>
        <w:ind w:left="714" w:hanging="357"/>
        <w:contextualSpacing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koszty akcji zima</w:t>
      </w:r>
      <w:r w:rsidR="003C1D1C">
        <w:rPr>
          <w:rFonts w:ascii="Arial" w:eastAsiaTheme="minorHAnsi" w:hAnsi="Arial" w:cs="Arial"/>
        </w:rPr>
        <w:t>.</w:t>
      </w:r>
    </w:p>
    <w:p w14:paraId="639DC4E2" w14:textId="77777777" w:rsidR="00CF00B7" w:rsidRPr="00CF00B7" w:rsidRDefault="00CF00B7" w:rsidP="00CF00B7">
      <w:pPr>
        <w:pStyle w:val="ListParagraph2"/>
        <w:spacing w:line="276" w:lineRule="auto"/>
        <w:ind w:left="0"/>
        <w:jc w:val="both"/>
        <w:rPr>
          <w:color w:val="000000" w:themeColor="text1"/>
        </w:rPr>
      </w:pPr>
      <w:r w:rsidRPr="00CF00B7">
        <w:rPr>
          <w:color w:val="000000" w:themeColor="text1"/>
        </w:rPr>
        <w:t>Do ustalania tych stawek nie przyjęto kosztów, które nie są bezpośrednio ponoszone jako rezultat wykonywania przewozów pociągami, w szczególności:</w:t>
      </w:r>
    </w:p>
    <w:p w14:paraId="3697002C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stałych związanych z udostępnianiem odcinka linii, które zarządca infrastruktury musi ponosić nawet w przypadku braku ruchu pociągów; </w:t>
      </w:r>
    </w:p>
    <w:p w14:paraId="59EE6B4E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kosztów, które nie odnoszą się do płatności dokonanych przez zarządcę infrastruktury. Kosztów lub centrów kosztów, które nie są bezpośrednio związane z zapewnianiem usług minimalnego pakietu dostępu lub dostępu do infrastruktury łączącej obiekty infrastruktury usługowej; </w:t>
      </w:r>
    </w:p>
    <w:p w14:paraId="2A976894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</w:t>
      </w:r>
      <w:r w:rsidR="003812EC">
        <w:rPr>
          <w:rFonts w:ascii="Arial" w:hAnsi="Arial" w:cs="Arial"/>
        </w:rPr>
        <w:t>trwałego zarządu</w:t>
      </w:r>
      <w:r w:rsidRPr="00CF00B7">
        <w:rPr>
          <w:rFonts w:ascii="Arial" w:hAnsi="Arial" w:cs="Arial"/>
        </w:rPr>
        <w:t xml:space="preserve">; </w:t>
      </w:r>
    </w:p>
    <w:p w14:paraId="0D93B60F" w14:textId="77777777" w:rsidR="00CF00B7" w:rsidRPr="00CF00B7" w:rsidRDefault="004B4129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kosztów pośrednich;</w:t>
      </w:r>
    </w:p>
    <w:p w14:paraId="76BC0B14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finansowania; </w:t>
      </w:r>
    </w:p>
    <w:p w14:paraId="2701EFDC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związanych z postępem technologicznym lub wyjściem z użycia; </w:t>
      </w:r>
    </w:p>
    <w:p w14:paraId="105B8C7D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wartości niematerialnych i prawnych; </w:t>
      </w:r>
    </w:p>
    <w:p w14:paraId="2329486A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>kosztów przytorowych czujników, przytorowych urządzeń komunikacyjnych i urządzeń sygnalizacyjnych, jeżeli nie są bezpośrednio ponoszone w wyniku przejazdu pociągu;</w:t>
      </w:r>
    </w:p>
    <w:p w14:paraId="01CBDC69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informacji, urządzeń komunikacyjnych nieznajdujących się przy torach lub urządzeń telekomunikacyjnych; </w:t>
      </w:r>
    </w:p>
    <w:p w14:paraId="04D349B7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>kosztów dotyczących poszczególnych przypadków d</w:t>
      </w:r>
      <w:r w:rsidR="00AC2482">
        <w:rPr>
          <w:rFonts w:ascii="Arial" w:hAnsi="Arial" w:cs="Arial"/>
        </w:rPr>
        <w:t>ziałania siły wyższej, wypadków</w:t>
      </w:r>
      <w:r w:rsidR="00AC2482">
        <w:rPr>
          <w:rFonts w:ascii="Arial" w:hAnsi="Arial" w:cs="Arial"/>
        </w:rPr>
        <w:br/>
      </w:r>
      <w:r w:rsidRPr="00CF00B7">
        <w:rPr>
          <w:rFonts w:ascii="Arial" w:hAnsi="Arial" w:cs="Arial"/>
        </w:rPr>
        <w:t xml:space="preserve">i zakłóceń przewozów; </w:t>
      </w:r>
    </w:p>
    <w:p w14:paraId="38BFB358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związanych z dostarczaniem informacji, chyba że są ponoszone jako rezultat przejazdu pociągu; </w:t>
      </w:r>
    </w:p>
    <w:p w14:paraId="2D501AD7" w14:textId="77777777" w:rsidR="00CF00B7" w:rsidRPr="00CF00B7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 xml:space="preserve">kosztów administracyjnych ponoszonych w ramach systemów różnicowania opłat; </w:t>
      </w:r>
    </w:p>
    <w:p w14:paraId="75227987" w14:textId="77777777" w:rsidR="00CF00B7" w:rsidRPr="00CF00B7" w:rsidRDefault="00EC30C1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kosztów </w:t>
      </w:r>
      <w:r w:rsidR="00CF00B7" w:rsidRPr="00CF00B7">
        <w:rPr>
          <w:rFonts w:ascii="Arial" w:hAnsi="Arial" w:cs="Arial"/>
        </w:rPr>
        <w:t>amortyzacji</w:t>
      </w:r>
      <w:r>
        <w:rPr>
          <w:rFonts w:ascii="Arial" w:hAnsi="Arial" w:cs="Arial"/>
        </w:rPr>
        <w:t>;</w:t>
      </w:r>
      <w:r w:rsidR="00CF00B7" w:rsidRPr="00CF00B7">
        <w:rPr>
          <w:rFonts w:ascii="Arial" w:hAnsi="Arial" w:cs="Arial"/>
        </w:rPr>
        <w:t xml:space="preserve"> </w:t>
      </w:r>
    </w:p>
    <w:p w14:paraId="469D1E90" w14:textId="77777777" w:rsidR="00CF00B7" w:rsidRPr="002A6E2F" w:rsidRDefault="00CF00B7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 w:rsidRPr="00CF00B7">
        <w:rPr>
          <w:rFonts w:ascii="Arial" w:hAnsi="Arial" w:cs="Arial"/>
        </w:rPr>
        <w:t>części kosztów utrzymania i remontów infrastruktury cywilnej, które nie są bezpośrednio ponosz</w:t>
      </w:r>
      <w:r w:rsidR="00B07A4B">
        <w:rPr>
          <w:rFonts w:ascii="Arial" w:hAnsi="Arial" w:cs="Arial"/>
        </w:rPr>
        <w:t>one w wyniku przejazdu pociągu;</w:t>
      </w:r>
    </w:p>
    <w:p w14:paraId="14AA5128" w14:textId="77777777" w:rsidR="002A6E2F" w:rsidRPr="00CF00B7" w:rsidRDefault="00B07A4B" w:rsidP="00CF00B7">
      <w:pPr>
        <w:pStyle w:val="Akapitzlist"/>
        <w:numPr>
          <w:ilvl w:val="0"/>
          <w:numId w:val="41"/>
        </w:numPr>
        <w:spacing w:before="60" w:after="0" w:line="276" w:lineRule="auto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="002A6E2F">
        <w:rPr>
          <w:rFonts w:ascii="Arial" w:hAnsi="Arial" w:cs="Arial"/>
        </w:rPr>
        <w:t>oszty analiz i badań</w:t>
      </w:r>
      <w:r>
        <w:rPr>
          <w:rFonts w:ascii="Arial" w:hAnsi="Arial" w:cs="Arial"/>
        </w:rPr>
        <w:t>.</w:t>
      </w:r>
    </w:p>
    <w:p w14:paraId="64F83303" w14:textId="77777777" w:rsidR="00592C10" w:rsidRDefault="002A6E2F" w:rsidP="00597DD1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szCs w:val="22"/>
        </w:rPr>
        <w:t>Wymienione wyżej</w:t>
      </w:r>
      <w:r w:rsidR="006B74EF" w:rsidRPr="006C6CD1">
        <w:rPr>
          <w:rFonts w:ascii="Arial" w:hAnsi="Arial" w:cs="Arial"/>
          <w:szCs w:val="22"/>
        </w:rPr>
        <w:t xml:space="preserve"> ko</w:t>
      </w:r>
      <w:r>
        <w:rPr>
          <w:rFonts w:ascii="Arial" w:hAnsi="Arial" w:cs="Arial"/>
          <w:szCs w:val="22"/>
        </w:rPr>
        <w:t>szty stanowią koszty</w:t>
      </w:r>
      <w:r w:rsidR="006B74EF" w:rsidRPr="006C6CD1">
        <w:rPr>
          <w:rFonts w:ascii="Arial" w:hAnsi="Arial" w:cs="Arial"/>
          <w:szCs w:val="22"/>
        </w:rPr>
        <w:t xml:space="preserve"> działalności </w:t>
      </w:r>
      <w:r>
        <w:rPr>
          <w:rFonts w:ascii="Arial" w:hAnsi="Arial" w:cs="Arial"/>
          <w:szCs w:val="22"/>
        </w:rPr>
        <w:t>związanej z zarządzaniem infrastrukturą kolejową</w:t>
      </w:r>
      <w:r w:rsidR="006B74EF" w:rsidRPr="006C6CD1">
        <w:rPr>
          <w:rFonts w:ascii="Arial" w:hAnsi="Arial" w:cs="Arial"/>
          <w:szCs w:val="22"/>
        </w:rPr>
        <w:t xml:space="preserve">. </w:t>
      </w:r>
      <w:bookmarkEnd w:id="0"/>
    </w:p>
    <w:p w14:paraId="20C9DEDF" w14:textId="77777777" w:rsidR="00906B17" w:rsidRDefault="00906B17" w:rsidP="00597DD1">
      <w:pPr>
        <w:spacing w:before="120" w:after="0"/>
      </w:pPr>
    </w:p>
    <w:sectPr w:rsidR="00906B17" w:rsidSect="00597DD1">
      <w:footerReference w:type="default" r:id="rId8"/>
      <w:pgSz w:w="11906" w:h="16838"/>
      <w:pgMar w:top="1418" w:right="851" w:bottom="1418" w:left="1985" w:header="709" w:footer="14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DCC9C0" w16cid:durableId="20AC8308"/>
  <w16cid:commentId w16cid:paraId="22348293" w16cid:durableId="20AC83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1372" w14:textId="77777777" w:rsidR="00E43B3B" w:rsidRDefault="00E43B3B" w:rsidP="00533129">
      <w:pPr>
        <w:spacing w:after="0"/>
      </w:pPr>
      <w:r>
        <w:separator/>
      </w:r>
    </w:p>
  </w:endnote>
  <w:endnote w:type="continuationSeparator" w:id="0">
    <w:p w14:paraId="2B800F27" w14:textId="77777777" w:rsidR="00E43B3B" w:rsidRDefault="00E43B3B" w:rsidP="00533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YInterstate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989F" w14:textId="77777777" w:rsidR="00960AD8" w:rsidRPr="00EE5EE5" w:rsidRDefault="00960AD8" w:rsidP="006B74EF">
    <w:pPr>
      <w:pStyle w:val="Stopka"/>
      <w:pBdr>
        <w:top w:val="single" w:sz="4" w:space="7" w:color="auto"/>
      </w:pBdr>
      <w:spacing w:before="120"/>
      <w:jc w:val="right"/>
      <w:rPr>
        <w:rFonts w:ascii="Arial" w:hAnsi="Arial" w:cs="Arial"/>
        <w:i/>
        <w:iCs/>
        <w:sz w:val="16"/>
        <w:szCs w:val="16"/>
      </w:rPr>
    </w:pPr>
    <w:r w:rsidRPr="00EE5EE5">
      <w:rPr>
        <w:rFonts w:ascii="Arial" w:hAnsi="Arial" w:cs="Arial"/>
        <w:i/>
        <w:iCs/>
        <w:sz w:val="16"/>
        <w:szCs w:val="16"/>
      </w:rPr>
      <w:t xml:space="preserve">Strona </w:t>
    </w:r>
    <w:r w:rsidRPr="00EE5EE5">
      <w:rPr>
        <w:rFonts w:ascii="Arial" w:hAnsi="Arial" w:cs="Arial"/>
        <w:i/>
        <w:iCs/>
        <w:sz w:val="16"/>
        <w:szCs w:val="16"/>
      </w:rPr>
      <w:fldChar w:fldCharType="begin"/>
    </w:r>
    <w:r w:rsidRPr="00EE5EE5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EE5EE5">
      <w:rPr>
        <w:rFonts w:ascii="Arial" w:hAnsi="Arial" w:cs="Arial"/>
        <w:i/>
        <w:iCs/>
        <w:sz w:val="16"/>
        <w:szCs w:val="16"/>
      </w:rPr>
      <w:fldChar w:fldCharType="separate"/>
    </w:r>
    <w:r w:rsidR="00D31762">
      <w:rPr>
        <w:rFonts w:ascii="Arial" w:hAnsi="Arial" w:cs="Arial"/>
        <w:i/>
        <w:iCs/>
        <w:noProof/>
        <w:sz w:val="16"/>
        <w:szCs w:val="16"/>
      </w:rPr>
      <w:t>2</w:t>
    </w:r>
    <w:r w:rsidRPr="00EE5EE5">
      <w:rPr>
        <w:rFonts w:ascii="Arial" w:hAnsi="Arial" w:cs="Arial"/>
        <w:i/>
        <w:iCs/>
        <w:sz w:val="16"/>
        <w:szCs w:val="16"/>
      </w:rPr>
      <w:fldChar w:fldCharType="end"/>
    </w:r>
    <w:r w:rsidRPr="00EE5EE5">
      <w:rPr>
        <w:rFonts w:ascii="Arial" w:hAnsi="Arial" w:cs="Arial"/>
        <w:i/>
        <w:iCs/>
        <w:sz w:val="16"/>
        <w:szCs w:val="16"/>
      </w:rPr>
      <w:t xml:space="preserve"> z </w:t>
    </w:r>
    <w:r w:rsidR="00441447">
      <w:rPr>
        <w:rFonts w:ascii="Arial" w:hAnsi="Arial" w:cs="Arial"/>
        <w:i/>
        <w:iCs/>
        <w:noProof/>
        <w:sz w:val="16"/>
        <w:szCs w:val="16"/>
      </w:rPr>
      <w:fldChar w:fldCharType="begin"/>
    </w:r>
    <w:r w:rsidR="00441447">
      <w:rPr>
        <w:rFonts w:ascii="Arial" w:hAnsi="Arial" w:cs="Arial"/>
        <w:i/>
        <w:iCs/>
        <w:noProof/>
        <w:sz w:val="16"/>
        <w:szCs w:val="16"/>
      </w:rPr>
      <w:instrText>NUMPAGES  \* Arabic  \* MERGEFORMAT</w:instrText>
    </w:r>
    <w:r w:rsidR="00441447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D31762">
      <w:rPr>
        <w:rFonts w:ascii="Arial" w:hAnsi="Arial" w:cs="Arial"/>
        <w:i/>
        <w:iCs/>
        <w:noProof/>
        <w:sz w:val="16"/>
        <w:szCs w:val="16"/>
      </w:rPr>
      <w:t>2</w:t>
    </w:r>
    <w:r w:rsidR="00441447">
      <w:rPr>
        <w:rFonts w:ascii="Arial" w:hAnsi="Arial" w:cs="Arial"/>
        <w:i/>
        <w:iCs/>
        <w:noProof/>
        <w:sz w:val="16"/>
        <w:szCs w:val="16"/>
      </w:rPr>
      <w:fldChar w:fldCharType="end"/>
    </w:r>
  </w:p>
  <w:p w14:paraId="3FA5C921" w14:textId="77777777" w:rsidR="00960AD8" w:rsidRDefault="00960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4920" w14:textId="77777777" w:rsidR="00E43B3B" w:rsidRDefault="00E43B3B" w:rsidP="00533129">
      <w:pPr>
        <w:spacing w:after="0"/>
      </w:pPr>
      <w:r>
        <w:separator/>
      </w:r>
    </w:p>
  </w:footnote>
  <w:footnote w:type="continuationSeparator" w:id="0">
    <w:p w14:paraId="7E34B0CE" w14:textId="77777777" w:rsidR="00E43B3B" w:rsidRDefault="00E43B3B" w:rsidP="00533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115"/>
    <w:multiLevelType w:val="hybridMultilevel"/>
    <w:tmpl w:val="239439F8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2193182"/>
    <w:multiLevelType w:val="multilevel"/>
    <w:tmpl w:val="215AF1E0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" w15:restartNumberingAfterBreak="0">
    <w:nsid w:val="02E531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749BC"/>
    <w:multiLevelType w:val="hybridMultilevel"/>
    <w:tmpl w:val="3D740B7E"/>
    <w:lvl w:ilvl="0" w:tplc="85FCBCBC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09CB5A20"/>
    <w:multiLevelType w:val="multilevel"/>
    <w:tmpl w:val="3F74A5C8"/>
    <w:lvl w:ilvl="0">
      <w:start w:val="1"/>
      <w:numFmt w:val="decimal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10332"/>
    <w:multiLevelType w:val="hybridMultilevel"/>
    <w:tmpl w:val="AAA0358C"/>
    <w:lvl w:ilvl="0" w:tplc="85FCBC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0C20915"/>
    <w:multiLevelType w:val="hybridMultilevel"/>
    <w:tmpl w:val="45DA1CB6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5366E1E"/>
    <w:multiLevelType w:val="hybridMultilevel"/>
    <w:tmpl w:val="34B09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A85"/>
    <w:multiLevelType w:val="hybridMultilevel"/>
    <w:tmpl w:val="80525184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86D3C68"/>
    <w:multiLevelType w:val="hybridMultilevel"/>
    <w:tmpl w:val="39A4B57A"/>
    <w:lvl w:ilvl="0" w:tplc="3EAA8ED4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7314D7"/>
    <w:multiLevelType w:val="hybridMultilevel"/>
    <w:tmpl w:val="1910BB94"/>
    <w:lvl w:ilvl="0" w:tplc="2CCE489C">
      <w:start w:val="1"/>
      <w:numFmt w:val="decimal"/>
      <w:lvlText w:val="%1)"/>
      <w:lvlJc w:val="left"/>
      <w:pPr>
        <w:ind w:left="1495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B8168B0"/>
    <w:multiLevelType w:val="hybridMultilevel"/>
    <w:tmpl w:val="1506FD0A"/>
    <w:lvl w:ilvl="0" w:tplc="5D480166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6A39"/>
    <w:multiLevelType w:val="hybridMultilevel"/>
    <w:tmpl w:val="A9D2551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C3593"/>
    <w:multiLevelType w:val="hybridMultilevel"/>
    <w:tmpl w:val="216CA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2AC4F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D376A"/>
    <w:multiLevelType w:val="hybridMultilevel"/>
    <w:tmpl w:val="54862F78"/>
    <w:lvl w:ilvl="0" w:tplc="E07A2A62">
      <w:start w:val="1"/>
      <w:numFmt w:val="decimal"/>
      <w:lvlText w:val="%1)"/>
      <w:lvlJc w:val="left"/>
      <w:pPr>
        <w:ind w:left="713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 w15:restartNumberingAfterBreak="0">
    <w:nsid w:val="1EC82058"/>
    <w:multiLevelType w:val="hybridMultilevel"/>
    <w:tmpl w:val="E3D627BE"/>
    <w:lvl w:ilvl="0" w:tplc="3EAA8E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8084A"/>
    <w:multiLevelType w:val="hybridMultilevel"/>
    <w:tmpl w:val="B9C40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86ED9"/>
    <w:multiLevelType w:val="hybridMultilevel"/>
    <w:tmpl w:val="C4D0F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2AC4F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03A85"/>
    <w:multiLevelType w:val="multilevel"/>
    <w:tmpl w:val="F820AEF8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013491"/>
    <w:multiLevelType w:val="hybridMultilevel"/>
    <w:tmpl w:val="49303F54"/>
    <w:lvl w:ilvl="0" w:tplc="D5D4BF74">
      <w:start w:val="1"/>
      <w:numFmt w:val="lowerLetter"/>
      <w:lvlText w:val="%1)"/>
      <w:lvlJc w:val="left"/>
      <w:pPr>
        <w:ind w:left="295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2A4D05EA"/>
    <w:multiLevelType w:val="multilevel"/>
    <w:tmpl w:val="72FE0D82"/>
    <w:lvl w:ilvl="0">
      <w:start w:val="1"/>
      <w:numFmt w:val="ordinal"/>
      <w:lvlText w:val="%1"/>
      <w:lvlJc w:val="left"/>
      <w:pPr>
        <w:ind w:left="6741" w:hanging="360"/>
      </w:pPr>
      <w:rPr>
        <w:rFonts w:ascii="Arial" w:hAnsi="Aria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1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1" w15:restartNumberingAfterBreak="0">
    <w:nsid w:val="2AA07E0C"/>
    <w:multiLevelType w:val="hybridMultilevel"/>
    <w:tmpl w:val="FA68228A"/>
    <w:lvl w:ilvl="0" w:tplc="B3623594">
      <w:start w:val="1"/>
      <w:numFmt w:val="decimal"/>
      <w:lvlText w:val="%1)"/>
      <w:lvlJc w:val="left"/>
      <w:pPr>
        <w:ind w:left="24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2" w15:restartNumberingAfterBreak="0">
    <w:nsid w:val="2C685CF4"/>
    <w:multiLevelType w:val="multilevel"/>
    <w:tmpl w:val="930A665C"/>
    <w:lvl w:ilvl="0">
      <w:start w:val="1"/>
      <w:numFmt w:val="bullet"/>
      <w:lvlText w:val=""/>
      <w:lvlJc w:val="left"/>
      <w:pPr>
        <w:ind w:left="6741" w:hanging="360"/>
      </w:pPr>
      <w:rPr>
        <w:rFonts w:ascii="Symbol" w:hAnsi="Symbo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1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3" w15:restartNumberingAfterBreak="0">
    <w:nsid w:val="2E791FA8"/>
    <w:multiLevelType w:val="hybridMultilevel"/>
    <w:tmpl w:val="DA3E0928"/>
    <w:lvl w:ilvl="0" w:tplc="7EF4CF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ECACEDA">
      <w:start w:val="1"/>
      <w:numFmt w:val="decimal"/>
      <w:lvlText w:val="b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E0062"/>
    <w:multiLevelType w:val="hybridMultilevel"/>
    <w:tmpl w:val="4A5623CC"/>
    <w:lvl w:ilvl="0" w:tplc="85FCBCBC">
      <w:start w:val="1"/>
      <w:numFmt w:val="bullet"/>
      <w:lvlText w:val=""/>
      <w:lvlJc w:val="left"/>
      <w:pPr>
        <w:ind w:left="-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25" w15:restartNumberingAfterBreak="0">
    <w:nsid w:val="480A760C"/>
    <w:multiLevelType w:val="hybridMultilevel"/>
    <w:tmpl w:val="193679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151E"/>
    <w:multiLevelType w:val="multilevel"/>
    <w:tmpl w:val="A79480AC"/>
    <w:lvl w:ilvl="0">
      <w:start w:val="1"/>
      <w:numFmt w:val="ordinal"/>
      <w:lvlText w:val="%1"/>
      <w:lvlJc w:val="left"/>
      <w:pPr>
        <w:ind w:left="6741" w:hanging="360"/>
      </w:pPr>
      <w:rPr>
        <w:rFonts w:ascii="Arial" w:hAnsi="Arial" w:hint="default"/>
        <w:b/>
        <w:bCs w:val="0"/>
        <w:i w:val="0"/>
        <w:iCs w:val="0"/>
        <w:color w:val="000000" w:themeColor="text1"/>
        <w:sz w:val="24"/>
        <w:szCs w:val="22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.%3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%2.%3.%4."/>
      <w:lvlJc w:val="left"/>
      <w:pPr>
        <w:ind w:left="197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0" w:hanging="1440"/>
      </w:pPr>
      <w:rPr>
        <w:rFonts w:hint="default"/>
      </w:rPr>
    </w:lvl>
  </w:abstractNum>
  <w:abstractNum w:abstractNumId="28" w15:restartNumberingAfterBreak="0">
    <w:nsid w:val="4F4F508A"/>
    <w:multiLevelType w:val="hybridMultilevel"/>
    <w:tmpl w:val="0476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974AD"/>
    <w:multiLevelType w:val="hybridMultilevel"/>
    <w:tmpl w:val="CF3A639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2FD8"/>
    <w:multiLevelType w:val="hybridMultilevel"/>
    <w:tmpl w:val="393CFD2E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270E"/>
    <w:multiLevelType w:val="hybridMultilevel"/>
    <w:tmpl w:val="88E06506"/>
    <w:lvl w:ilvl="0" w:tplc="FC7E0D46">
      <w:start w:val="1"/>
      <w:numFmt w:val="decimal"/>
      <w:lvlText w:val="%1)"/>
      <w:lvlJc w:val="left"/>
      <w:pPr>
        <w:ind w:left="1077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96BAC"/>
    <w:multiLevelType w:val="hybridMultilevel"/>
    <w:tmpl w:val="075A6B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51D30"/>
    <w:multiLevelType w:val="hybridMultilevel"/>
    <w:tmpl w:val="3E4C4C72"/>
    <w:lvl w:ilvl="0" w:tplc="386038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90E7D"/>
    <w:multiLevelType w:val="hybridMultilevel"/>
    <w:tmpl w:val="26A29F74"/>
    <w:lvl w:ilvl="0" w:tplc="7F2E73C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3461D"/>
    <w:multiLevelType w:val="hybridMultilevel"/>
    <w:tmpl w:val="1CDA38E2"/>
    <w:lvl w:ilvl="0" w:tplc="85FCB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015549"/>
    <w:multiLevelType w:val="hybridMultilevel"/>
    <w:tmpl w:val="A5C8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3F1A"/>
    <w:multiLevelType w:val="hybridMultilevel"/>
    <w:tmpl w:val="36A02740"/>
    <w:lvl w:ilvl="0" w:tplc="6A8A900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4"/>
  </w:num>
  <w:num w:numId="5">
    <w:abstractNumId w:val="11"/>
  </w:num>
  <w:num w:numId="6">
    <w:abstractNumId w:val="35"/>
  </w:num>
  <w:num w:numId="7">
    <w:abstractNumId w:val="10"/>
  </w:num>
  <w:num w:numId="8">
    <w:abstractNumId w:val="1"/>
  </w:num>
  <w:num w:numId="9">
    <w:abstractNumId w:val="29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3"/>
  </w:num>
  <w:num w:numId="15">
    <w:abstractNumId w:val="21"/>
  </w:num>
  <w:num w:numId="16">
    <w:abstractNumId w:val="5"/>
  </w:num>
  <w:num w:numId="17">
    <w:abstractNumId w:val="30"/>
  </w:num>
  <w:num w:numId="18">
    <w:abstractNumId w:val="20"/>
  </w:num>
  <w:num w:numId="19">
    <w:abstractNumId w:val="3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6"/>
  </w:num>
  <w:num w:numId="34">
    <w:abstractNumId w:val="0"/>
  </w:num>
  <w:num w:numId="35">
    <w:abstractNumId w:val="13"/>
  </w:num>
  <w:num w:numId="36">
    <w:abstractNumId w:val="36"/>
  </w:num>
  <w:num w:numId="37">
    <w:abstractNumId w:val="22"/>
  </w:num>
  <w:num w:numId="38">
    <w:abstractNumId w:val="32"/>
  </w:num>
  <w:num w:numId="39">
    <w:abstractNumId w:val="2"/>
  </w:num>
  <w:num w:numId="40">
    <w:abstractNumId w:val="28"/>
  </w:num>
  <w:num w:numId="41">
    <w:abstractNumId w:val="7"/>
  </w:num>
  <w:num w:numId="42">
    <w:abstractNumId w:val="18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A1"/>
    <w:rsid w:val="00001A4E"/>
    <w:rsid w:val="0000536E"/>
    <w:rsid w:val="00012941"/>
    <w:rsid w:val="00013914"/>
    <w:rsid w:val="000230ED"/>
    <w:rsid w:val="0002512B"/>
    <w:rsid w:val="00026660"/>
    <w:rsid w:val="00031A40"/>
    <w:rsid w:val="000332E3"/>
    <w:rsid w:val="000441C8"/>
    <w:rsid w:val="00062247"/>
    <w:rsid w:val="00067EB1"/>
    <w:rsid w:val="00074197"/>
    <w:rsid w:val="00080981"/>
    <w:rsid w:val="00080AFE"/>
    <w:rsid w:val="00092C72"/>
    <w:rsid w:val="000B470A"/>
    <w:rsid w:val="000C0C80"/>
    <w:rsid w:val="000D019D"/>
    <w:rsid w:val="000D31E7"/>
    <w:rsid w:val="000D4602"/>
    <w:rsid w:val="000D4D4A"/>
    <w:rsid w:val="000D727A"/>
    <w:rsid w:val="000F2F10"/>
    <w:rsid w:val="000F6EBD"/>
    <w:rsid w:val="00107714"/>
    <w:rsid w:val="001216E2"/>
    <w:rsid w:val="00132E60"/>
    <w:rsid w:val="001340FE"/>
    <w:rsid w:val="00137AC0"/>
    <w:rsid w:val="00141AA8"/>
    <w:rsid w:val="0015376E"/>
    <w:rsid w:val="0018012E"/>
    <w:rsid w:val="00182E64"/>
    <w:rsid w:val="00185D58"/>
    <w:rsid w:val="001909D0"/>
    <w:rsid w:val="00192858"/>
    <w:rsid w:val="001A1C38"/>
    <w:rsid w:val="001A4EC6"/>
    <w:rsid w:val="001B6923"/>
    <w:rsid w:val="001C04A1"/>
    <w:rsid w:val="001C0E4C"/>
    <w:rsid w:val="001E56B5"/>
    <w:rsid w:val="001E5C61"/>
    <w:rsid w:val="001E784F"/>
    <w:rsid w:val="001F12FB"/>
    <w:rsid w:val="001F4420"/>
    <w:rsid w:val="001F5784"/>
    <w:rsid w:val="00200B5B"/>
    <w:rsid w:val="0021301A"/>
    <w:rsid w:val="00213032"/>
    <w:rsid w:val="00235103"/>
    <w:rsid w:val="00241494"/>
    <w:rsid w:val="002461A2"/>
    <w:rsid w:val="00246FDE"/>
    <w:rsid w:val="00255F6A"/>
    <w:rsid w:val="00264E2A"/>
    <w:rsid w:val="00282E75"/>
    <w:rsid w:val="00283DD1"/>
    <w:rsid w:val="002922BB"/>
    <w:rsid w:val="00295511"/>
    <w:rsid w:val="002A3CA3"/>
    <w:rsid w:val="002A6E2F"/>
    <w:rsid w:val="002B2968"/>
    <w:rsid w:val="002D7097"/>
    <w:rsid w:val="002E3927"/>
    <w:rsid w:val="002E7E68"/>
    <w:rsid w:val="002F2238"/>
    <w:rsid w:val="0030038E"/>
    <w:rsid w:val="0030061C"/>
    <w:rsid w:val="003046E0"/>
    <w:rsid w:val="003075E2"/>
    <w:rsid w:val="00311BE3"/>
    <w:rsid w:val="00312577"/>
    <w:rsid w:val="00325F66"/>
    <w:rsid w:val="00334EFD"/>
    <w:rsid w:val="00343BCF"/>
    <w:rsid w:val="00344C18"/>
    <w:rsid w:val="00352622"/>
    <w:rsid w:val="00363CC6"/>
    <w:rsid w:val="00366AF6"/>
    <w:rsid w:val="0038115B"/>
    <w:rsid w:val="003812EC"/>
    <w:rsid w:val="003814F6"/>
    <w:rsid w:val="00391E2A"/>
    <w:rsid w:val="003A69BD"/>
    <w:rsid w:val="003C1D1C"/>
    <w:rsid w:val="003C2D8C"/>
    <w:rsid w:val="003D3385"/>
    <w:rsid w:val="003D6961"/>
    <w:rsid w:val="003E4546"/>
    <w:rsid w:val="003E68C9"/>
    <w:rsid w:val="003E7246"/>
    <w:rsid w:val="003F7C78"/>
    <w:rsid w:val="00401884"/>
    <w:rsid w:val="00402458"/>
    <w:rsid w:val="00414BDD"/>
    <w:rsid w:val="00427273"/>
    <w:rsid w:val="00433D80"/>
    <w:rsid w:val="00435772"/>
    <w:rsid w:val="00441447"/>
    <w:rsid w:val="0044259C"/>
    <w:rsid w:val="00442E79"/>
    <w:rsid w:val="004457AB"/>
    <w:rsid w:val="00456207"/>
    <w:rsid w:val="0046278E"/>
    <w:rsid w:val="00466977"/>
    <w:rsid w:val="004858B8"/>
    <w:rsid w:val="00486A2F"/>
    <w:rsid w:val="00486C74"/>
    <w:rsid w:val="004A3B29"/>
    <w:rsid w:val="004B4129"/>
    <w:rsid w:val="004B4E80"/>
    <w:rsid w:val="004B5596"/>
    <w:rsid w:val="004B7A97"/>
    <w:rsid w:val="004C1F2E"/>
    <w:rsid w:val="004D184C"/>
    <w:rsid w:val="004D35D2"/>
    <w:rsid w:val="004E2A28"/>
    <w:rsid w:val="004E64A2"/>
    <w:rsid w:val="004F1754"/>
    <w:rsid w:val="00507872"/>
    <w:rsid w:val="00520C9C"/>
    <w:rsid w:val="005252C0"/>
    <w:rsid w:val="00531FAB"/>
    <w:rsid w:val="00533129"/>
    <w:rsid w:val="00537E52"/>
    <w:rsid w:val="00542591"/>
    <w:rsid w:val="00546E10"/>
    <w:rsid w:val="0055006F"/>
    <w:rsid w:val="00556F12"/>
    <w:rsid w:val="00564747"/>
    <w:rsid w:val="00592C10"/>
    <w:rsid w:val="00597DD1"/>
    <w:rsid w:val="005A04AA"/>
    <w:rsid w:val="005A05BC"/>
    <w:rsid w:val="005A4FAB"/>
    <w:rsid w:val="005B77F9"/>
    <w:rsid w:val="005C27FA"/>
    <w:rsid w:val="005C7963"/>
    <w:rsid w:val="005D0E25"/>
    <w:rsid w:val="005E185A"/>
    <w:rsid w:val="005E2F06"/>
    <w:rsid w:val="005E3853"/>
    <w:rsid w:val="005F6482"/>
    <w:rsid w:val="006013AB"/>
    <w:rsid w:val="0061266F"/>
    <w:rsid w:val="00627BC1"/>
    <w:rsid w:val="00630490"/>
    <w:rsid w:val="006310C0"/>
    <w:rsid w:val="006351C4"/>
    <w:rsid w:val="006373F9"/>
    <w:rsid w:val="00652DB3"/>
    <w:rsid w:val="00666F86"/>
    <w:rsid w:val="0067207B"/>
    <w:rsid w:val="00676257"/>
    <w:rsid w:val="00676F7C"/>
    <w:rsid w:val="006B27EF"/>
    <w:rsid w:val="006B74EF"/>
    <w:rsid w:val="006B7AA1"/>
    <w:rsid w:val="006B7F88"/>
    <w:rsid w:val="006C08A7"/>
    <w:rsid w:val="006C1304"/>
    <w:rsid w:val="006C6CD1"/>
    <w:rsid w:val="006D054D"/>
    <w:rsid w:val="006D3797"/>
    <w:rsid w:val="006E0F65"/>
    <w:rsid w:val="006E13BF"/>
    <w:rsid w:val="006E47C2"/>
    <w:rsid w:val="006E67BD"/>
    <w:rsid w:val="006F5291"/>
    <w:rsid w:val="00710415"/>
    <w:rsid w:val="007115CB"/>
    <w:rsid w:val="00725EFF"/>
    <w:rsid w:val="00726012"/>
    <w:rsid w:val="00733BC1"/>
    <w:rsid w:val="00734881"/>
    <w:rsid w:val="0073708F"/>
    <w:rsid w:val="0075291F"/>
    <w:rsid w:val="007613ED"/>
    <w:rsid w:val="00764BAD"/>
    <w:rsid w:val="00767385"/>
    <w:rsid w:val="007744BE"/>
    <w:rsid w:val="0077538D"/>
    <w:rsid w:val="00793AB9"/>
    <w:rsid w:val="00795D43"/>
    <w:rsid w:val="007A307A"/>
    <w:rsid w:val="007A5101"/>
    <w:rsid w:val="007A69FB"/>
    <w:rsid w:val="007B11EE"/>
    <w:rsid w:val="007B534A"/>
    <w:rsid w:val="007B7F47"/>
    <w:rsid w:val="007C59B1"/>
    <w:rsid w:val="007D1403"/>
    <w:rsid w:val="007D230D"/>
    <w:rsid w:val="007D32E8"/>
    <w:rsid w:val="007F18CC"/>
    <w:rsid w:val="00801FE3"/>
    <w:rsid w:val="00803405"/>
    <w:rsid w:val="0080555E"/>
    <w:rsid w:val="0080701A"/>
    <w:rsid w:val="00823C77"/>
    <w:rsid w:val="0083106C"/>
    <w:rsid w:val="008348A9"/>
    <w:rsid w:val="00835789"/>
    <w:rsid w:val="008362E4"/>
    <w:rsid w:val="00847AD5"/>
    <w:rsid w:val="008559C3"/>
    <w:rsid w:val="00856F0E"/>
    <w:rsid w:val="00871DAB"/>
    <w:rsid w:val="008875DF"/>
    <w:rsid w:val="008935A6"/>
    <w:rsid w:val="00896594"/>
    <w:rsid w:val="00896C83"/>
    <w:rsid w:val="00897FA1"/>
    <w:rsid w:val="008A068B"/>
    <w:rsid w:val="008A21EF"/>
    <w:rsid w:val="008A6F05"/>
    <w:rsid w:val="008B18B9"/>
    <w:rsid w:val="008B7EB9"/>
    <w:rsid w:val="008D01E2"/>
    <w:rsid w:val="008D2EB8"/>
    <w:rsid w:val="008D497A"/>
    <w:rsid w:val="008E6C7F"/>
    <w:rsid w:val="008F050C"/>
    <w:rsid w:val="00905B70"/>
    <w:rsid w:val="00906B17"/>
    <w:rsid w:val="00910871"/>
    <w:rsid w:val="009200DF"/>
    <w:rsid w:val="0092522B"/>
    <w:rsid w:val="0094070E"/>
    <w:rsid w:val="00943DB8"/>
    <w:rsid w:val="0094453E"/>
    <w:rsid w:val="00950452"/>
    <w:rsid w:val="00960AD8"/>
    <w:rsid w:val="00965B04"/>
    <w:rsid w:val="0096602F"/>
    <w:rsid w:val="00967293"/>
    <w:rsid w:val="009758E9"/>
    <w:rsid w:val="00986B17"/>
    <w:rsid w:val="00986D63"/>
    <w:rsid w:val="009973F2"/>
    <w:rsid w:val="009A4400"/>
    <w:rsid w:val="009B0786"/>
    <w:rsid w:val="009D5DEA"/>
    <w:rsid w:val="009E0E53"/>
    <w:rsid w:val="009F09E6"/>
    <w:rsid w:val="009F5CA1"/>
    <w:rsid w:val="00A05FE9"/>
    <w:rsid w:val="00A07184"/>
    <w:rsid w:val="00A12BE4"/>
    <w:rsid w:val="00A1615A"/>
    <w:rsid w:val="00A65B44"/>
    <w:rsid w:val="00A66EC3"/>
    <w:rsid w:val="00A76367"/>
    <w:rsid w:val="00A91812"/>
    <w:rsid w:val="00A962C4"/>
    <w:rsid w:val="00AA323B"/>
    <w:rsid w:val="00AB7B88"/>
    <w:rsid w:val="00AC2482"/>
    <w:rsid w:val="00AE2FAF"/>
    <w:rsid w:val="00AF4179"/>
    <w:rsid w:val="00B01ACD"/>
    <w:rsid w:val="00B07A4B"/>
    <w:rsid w:val="00B15E36"/>
    <w:rsid w:val="00B21CD1"/>
    <w:rsid w:val="00B22378"/>
    <w:rsid w:val="00B264BC"/>
    <w:rsid w:val="00B41C7F"/>
    <w:rsid w:val="00B43BC5"/>
    <w:rsid w:val="00B5036E"/>
    <w:rsid w:val="00B510C2"/>
    <w:rsid w:val="00B54481"/>
    <w:rsid w:val="00B572CB"/>
    <w:rsid w:val="00B60992"/>
    <w:rsid w:val="00B6528E"/>
    <w:rsid w:val="00B66393"/>
    <w:rsid w:val="00B80964"/>
    <w:rsid w:val="00B84861"/>
    <w:rsid w:val="00B85811"/>
    <w:rsid w:val="00B94907"/>
    <w:rsid w:val="00BA21E9"/>
    <w:rsid w:val="00BA617C"/>
    <w:rsid w:val="00BB11DD"/>
    <w:rsid w:val="00BB2721"/>
    <w:rsid w:val="00BB2CAA"/>
    <w:rsid w:val="00BB33E7"/>
    <w:rsid w:val="00BB4FC1"/>
    <w:rsid w:val="00BB6BA5"/>
    <w:rsid w:val="00BC57B8"/>
    <w:rsid w:val="00BE747D"/>
    <w:rsid w:val="00C16E5A"/>
    <w:rsid w:val="00C25311"/>
    <w:rsid w:val="00C30136"/>
    <w:rsid w:val="00C30D39"/>
    <w:rsid w:val="00C43A40"/>
    <w:rsid w:val="00C5089E"/>
    <w:rsid w:val="00C509EC"/>
    <w:rsid w:val="00C5306D"/>
    <w:rsid w:val="00C61B2D"/>
    <w:rsid w:val="00C7013B"/>
    <w:rsid w:val="00C72C9C"/>
    <w:rsid w:val="00C84D03"/>
    <w:rsid w:val="00C85285"/>
    <w:rsid w:val="00C86304"/>
    <w:rsid w:val="00C86ABB"/>
    <w:rsid w:val="00C95F69"/>
    <w:rsid w:val="00C9760F"/>
    <w:rsid w:val="00C97852"/>
    <w:rsid w:val="00CB0C7B"/>
    <w:rsid w:val="00CB3968"/>
    <w:rsid w:val="00CB62CC"/>
    <w:rsid w:val="00CB6A3D"/>
    <w:rsid w:val="00CC790D"/>
    <w:rsid w:val="00CD049A"/>
    <w:rsid w:val="00CD2440"/>
    <w:rsid w:val="00CD28B1"/>
    <w:rsid w:val="00CD41DC"/>
    <w:rsid w:val="00CD4803"/>
    <w:rsid w:val="00CE179C"/>
    <w:rsid w:val="00CE5149"/>
    <w:rsid w:val="00CE5E10"/>
    <w:rsid w:val="00CF00B7"/>
    <w:rsid w:val="00CF2856"/>
    <w:rsid w:val="00CF2EAB"/>
    <w:rsid w:val="00D11179"/>
    <w:rsid w:val="00D15765"/>
    <w:rsid w:val="00D24900"/>
    <w:rsid w:val="00D31762"/>
    <w:rsid w:val="00D33CD8"/>
    <w:rsid w:val="00D438B5"/>
    <w:rsid w:val="00D47943"/>
    <w:rsid w:val="00D50022"/>
    <w:rsid w:val="00D5056B"/>
    <w:rsid w:val="00D7117F"/>
    <w:rsid w:val="00D76075"/>
    <w:rsid w:val="00D94FFC"/>
    <w:rsid w:val="00DB6F86"/>
    <w:rsid w:val="00DC0556"/>
    <w:rsid w:val="00DC3DD5"/>
    <w:rsid w:val="00DC467D"/>
    <w:rsid w:val="00DD032D"/>
    <w:rsid w:val="00DD43E5"/>
    <w:rsid w:val="00DE0A77"/>
    <w:rsid w:val="00E0642B"/>
    <w:rsid w:val="00E07AD2"/>
    <w:rsid w:val="00E07E51"/>
    <w:rsid w:val="00E31E1A"/>
    <w:rsid w:val="00E3233E"/>
    <w:rsid w:val="00E43B3B"/>
    <w:rsid w:val="00E5305D"/>
    <w:rsid w:val="00E677D1"/>
    <w:rsid w:val="00E67A64"/>
    <w:rsid w:val="00E76773"/>
    <w:rsid w:val="00E81581"/>
    <w:rsid w:val="00E90521"/>
    <w:rsid w:val="00EA156E"/>
    <w:rsid w:val="00EA2CE2"/>
    <w:rsid w:val="00EB3008"/>
    <w:rsid w:val="00EB58A7"/>
    <w:rsid w:val="00EC30C1"/>
    <w:rsid w:val="00ED5C8D"/>
    <w:rsid w:val="00EE0D39"/>
    <w:rsid w:val="00EF238F"/>
    <w:rsid w:val="00EF3DF7"/>
    <w:rsid w:val="00EF47D3"/>
    <w:rsid w:val="00F0147C"/>
    <w:rsid w:val="00F1005E"/>
    <w:rsid w:val="00F21FE7"/>
    <w:rsid w:val="00F27F0B"/>
    <w:rsid w:val="00F33B20"/>
    <w:rsid w:val="00F341B4"/>
    <w:rsid w:val="00F341BF"/>
    <w:rsid w:val="00F35D58"/>
    <w:rsid w:val="00F45EE2"/>
    <w:rsid w:val="00F46A93"/>
    <w:rsid w:val="00F47B86"/>
    <w:rsid w:val="00F543BF"/>
    <w:rsid w:val="00F577F2"/>
    <w:rsid w:val="00F71A55"/>
    <w:rsid w:val="00F844FD"/>
    <w:rsid w:val="00F91958"/>
    <w:rsid w:val="00F9215D"/>
    <w:rsid w:val="00F96EDD"/>
    <w:rsid w:val="00FA21A7"/>
    <w:rsid w:val="00FF28B5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D309"/>
  <w15:docId w15:val="{0B71A070-F4CD-42AE-9815-11EC978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4A1"/>
    <w:pPr>
      <w:spacing w:after="120" w:line="240" w:lineRule="auto"/>
      <w:jc w:val="both"/>
    </w:pPr>
    <w:rPr>
      <w:rFonts w:ascii="EYInterstate Light" w:eastAsia="Calibri" w:hAnsi="EYInterstate Light" w:cs="Times New Roman"/>
      <w:color w:val="000000" w:themeColor="text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5CB"/>
    <w:pPr>
      <w:keepNext/>
      <w:spacing w:after="240"/>
      <w:ind w:left="360" w:hanging="360"/>
      <w:outlineLvl w:val="0"/>
    </w:pPr>
    <w:rPr>
      <w:rFonts w:ascii="Arial" w:hAnsi="Arial" w:cs="Arial"/>
      <w:b/>
      <w:bCs/>
      <w:color w:val="44546A" w:themeColor="text2"/>
      <w:sz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1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6C83"/>
    <w:pPr>
      <w:numPr>
        <w:ilvl w:val="6"/>
        <w:numId w:val="8"/>
      </w:numPr>
      <w:spacing w:before="240" w:after="60" w:line="360" w:lineRule="auto"/>
      <w:outlineLvl w:val="6"/>
    </w:pPr>
    <w:rPr>
      <w:rFonts w:ascii="Arial" w:eastAsia="Times New Roman" w:hAnsi="Arial"/>
      <w:color w:val="auto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6C83"/>
    <w:pPr>
      <w:numPr>
        <w:ilvl w:val="7"/>
        <w:numId w:val="8"/>
      </w:numPr>
      <w:spacing w:before="240" w:after="60" w:line="360" w:lineRule="auto"/>
      <w:outlineLvl w:val="7"/>
    </w:pPr>
    <w:rPr>
      <w:rFonts w:ascii="Arial" w:eastAsia="Times New Roman" w:hAnsi="Arial"/>
      <w:i/>
      <w:iCs/>
      <w:color w:val="auto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6C83"/>
    <w:pPr>
      <w:numPr>
        <w:ilvl w:val="8"/>
        <w:numId w:val="8"/>
      </w:numPr>
      <w:spacing w:before="240" w:after="60" w:line="360" w:lineRule="auto"/>
      <w:outlineLvl w:val="8"/>
    </w:pPr>
    <w:rPr>
      <w:rFonts w:ascii="Arial" w:eastAsia="Times New Roman" w:hAnsi="Arial" w:cs="Arial"/>
      <w:color w:val="auto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1C04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04A1"/>
  </w:style>
  <w:style w:type="character" w:customStyle="1" w:styleId="TekstpodstawowyZnak">
    <w:name w:val="Tekst podstawowy Znak"/>
    <w:basedOn w:val="Domylnaczcionkaakapitu"/>
    <w:link w:val="Tekstpodstawowy"/>
    <w:rsid w:val="001C04A1"/>
    <w:rPr>
      <w:rFonts w:ascii="EYInterstate Light" w:eastAsia="Calibri" w:hAnsi="EYInterstate Light" w:cs="Times New Roman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1C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ny"/>
    <w:uiPriority w:val="99"/>
    <w:rsid w:val="001C04A1"/>
    <w:pPr>
      <w:spacing w:before="120" w:after="0"/>
      <w:ind w:left="720"/>
      <w:jc w:val="left"/>
    </w:pPr>
    <w:rPr>
      <w:rFonts w:ascii="Arial" w:eastAsia="Times New Roman" w:hAnsi="Arial" w:cs="Arial"/>
      <w:color w:val="auto"/>
      <w:szCs w:val="22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1C04A1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color w:val="auto"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rsid w:val="001C04A1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C04A1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04A1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Theme="minorHAnsi" w:eastAsiaTheme="minorHAnsi" w:hAnsiTheme="minorHAnsi" w:cstheme="minorBidi"/>
      <w:color w:val="auto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331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3129"/>
    <w:rPr>
      <w:rFonts w:ascii="EYInterstate Light" w:eastAsia="Calibri" w:hAnsi="EYInterstate Light" w:cs="Times New Roman"/>
      <w:color w:val="000000" w:themeColor="text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31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3129"/>
    <w:rPr>
      <w:rFonts w:ascii="EYInterstate Light" w:eastAsia="Calibri" w:hAnsi="EYInterstate Light" w:cs="Times New Roman"/>
      <w:color w:val="000000" w:themeColor="text1"/>
      <w:szCs w:val="24"/>
    </w:rPr>
  </w:style>
  <w:style w:type="character" w:customStyle="1" w:styleId="Teksttreci2Pogrubienie">
    <w:name w:val="Tekst treści (2) + Pogrubienie"/>
    <w:basedOn w:val="Teksttreci2"/>
    <w:rsid w:val="00775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52DB3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Przypis,Fußnote,Pl,przypisB"/>
    <w:basedOn w:val="Normalny"/>
    <w:link w:val="TekstprzypisudolnegoZnak"/>
    <w:uiPriority w:val="99"/>
    <w:qFormat/>
    <w:rsid w:val="00FA21A7"/>
    <w:pPr>
      <w:spacing w:after="0"/>
      <w:jc w:val="left"/>
    </w:pPr>
    <w:rPr>
      <w:rFonts w:ascii="Arial" w:eastAsia="Times New Roman" w:hAnsi="Arial"/>
      <w:color w:val="auto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,Przypis Znak,Pl Znak"/>
    <w:basedOn w:val="Domylnaczcionkaakapitu"/>
    <w:link w:val="Tekstprzypisudolnego"/>
    <w:uiPriority w:val="99"/>
    <w:qFormat/>
    <w:rsid w:val="00FA21A7"/>
    <w:rPr>
      <w:rFonts w:ascii="Arial" w:eastAsia="Times New Roman" w:hAnsi="Arial" w:cs="Times New Roman"/>
      <w:sz w:val="18"/>
      <w:szCs w:val="20"/>
    </w:rPr>
  </w:style>
  <w:style w:type="character" w:styleId="Odwoanieprzypisudolnego">
    <w:name w:val="footnote reference"/>
    <w:aliases w:val=" Znak,Odwołanie przypisu,Znak,Footnote Reference Number,Footnote symbol,Footnote reference number,Times 10 Point,Exposant 3 Point,Ref,de nota al pie,note TESI,SUPERS,EN Footnote text,EN Footnote Reference,Voetnootverwijzing,fr"/>
    <w:basedOn w:val="Domylnaczcionkaakapitu"/>
    <w:uiPriority w:val="99"/>
    <w:unhideWhenUsed/>
    <w:qFormat/>
    <w:rsid w:val="00FA21A7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9"/>
    <w:rsid w:val="00896C83"/>
    <w:rPr>
      <w:rFonts w:ascii="Arial" w:eastAsia="Times New Roman" w:hAnsi="Arial" w:cs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896C83"/>
    <w:rPr>
      <w:rFonts w:ascii="Arial" w:eastAsia="Times New Roman" w:hAnsi="Arial" w:cs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896C83"/>
    <w:rPr>
      <w:rFonts w:ascii="Arial" w:eastAsia="Times New Roman" w:hAnsi="Arial" w:cs="Arial"/>
      <w:lang w:eastAsia="ar-SA"/>
    </w:rPr>
  </w:style>
  <w:style w:type="paragraph" w:customStyle="1" w:styleId="text1">
    <w:name w:val="text 1"/>
    <w:basedOn w:val="Normalny"/>
    <w:uiPriority w:val="99"/>
    <w:rsid w:val="00896C83"/>
    <w:pPr>
      <w:spacing w:before="120" w:line="360" w:lineRule="auto"/>
      <w:ind w:left="425"/>
    </w:pPr>
    <w:rPr>
      <w:rFonts w:ascii="Arial" w:eastAsia="Times New Roman" w:hAnsi="Arial"/>
      <w:color w:val="auto"/>
      <w:szCs w:val="20"/>
      <w:lang w:eastAsia="ar-SA"/>
    </w:rPr>
  </w:style>
  <w:style w:type="paragraph" w:customStyle="1" w:styleId="DZPNaglowek1">
    <w:name w:val="DZPNaglowek 1"/>
    <w:basedOn w:val="Normalny"/>
    <w:next w:val="text1"/>
    <w:autoRedefine/>
    <w:uiPriority w:val="99"/>
    <w:rsid w:val="00896C83"/>
    <w:pPr>
      <w:keepNext/>
      <w:keepLines/>
      <w:widowControl w:val="0"/>
      <w:numPr>
        <w:numId w:val="8"/>
      </w:numPr>
      <w:suppressAutoHyphens/>
      <w:autoSpaceDE w:val="0"/>
      <w:autoSpaceDN w:val="0"/>
      <w:adjustRightInd w:val="0"/>
      <w:spacing w:before="120" w:line="288" w:lineRule="auto"/>
      <w:outlineLvl w:val="0"/>
    </w:pPr>
    <w:rPr>
      <w:rFonts w:ascii="Arial" w:eastAsia="Times New Roman" w:hAnsi="Arial" w:cs="Arial"/>
      <w:b/>
      <w:bCs/>
      <w:caps/>
      <w:color w:val="auto"/>
      <w:kern w:val="28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D2EB8"/>
    <w:rPr>
      <w:color w:val="808080"/>
    </w:rPr>
  </w:style>
  <w:style w:type="paragraph" w:styleId="Legenda">
    <w:name w:val="caption"/>
    <w:basedOn w:val="Normalny"/>
    <w:next w:val="Tekstpodstawowy"/>
    <w:qFormat/>
    <w:rsid w:val="009973F2"/>
    <w:pPr>
      <w:spacing w:after="0"/>
      <w:jc w:val="left"/>
    </w:pPr>
    <w:rPr>
      <w:rFonts w:ascii="Arial" w:eastAsia="Times New Roman" w:hAnsi="Arial"/>
      <w:bCs/>
      <w:i/>
      <w:color w:val="auto"/>
      <w:sz w:val="14"/>
      <w:szCs w:val="20"/>
    </w:rPr>
  </w:style>
  <w:style w:type="paragraph" w:styleId="NormalnyWeb">
    <w:name w:val="Normal (Web)"/>
    <w:basedOn w:val="Normalny"/>
    <w:uiPriority w:val="99"/>
    <w:semiHidden/>
    <w:unhideWhenUsed/>
    <w:rsid w:val="00BB2721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A93"/>
    <w:rPr>
      <w:rFonts w:ascii="Segoe UI" w:eastAsia="Calibri" w:hAnsi="Segoe UI" w:cs="Segoe UI"/>
      <w:color w:val="000000" w:themeColor="text1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rsid w:val="007115CB"/>
    <w:pPr>
      <w:shd w:val="clear" w:color="auto" w:fill="FFFFFF" w:themeFill="background1"/>
      <w:tabs>
        <w:tab w:val="left" w:pos="426"/>
        <w:tab w:val="right" w:leader="dot" w:pos="9214"/>
      </w:tabs>
      <w:spacing w:before="120"/>
      <w:ind w:left="426" w:hanging="426"/>
    </w:pPr>
    <w:rPr>
      <w:rFonts w:ascii="Arial" w:hAnsi="Arial"/>
      <w:b/>
      <w:noProof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11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7115CB"/>
    <w:rPr>
      <w:rFonts w:ascii="Arial" w:eastAsia="Calibri" w:hAnsi="Arial" w:cs="Arial"/>
      <w:b/>
      <w:bCs/>
      <w:color w:val="44546A" w:themeColor="text2"/>
      <w:sz w:val="32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5C7963"/>
    <w:rPr>
      <w:rFonts w:ascii="EYInterstate Light" w:eastAsia="Calibri" w:hAnsi="EYInterstate Light" w:cs="Times New Roman"/>
      <w:color w:val="000000" w:themeColor="text1"/>
      <w:szCs w:val="24"/>
    </w:rPr>
  </w:style>
  <w:style w:type="character" w:styleId="Pogrubienie">
    <w:name w:val="Strong"/>
    <w:basedOn w:val="Domylnaczcionkaakapitu"/>
    <w:uiPriority w:val="22"/>
    <w:qFormat/>
    <w:rsid w:val="00EA2CE2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4EFD"/>
    <w:pPr>
      <w:keepLines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43BCF"/>
    <w:pPr>
      <w:tabs>
        <w:tab w:val="left" w:pos="0"/>
        <w:tab w:val="left" w:pos="880"/>
        <w:tab w:val="right" w:leader="dot" w:pos="9060"/>
      </w:tabs>
      <w:spacing w:after="100"/>
      <w:ind w:left="220" w:hanging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43BCF"/>
    <w:pPr>
      <w:spacing w:after="100" w:line="259" w:lineRule="auto"/>
      <w:ind w:left="440"/>
      <w:jc w:val="left"/>
    </w:pPr>
    <w:rPr>
      <w:rFonts w:asciiTheme="minorHAnsi" w:eastAsiaTheme="minorEastAsia" w:hAnsiTheme="minorHAnsi"/>
      <w:color w:val="auto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06F"/>
    <w:rPr>
      <w:rFonts w:ascii="EYInterstate Light" w:eastAsia="Calibri" w:hAnsi="EYInterstate Light" w:cs="Times New Roman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0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06F"/>
    <w:rPr>
      <w:rFonts w:ascii="EYInterstate Light" w:eastAsia="Calibri" w:hAnsi="EYInterstate Light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91E3-842D-4919-BAA1-ADF7C2A0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Miszczyk Marian</dc:creator>
  <cp:lastModifiedBy>Ołdakowski Robert</cp:lastModifiedBy>
  <cp:revision>4</cp:revision>
  <cp:lastPrinted>2019-02-21T08:57:00Z</cp:lastPrinted>
  <dcterms:created xsi:type="dcterms:W3CDTF">2019-06-13T06:09:00Z</dcterms:created>
  <dcterms:modified xsi:type="dcterms:W3CDTF">2019-10-24T14:05:00Z</dcterms:modified>
</cp:coreProperties>
</file>