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:rsidR="00C60C84" w:rsidRPr="00F32768" w:rsidRDefault="00C60C8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C60C84" w:rsidRPr="00F32768" w:rsidRDefault="00C60C8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8A332F" w:rsidRPr="00F32768" w:rsidRDefault="0094622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32768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F32768" w:rsidRDefault="00920E6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25A39">
        <w:rPr>
          <w:rFonts w:ascii="Arial" w:hAnsi="Arial" w:cs="Arial"/>
          <w:b/>
          <w:color w:val="auto"/>
          <w:sz w:val="24"/>
          <w:szCs w:val="24"/>
        </w:rPr>
        <w:t>I</w:t>
      </w:r>
      <w:r w:rsidR="00A66925">
        <w:rPr>
          <w:rFonts w:ascii="Arial" w:hAnsi="Arial" w:cs="Arial"/>
          <w:b/>
          <w:color w:val="auto"/>
          <w:sz w:val="24"/>
          <w:szCs w:val="24"/>
        </w:rPr>
        <w:t xml:space="preserve"> kwartał 2020 </w:t>
      </w:r>
      <w:r w:rsidR="008C6721" w:rsidRPr="00F32768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F32768" w:rsidRDefault="003C7325" w:rsidP="003642B8">
      <w:pPr>
        <w:spacing w:after="360"/>
        <w:jc w:val="center"/>
        <w:rPr>
          <w:rFonts w:ascii="Arial" w:hAnsi="Arial" w:cs="Arial"/>
        </w:rPr>
      </w:pPr>
      <w:r w:rsidRPr="00F32768">
        <w:rPr>
          <w:rFonts w:ascii="Arial" w:hAnsi="Arial" w:cs="Arial"/>
        </w:rPr>
        <w:t xml:space="preserve">(dane należy wskazać w </w:t>
      </w:r>
      <w:r w:rsidR="00304D04" w:rsidRPr="00F32768">
        <w:rPr>
          <w:rFonts w:ascii="Arial" w:hAnsi="Arial" w:cs="Arial"/>
        </w:rPr>
        <w:t xml:space="preserve">zakresie </w:t>
      </w:r>
      <w:r w:rsidR="00F2008A" w:rsidRPr="00F32768">
        <w:rPr>
          <w:rFonts w:ascii="Arial" w:hAnsi="Arial" w:cs="Arial"/>
        </w:rPr>
        <w:t xml:space="preserve">odnoszącym się do </w:t>
      </w:r>
      <w:r w:rsidR="00304D04" w:rsidRPr="00F32768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3276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i/>
                <w:sz w:val="18"/>
                <w:szCs w:val="18"/>
              </w:rPr>
              <w:t>Portal Bezpieczeństwa i Obronności Akademii Sztuki Wojennej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32768" w:rsidRDefault="009F7E62" w:rsidP="006822BC">
            <w:pPr>
              <w:spacing w:line="276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Minister Obrony Narodowej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Akademia Sztuki Wojennej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Oś priorytetowa: II E-administracja i otwarty rząd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Poddziałanie: 2.3.1 Cyfrowe udostępnienie informacji sektora publicznego ze</w:t>
            </w:r>
            <w:r w:rsidR="00B12566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źródeł administracyjnych i zasobów nauki</w:t>
            </w:r>
          </w:p>
          <w:p w:rsidR="004C2CA9" w:rsidRPr="00F32768" w:rsidRDefault="004C2CA9" w:rsidP="00E232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Projekt realizowany z Europejskiego Funduszu Rozwoju Regionalnego i budżetu państwa - </w:t>
            </w:r>
            <w:r w:rsidR="00B12566" w:rsidRPr="00F32768">
              <w:rPr>
                <w:rFonts w:ascii="Arial" w:hAnsi="Arial" w:cs="Arial"/>
                <w:sz w:val="18"/>
                <w:szCs w:val="18"/>
              </w:rPr>
              <w:t>część 38. szkolnictwo wyższe (od 01.2019 pozycja 28 szkolnictwo wyższe i nauka)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F3276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F327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2BA3" w:rsidRPr="00F32768" w:rsidRDefault="00F27CAF" w:rsidP="00F27CA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11 956 504,00 PLN</w:t>
            </w:r>
          </w:p>
        </w:tc>
      </w:tr>
      <w:tr w:rsidR="00C60C84" w:rsidRPr="00F32768" w:rsidTr="00C60C84">
        <w:trPr>
          <w:trHeight w:val="39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60C84" w:rsidRPr="00F32768" w:rsidRDefault="00C60C8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C84" w:rsidRPr="00F32768" w:rsidRDefault="00F27CAF" w:rsidP="00F27CA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11 859 544,00 PLN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F3276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F3276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F3276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32768" w:rsidRDefault="004D2B86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 rozpoczęcia real</w:t>
            </w:r>
            <w:r w:rsidR="00C86AAC">
              <w:rPr>
                <w:rFonts w:ascii="Arial" w:hAnsi="Arial" w:cs="Arial"/>
                <w:sz w:val="18"/>
                <w:szCs w:val="18"/>
              </w:rPr>
              <w:t>izacji projektu: 09</w:t>
            </w:r>
            <w:r w:rsidR="00402BA3" w:rsidRPr="00F32768">
              <w:rPr>
                <w:rFonts w:ascii="Arial" w:hAnsi="Arial" w:cs="Arial"/>
                <w:sz w:val="18"/>
                <w:szCs w:val="18"/>
              </w:rPr>
              <w:t>.01.2017 r.</w:t>
            </w:r>
          </w:p>
          <w:p w:rsidR="00CA516B" w:rsidRPr="00F32768" w:rsidRDefault="004D2B86" w:rsidP="00402BA3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F3276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02BA3" w:rsidRPr="00F32768">
              <w:rPr>
                <w:rFonts w:ascii="Arial" w:hAnsi="Arial" w:cs="Arial"/>
                <w:sz w:val="18"/>
                <w:szCs w:val="18"/>
              </w:rPr>
              <w:t>08.01.2020 r.</w:t>
            </w:r>
          </w:p>
        </w:tc>
      </w:tr>
    </w:tbl>
    <w:p w:rsidR="00CA516B" w:rsidRPr="00F3276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3276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4C1D48" w:rsidRPr="00F32768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F32768">
        <w:rPr>
          <w:rFonts w:ascii="Arial" w:hAnsi="Arial" w:cs="Arial"/>
          <w:color w:val="auto"/>
        </w:rPr>
        <w:tab/>
      </w:r>
      <w:r w:rsidR="00402BA3" w:rsidRPr="00F32768">
        <w:rPr>
          <w:rFonts w:ascii="Arial" w:hAnsi="Arial" w:cs="Arial"/>
          <w:color w:val="auto"/>
          <w:sz w:val="18"/>
          <w:szCs w:val="18"/>
        </w:rPr>
        <w:t>Nie dotyczy</w:t>
      </w:r>
    </w:p>
    <w:p w:rsidR="003C7325" w:rsidRPr="00F3276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Postęp</w:t>
      </w:r>
      <w:r w:rsidR="00C0026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3276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F32768" w:rsidTr="00297DC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7DC3" w:rsidRPr="00F32768" w:rsidTr="00297DC3">
        <w:tc>
          <w:tcPr>
            <w:tcW w:w="2972" w:type="dxa"/>
            <w:hideMark/>
          </w:tcPr>
          <w:p w:rsidR="00297DC3" w:rsidRPr="00F82E2A" w:rsidRDefault="00A66925" w:rsidP="00D7084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297DC3" w:rsidRPr="000D785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F27CAF" w:rsidRPr="00F82E2A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A8168A">
              <w:rPr>
                <w:rFonts w:ascii="Arial" w:hAnsi="Arial" w:cs="Arial"/>
                <w:sz w:val="18"/>
                <w:szCs w:val="20"/>
              </w:rPr>
              <w:t>83</w:t>
            </w:r>
            <w:r w:rsidR="00AD5285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27CAF" w:rsidRPr="00F82E2A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="0035573B" w:rsidRPr="00F82E2A">
              <w:rPr>
                <w:rFonts w:ascii="Arial" w:hAnsi="Arial" w:cs="Arial"/>
                <w:sz w:val="18"/>
                <w:szCs w:val="20"/>
              </w:rPr>
              <w:t>67</w:t>
            </w:r>
            <w:r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9F7E62" w:rsidRPr="00F82E2A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>3</w:t>
            </w:r>
            <w:r w:rsidR="007A7536" w:rsidRPr="00F82E2A">
              <w:rPr>
                <w:rFonts w:ascii="Arial" w:hAnsi="Arial" w:cs="Arial"/>
                <w:sz w:val="18"/>
                <w:szCs w:val="20"/>
              </w:rPr>
              <w:t>:</w:t>
            </w:r>
            <w:r w:rsidR="00A8168A">
              <w:rPr>
                <w:rFonts w:ascii="Arial" w:hAnsi="Arial" w:cs="Arial"/>
                <w:sz w:val="18"/>
                <w:szCs w:val="20"/>
              </w:rPr>
              <w:t xml:space="preserve"> 84</w:t>
            </w:r>
            <w:r w:rsidR="007A7536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297DC3" w:rsidRPr="00F82E2A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>8</w:t>
            </w:r>
            <w:r w:rsidR="00F43318">
              <w:rPr>
                <w:rFonts w:ascii="Arial" w:hAnsi="Arial" w:cs="Arial"/>
                <w:sz w:val="18"/>
                <w:szCs w:val="20"/>
              </w:rPr>
              <w:t>3</w:t>
            </w:r>
            <w:r w:rsidR="00F765D0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297DC3" w:rsidRPr="00F82E2A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297DC3" w:rsidRPr="00F82E2A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87572" w:rsidRPr="00F32768" w:rsidRDefault="00187572" w:rsidP="00187572"/>
    <w:p w:rsidR="00E42938" w:rsidRPr="00F3276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Pr="00F32768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20"/>
        <w:gridCol w:w="1990"/>
        <w:gridCol w:w="1279"/>
        <w:gridCol w:w="1752"/>
        <w:gridCol w:w="2598"/>
      </w:tblGrid>
      <w:tr w:rsidR="00ED66EC" w:rsidRPr="00F32768" w:rsidTr="003E08E0">
        <w:trPr>
          <w:tblHeader/>
        </w:trPr>
        <w:tc>
          <w:tcPr>
            <w:tcW w:w="2020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F3276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279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752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2598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D66EC" w:rsidRPr="00F32768" w:rsidTr="003E08E0">
        <w:trPr>
          <w:trHeight w:val="300"/>
        </w:trPr>
        <w:tc>
          <w:tcPr>
            <w:tcW w:w="202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</w:t>
            </w:r>
          </w:p>
        </w:tc>
        <w:tc>
          <w:tcPr>
            <w:tcW w:w="1990" w:type="dxa"/>
            <w:hideMark/>
          </w:tcPr>
          <w:p w:rsidR="00ED66EC" w:rsidRPr="00F32768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52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zestawu do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digitalizacji</w:t>
            </w:r>
          </w:p>
        </w:tc>
        <w:tc>
          <w:tcPr>
            <w:tcW w:w="199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prac etapu uruchomienia pracowni digitalizacyjnej</w:t>
            </w:r>
          </w:p>
        </w:tc>
        <w:tc>
          <w:tcPr>
            <w:tcW w:w="199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</w:t>
            </w:r>
          </w:p>
        </w:tc>
        <w:tc>
          <w:tcPr>
            <w:tcW w:w="1990" w:type="dxa"/>
            <w:hideMark/>
          </w:tcPr>
          <w:p w:rsidR="00ED66EC" w:rsidRPr="00F32768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:rsidR="00ED66EC" w:rsidRPr="00F32768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ED66EC" w:rsidRPr="00F32768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3706A8" w:rsidRPr="00F32768" w:rsidRDefault="003706A8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06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11.2019</w:t>
            </w:r>
          </w:p>
        </w:tc>
        <w:tc>
          <w:tcPr>
            <w:tcW w:w="2598" w:type="dxa"/>
            <w:hideMark/>
          </w:tcPr>
          <w:p w:rsidR="00ED66EC" w:rsidRPr="00F32768" w:rsidRDefault="00C25A3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28490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Podpisanie umowy z wykonawcą usługi wsparcia technicznego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F32768" w:rsidRDefault="00ED66EC" w:rsidP="008E699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kamienia milowego pojawiło się opóźnienie związane z wyborem wykonawcy usługi wsparcia technicznego. Postępowanie wszczęto 7 marca (zamówienie publiczne), planowane zakończenie miało być 15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podpisanie umowy</w:t>
            </w:r>
            <w:r w:rsidR="00436A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byłoby 21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jednakże ze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względu na konieczność wniesienia przez 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ofertodawców</w:t>
            </w:r>
            <w:proofErr w:type="spellEnd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uzupełnień i wyjaśnień do złożonych ofert terminy uległy zmianie. Zamawiający (Beneficjent) nie miał wpływu na zaistniałą zmianę i jednocześnie zobowiązany jest</w:t>
            </w:r>
            <w:r w:rsidR="002A619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przestrzegania ustawy PZP. Umowa</w:t>
            </w:r>
            <w:r w:rsidR="00A022C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została podpisana 6</w:t>
            </w:r>
            <w:r w:rsidR="0083473B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kwietnia 2017. Nie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nie wpłynie to na przedłużenie terminu realizacji projektu, oraz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wpłynie negatywnie na przebieg realizacji kolejnych prac. Zaistniała sytuacja jest neutralna z punktu widzenia osiągnięcia kolejnych kamieni milowych, oraz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zakończenia realizacji projektu. 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Odbiór urządzeń IT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12.2017</w:t>
            </w:r>
          </w:p>
        </w:tc>
        <w:tc>
          <w:tcPr>
            <w:tcW w:w="1752" w:type="dxa"/>
            <w:hideMark/>
          </w:tcPr>
          <w:p w:rsidR="009D4929" w:rsidRPr="00F32768" w:rsidRDefault="00ED66EC" w:rsidP="008568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9D4929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2598" w:type="dxa"/>
            <w:hideMark/>
          </w:tcPr>
          <w:p w:rsidR="00ED66EC" w:rsidRPr="00F32768" w:rsidRDefault="00DA586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Nastąpiło opóźnienie związane z odbiorem urządzeń IT. 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Ogłoszenie dotyczące przetargu opublikowano 13 lutego 2018 roku. Planowany termin podpisania umowy miał być 13 lipca 2018, dostawa sprzętu ok. 13 sierpnia 2018, nie mniej jednak dnia 02.07.2018 r. </w:t>
            </w:r>
            <w:r w:rsidR="00CA0CB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zostało złożone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odwołanie do KIO, kwestionując wybór oferty. Powtórzono czynność wyboru</w:t>
            </w:r>
            <w:r w:rsidR="00B43EE0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ponownie została wybrana oferta tego samego oferenta i ponownie złożone zostało odwołanie </w:t>
            </w:r>
            <w:r w:rsidR="0036743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KIO. Werdykt ogłoszony na rozprawie, która odbyła się 31.08.2018 r. nakazuje dalszą weryfikację oferty. Wobec tego planowana data podpisania umowy to październik 2018.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mniej jednak umowa będzie przewidywała krótki termin dostawy urządzeń IT, tak, żeby opóźnienie nie wpłynęło na pozostałe etapy prac. Opóźnienie nie wpłynie negatywnie na postępy prac związane z realizacją projektu. Planowane jest niezwłoczne zakończenie postępowania i podpisanie umowy z wykonawcą.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Budowa systemu udostępniania zasobów naukowych ASzWoj  / Podpisanie umowy </w:t>
            </w:r>
            <w:r w:rsidR="0036743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usług programistycznych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 ramach kamienia milowego pojawiło się opóźnienie związane z wyborem wykonawcy usług programistycznych. Wnioskowane opóźnienie wynikał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 trwających prac w celu dopracowania przedmiotu</w:t>
            </w:r>
            <w:r w:rsidR="00436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zamówienia, oraz dokumentacji przetargowej tak, żeby wyłonić wykonawcę, który stworzy możliwie najbardziej optymalne</w:t>
            </w:r>
            <w:r w:rsidR="00436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oprogramowanie. Proces ten był bardzo złożonym działaniem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32768">
              <w:rPr>
                <w:rFonts w:ascii="Arial" w:hAnsi="Arial" w:cs="Arial"/>
                <w:sz w:val="18"/>
                <w:szCs w:val="18"/>
              </w:rPr>
              <w:t>w któr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zaangażowani byli eksperci ds. opisu przedmiotu zamówienia, doświadczona firma doradcza, dział zamówień publicznych, oraz prawnicy.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późnienie,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które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zaistniało, umożliwi realizację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Pr="00F32768">
              <w:rPr>
                <w:rFonts w:ascii="Arial" w:hAnsi="Arial" w:cs="Arial"/>
                <w:sz w:val="18"/>
                <w:szCs w:val="18"/>
              </w:rPr>
              <w:t>w sposób najbardziej skuteczny.</w:t>
            </w:r>
            <w:r w:rsidR="00436A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Mimo opóźnienia terminy przewidziane w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umowie zapewniają realizację projektu w terminie.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Budowa systemu udostępniania zasobów naukowych ASzWoj / Zakończone prace programistyczne etapu III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2598" w:type="dxa"/>
            <w:hideMark/>
          </w:tcPr>
          <w:p w:rsidR="00B27604" w:rsidRPr="00F32768" w:rsidRDefault="00B2760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83473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 ramach kamienia milowego nastąpiło opóźnienie spowodowane opóźnieniem związanym z wyborem wykonawcy usług programistycznych.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 Dnia 2</w:t>
            </w:r>
            <w:r w:rsidRPr="00F32768">
              <w:rPr>
                <w:rFonts w:ascii="Arial" w:hAnsi="Arial" w:cs="Arial"/>
                <w:sz w:val="18"/>
                <w:szCs w:val="18"/>
              </w:rPr>
              <w:t>2.05.2018 r. podpisano umowę na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usługi programistyczne. Niniejszy kamień milowy zgodnie </w:t>
            </w:r>
            <w:r w:rsidR="0036743A" w:rsidRPr="00F32768">
              <w:rPr>
                <w:rFonts w:ascii="Arial" w:hAnsi="Arial" w:cs="Arial"/>
                <w:sz w:val="18"/>
                <w:szCs w:val="18"/>
              </w:rPr>
              <w:br/>
            </w:r>
            <w:r w:rsidRPr="00F32768">
              <w:rPr>
                <w:rFonts w:ascii="Arial" w:hAnsi="Arial" w:cs="Arial"/>
                <w:sz w:val="18"/>
                <w:szCs w:val="18"/>
              </w:rPr>
              <w:t>z umową planowany jest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do realizacji do 30.11.2018. Nastąpi opóźnienie kamienia milowego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>.</w:t>
            </w:r>
            <w:r w:rsidR="008416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>J</w:t>
            </w:r>
            <w:r w:rsidRPr="00F32768">
              <w:rPr>
                <w:rFonts w:ascii="Arial" w:hAnsi="Arial" w:cs="Arial"/>
                <w:sz w:val="18"/>
                <w:szCs w:val="18"/>
              </w:rPr>
              <w:t>ednakże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32768">
              <w:rPr>
                <w:rFonts w:ascii="Arial" w:hAnsi="Arial" w:cs="Arial"/>
                <w:sz w:val="18"/>
                <w:szCs w:val="18"/>
              </w:rPr>
              <w:t>co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bardziej istotne kamień milowy związany z końcowym odbiorem systemu informatycznego "Zadanie 3 – Digitalizacja zasobów naukowych ASzWoj  / Odbiór prac etapu digitalizacji zasobów naukowych ASzWoj" wskazany </w:t>
            </w:r>
            <w:r w:rsidR="0036743A" w:rsidRPr="00F32768">
              <w:rPr>
                <w:rFonts w:ascii="Arial" w:hAnsi="Arial" w:cs="Arial"/>
                <w:sz w:val="18"/>
                <w:szCs w:val="18"/>
              </w:rPr>
              <w:br/>
            </w:r>
            <w:r w:rsidRPr="00F32768">
              <w:rPr>
                <w:rFonts w:ascii="Arial" w:hAnsi="Arial" w:cs="Arial"/>
                <w:sz w:val="18"/>
                <w:szCs w:val="18"/>
              </w:rPr>
              <w:t>we wniosku o dofinansowanie na 08.01.2020, nastąpi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zgodnie z umową na usługi programistyczne30.11.2019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Zakończone prace programistyczne etapu VI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05.2019</w:t>
            </w:r>
          </w:p>
        </w:tc>
        <w:tc>
          <w:tcPr>
            <w:tcW w:w="1752" w:type="dxa"/>
            <w:hideMark/>
          </w:tcPr>
          <w:p w:rsidR="00ED66EC" w:rsidRPr="00F32768" w:rsidRDefault="00ED66EC" w:rsidP="00546BE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546BE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04.2019</w:t>
            </w:r>
          </w:p>
        </w:tc>
        <w:tc>
          <w:tcPr>
            <w:tcW w:w="2598" w:type="dxa"/>
            <w:hideMark/>
          </w:tcPr>
          <w:p w:rsidR="00ED66EC" w:rsidRPr="00F32768" w:rsidRDefault="00E4384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6334F" w:rsidRPr="00F32768" w:rsidTr="003E08E0">
        <w:trPr>
          <w:trHeight w:val="696"/>
        </w:trPr>
        <w:tc>
          <w:tcPr>
            <w:tcW w:w="2020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produktów końcowych</w:t>
            </w:r>
          </w:p>
        </w:tc>
        <w:tc>
          <w:tcPr>
            <w:tcW w:w="1990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86334F" w:rsidRDefault="0086334F">
            <w:r w:rsidRPr="0066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86334F" w:rsidRDefault="003252E6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6334F" w:rsidRPr="00F32768" w:rsidTr="003E08E0">
        <w:trPr>
          <w:trHeight w:val="696"/>
        </w:trPr>
        <w:tc>
          <w:tcPr>
            <w:tcW w:w="2020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System przekazany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Utrzymania</w:t>
            </w:r>
          </w:p>
        </w:tc>
        <w:tc>
          <w:tcPr>
            <w:tcW w:w="1990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86334F" w:rsidRPr="00F32768" w:rsidRDefault="0086334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52" w:type="dxa"/>
            <w:hideMark/>
          </w:tcPr>
          <w:p w:rsidR="0086334F" w:rsidRDefault="0086334F">
            <w:r w:rsidRPr="0066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86334F" w:rsidRDefault="003252E6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3E08E0" w:rsidRPr="00F32768" w:rsidTr="003E08E0">
        <w:trPr>
          <w:trHeight w:val="924"/>
        </w:trPr>
        <w:tc>
          <w:tcPr>
            <w:tcW w:w="2020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prac etapu budowy systemu udostępniania zasobów naukowych ASzWoj</w:t>
            </w:r>
          </w:p>
        </w:tc>
        <w:tc>
          <w:tcPr>
            <w:tcW w:w="1990" w:type="dxa"/>
            <w:hideMark/>
          </w:tcPr>
          <w:p w:rsidR="003E08E0" w:rsidRPr="00F32768" w:rsidRDefault="003E08E0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- 1 szt.</w:t>
            </w:r>
          </w:p>
          <w:p w:rsidR="003E08E0" w:rsidRPr="00F32768" w:rsidRDefault="003E08E0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3E08E0" w:rsidRPr="00F32768" w:rsidRDefault="003E08E0" w:rsidP="00F46FC2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3E08E0" w:rsidRPr="000D785B" w:rsidRDefault="003E08E0" w:rsidP="00AD528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78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3E08E0" w:rsidRPr="000D785B" w:rsidRDefault="00B87FFC" w:rsidP="00B87FF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78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3E08E0" w:rsidRPr="000D785B" w:rsidRDefault="003252E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2806A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78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ED66EC" w:rsidRPr="00F32768" w:rsidRDefault="003252E6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komputerów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F32768" w:rsidRDefault="00ED66EC" w:rsidP="002F31D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Zadanie zrealizowane. Beneficjent opóźnił się z realizacją zamówienia w stosunku do wskazanych terminów kamienia milowego. Nie</w:t>
            </w:r>
            <w:r w:rsidR="002F31D2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kamień milowych został</w:t>
            </w:r>
            <w:r w:rsidR="00847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osiągnięty, 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zakupione komputery służą pracom projektowym.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Digitalizacja zasobów naukowych ASzWoj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wykonawcą usługi skanowania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F32768" w:rsidRDefault="00ED66EC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W ramach kamienia milowego pojawiło się opóźnienie związane z wyborem wykonawcy usług skanowania. Wnioskowane opóźnienie wynika z trwających prac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w celu dopracowania przedmiotu zamówienia, oraz dokumentacji przetargowej tak, żeby wyłonić wykonawcę, który możliwie najbardziej kompetentnie będzie świadczył usługi skanowania. Mimo opóźnienia przetarg został ogłoszony 28.07.2017,oraz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30.10.2017 opublikowano zawiadomienie o wyborze oferty. Umowa na usługę została</w:t>
            </w:r>
            <w:r w:rsidR="00847A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podpisana 13.11.2017. Zaistniała sytuacja nie ma wpływu na osiągnięcie wskaźników oraz nie wpływa na zmianę terminu zakończenia projektu.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Zeskanowanie 43% dokumentów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/  Zeskanowanie 88% dokumentów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52" w:type="dxa"/>
            <w:hideMark/>
          </w:tcPr>
          <w:p w:rsidR="00ED66EC" w:rsidRPr="00F32768" w:rsidRDefault="00ED66EC" w:rsidP="00F57A0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F57A0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598" w:type="dxa"/>
            <w:hideMark/>
          </w:tcPr>
          <w:p w:rsidR="00ED66EC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prac etapu digitalizacji zasobów naukowych ASzWoj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D9431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ED66EC" w:rsidRPr="00F32768" w:rsidRDefault="003252E6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300"/>
        </w:trPr>
        <w:tc>
          <w:tcPr>
            <w:tcW w:w="2020" w:type="dxa"/>
            <w:hideMark/>
          </w:tcPr>
          <w:p w:rsidR="00ED66EC" w:rsidRPr="00F32768" w:rsidRDefault="003E600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`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D9431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ED66EC" w:rsidRPr="00F32768" w:rsidRDefault="003252E6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1608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agencją, która będzie prowadzić fan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page</w:t>
            </w:r>
            <w:proofErr w:type="spellEnd"/>
            <w:r w:rsidR="00847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ASzWoj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52" w:type="dxa"/>
            <w:hideMark/>
          </w:tcPr>
          <w:p w:rsidR="00ED66EC" w:rsidRPr="00F32768" w:rsidRDefault="00D9431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ED66EC" w:rsidRPr="00F32768" w:rsidRDefault="003252E6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6F50D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Wnioskodawca realizuje</w:t>
            </w:r>
            <w:r w:rsidR="006F50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działania związane z prowadzeniem fan </w:t>
            </w:r>
            <w:proofErr w:type="spellStart"/>
            <w:r w:rsidR="006F50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page</w:t>
            </w:r>
            <w:proofErr w:type="spellEnd"/>
            <w:r w:rsidR="006F50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ASzWoj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 własnym zakresie. Na co otrzymał zgodę CPPC dnia 30 sierpnia 2017. Planowane osiągnięcie kamienia milowego jest zgodne z terminem wskazanym we wniosku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  <w:r w:rsidR="006F50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Reasumując efekty kamienia milowego zostały osiągnięte.</w:t>
            </w:r>
          </w:p>
        </w:tc>
      </w:tr>
      <w:tr w:rsidR="00ED66EC" w:rsidRPr="00F32768" w:rsidTr="006F50D8">
        <w:trPr>
          <w:trHeight w:val="504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agencją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08.2019</w:t>
            </w:r>
          </w:p>
        </w:tc>
        <w:tc>
          <w:tcPr>
            <w:tcW w:w="1752" w:type="dxa"/>
            <w:hideMark/>
          </w:tcPr>
          <w:p w:rsidR="00ED66EC" w:rsidRPr="00F32768" w:rsidRDefault="006F50D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D61368" w:rsidRDefault="00BD7417" w:rsidP="006F50D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D8073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:rsidR="00F42F6E" w:rsidRDefault="00F42F6E" w:rsidP="006F50D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42F6E" w:rsidRPr="00F32768" w:rsidRDefault="00F42F6E" w:rsidP="006F50D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2F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Wnioskodawca zrealizował kampanię ze środków własnych. Rozliczenie nastąpiło po zakończeniu projektu</w:t>
            </w:r>
            <w:r w:rsidRPr="000737B9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Promocja udostępnianych zasobów  / Odbiór prac etapu promocji udostępnianych zasobów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6F50D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D80739" w:rsidRPr="00F32768" w:rsidRDefault="00D80739" w:rsidP="00D8073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42F6E" w:rsidRPr="00F32768" w:rsidRDefault="00F42F6E" w:rsidP="00F42F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2F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Wnioskodawca zrealizował kampanię ze środków własnych. Rozliczenie nastąpiło po zakończeniu 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ED66EC" w:rsidRPr="00F32768" w:rsidTr="003E08E0">
        <w:trPr>
          <w:trHeight w:val="300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D80739" w:rsidP="006C423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598" w:type="dxa"/>
            <w:hideMark/>
          </w:tcPr>
          <w:p w:rsidR="00D80739" w:rsidRPr="00F32768" w:rsidRDefault="00D80739" w:rsidP="00D8073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D66EC" w:rsidRPr="00F32768" w:rsidTr="003E08E0">
        <w:trPr>
          <w:trHeight w:val="297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pierwszej części budżetu projektu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E540D6" w:rsidRPr="00F32768" w:rsidRDefault="00DD3E9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03.2019</w:t>
            </w:r>
          </w:p>
        </w:tc>
        <w:tc>
          <w:tcPr>
            <w:tcW w:w="2598" w:type="dxa"/>
            <w:hideMark/>
          </w:tcPr>
          <w:p w:rsidR="00CA608B" w:rsidRPr="00F32768" w:rsidRDefault="006B109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D3E9A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był opóźniony ze względu na opóźnienia z rozpoczęciem prac: usługi programowania, usługi skanowania, odbioru sprzętu IT. Ponadto podpisano umowy z wykonawcami usługi skanowania, usługi programowania na kwoty niższe niż to założono we Wniosku o dofinansowanie.</w:t>
            </w:r>
          </w:p>
          <w:p w:rsidR="00DD3E9A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miało wpływu na osiągnięcie wskaźników projektu, oraz termin zakończenia projektu. Wnioskodawca podpisywał umowy, tak, żeby zrealizować projekt w planowanym terminie. Odbiory poszczególnych prac zgodnie z umowami, będą realizowane przed terminami zakończenia projektu/kamieni milowych dotyczących odbiorów. Będą wskazane 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F32768" w:rsidTr="003E08E0">
        <w:trPr>
          <w:trHeight w:val="7011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Zarządzanie projektem  / Wydatkowanie drugiej części budżetu projektu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52" w:type="dxa"/>
            <w:hideMark/>
          </w:tcPr>
          <w:p w:rsidR="00ED66EC" w:rsidRPr="00F32768" w:rsidRDefault="00ED66EC" w:rsidP="00470A6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B468F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470A61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="00B468F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598" w:type="dxa"/>
            <w:hideMark/>
          </w:tcPr>
          <w:p w:rsidR="006B109D" w:rsidRPr="00F32768" w:rsidRDefault="006B109D" w:rsidP="006B109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Kamień milowy 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był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opóźnio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ny ze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względu na opóźnienia z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skanowania, odbioru sprzętu IT. Ponadto podpisano umowy z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skanowania, usługi programowania na kwoty niższe niż to założono we Wniosku o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F32768" w:rsidRDefault="00E55566" w:rsidP="00C70D8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miało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wpływu na osiągnięcie wskaźników projektu, oraz termin zakończenia projektu. Wniosko</w:t>
            </w:r>
            <w:r w:rsidR="00C70D8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dawca podpisywał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umowy, tak,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żeby zrealizować projekt w planowanym terminie. Odbiory poszczególnych prac zgodnie z umowami, będą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terminami zakończenia projektu/kamieni milowych dotyczących odbioró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ędą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wskazane</w:t>
            </w:r>
            <w:r w:rsidR="008416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trzeciej części budżetu projektu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52" w:type="dxa"/>
            <w:hideMark/>
          </w:tcPr>
          <w:p w:rsidR="00ED66EC" w:rsidRDefault="00ED66EC" w:rsidP="0051442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444C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11.2019</w:t>
            </w:r>
          </w:p>
          <w:p w:rsidR="00444C88" w:rsidRPr="00F32768" w:rsidRDefault="00444C88" w:rsidP="0051442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2560E7" w:rsidRPr="00F32768" w:rsidRDefault="002560E7" w:rsidP="002560E7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D61368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opóźniony, oraz nie został osiągnięty ze względu na opóźnienia z rozpoczęciem prac: usługi programowania, usługi skanowania, odbioru sprzętu IT. Ponadto podpisano umowy z wykonawcami usługi skanowania, usługi programowania na kwoty niższe niż to założono we Wniosku o dofinansowanie.</w:t>
            </w: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nie ma wpływu na osiągnięcie wskaźników projektu, oraz termin zakończenia projektu. Wnioskodawca podpisuje umowy i planuje podpisywać kolejne, tak, żeby zrealizować projekt w planowanym terminie. Odbiory poszczególnych prac zgodnie z umowami, będą realizowane przed terminami zakończenia projektu/kamieni milowych dotyczących odbiorów. Będą wskazane wcześniejsze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terminy odbiorów, na wypadek gdyby wykonawcy spóźniali się z terminami realizacji. Ponadto przewidywane są kary umowne za niedotrzymywanie terminów.</w:t>
            </w:r>
          </w:p>
        </w:tc>
      </w:tr>
    </w:tbl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141A92" w:rsidRPr="00F32768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B68DA" w:rsidRPr="00F32768" w:rsidTr="00B2760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3A757D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Jedn. </w:t>
            </w:r>
          </w:p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243E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B68DA" w:rsidRPr="00F32768" w:rsidTr="00B27604">
        <w:trPr>
          <w:trHeight w:val="588"/>
        </w:trPr>
        <w:tc>
          <w:tcPr>
            <w:tcW w:w="2545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podmiotów, które udostępniły on-line informacje sektora publicznego [szt.]</w:t>
            </w:r>
          </w:p>
        </w:tc>
        <w:tc>
          <w:tcPr>
            <w:tcW w:w="1278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hideMark/>
          </w:tcPr>
          <w:p w:rsidR="00AB68DA" w:rsidRPr="00F32768" w:rsidRDefault="00550682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D4929" w:rsidRPr="00013E66" w:rsidTr="00B27604">
        <w:trPr>
          <w:trHeight w:val="975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 [szt.]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45179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013E66" w:rsidRDefault="00550682" w:rsidP="003E41F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40725</w:t>
            </w:r>
          </w:p>
          <w:p w:rsidR="00803C1A" w:rsidRPr="00013E66" w:rsidRDefault="00803C1A" w:rsidP="003E41F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803C1A" w:rsidRPr="00013E66" w:rsidRDefault="00803C1A" w:rsidP="00803C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3E66">
              <w:rPr>
                <w:rFonts w:ascii="Arial" w:hAnsi="Arial" w:cs="Arial"/>
                <w:sz w:val="18"/>
                <w:szCs w:val="18"/>
              </w:rPr>
              <w:t xml:space="preserve">W wyniku przeprowadzonych analiz ustalono, że w pierwotnej wersji wniosku o dofinansowanie i studium wykonalności omyłkowo podano liczbę dotyczącą udostępnionych dokumentów w kategorii „Zeszyty naukowe”. Zauważona omyłka dotyczy 15670 dokumentów w kategorii „Zeszyty naukowe”. Akademia Sztuki Wojennej nie posiada takiej ilości zeszytów naukowych, które mogłaby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zdigitalizować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>. Ustalono również, że błędnie zakwalifikowano kategorię czasopism przyjmując za dokument jeden rocznik czasopisma. Za dokument powinien zostać przyjęty jeden numer czasopisma a nie rocznik. W związku z tym:</w:t>
            </w:r>
          </w:p>
          <w:p w:rsidR="00803C1A" w:rsidRPr="00013E66" w:rsidRDefault="00803C1A" w:rsidP="00803C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3E66">
              <w:rPr>
                <w:rFonts w:ascii="Arial" w:hAnsi="Arial" w:cs="Arial"/>
                <w:sz w:val="18"/>
                <w:szCs w:val="18"/>
              </w:rPr>
              <w:t>- zaistniała konieczność zmiany ilości dokumentów w kategorii „Zeszyty naukowe” z liczby 22204 do poziomu 6534 dokumentów udostępnionych online,</w:t>
            </w:r>
          </w:p>
          <w:p w:rsidR="00803C1A" w:rsidRPr="00013E66" w:rsidRDefault="00803C1A" w:rsidP="00803C1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3E66">
              <w:rPr>
                <w:rFonts w:ascii="Arial" w:hAnsi="Arial" w:cs="Arial"/>
                <w:sz w:val="18"/>
                <w:szCs w:val="18"/>
              </w:rPr>
              <w:t xml:space="preserve">- zmiana ilości dokumentów w kategorii czasopisma z liczby 1038 do poziomu 11280. Jednocześnie zeskanowano więcej </w:t>
            </w:r>
            <w:r w:rsidRPr="00013E66">
              <w:rPr>
                <w:rFonts w:ascii="Arial" w:hAnsi="Arial" w:cs="Arial"/>
                <w:sz w:val="18"/>
                <w:szCs w:val="18"/>
              </w:rPr>
              <w:lastRenderedPageBreak/>
              <w:t>o 974 sztuki dokumentów w ramach kategorii „Wydawnictwa zwarte”.</w:t>
            </w:r>
          </w:p>
        </w:tc>
      </w:tr>
      <w:tr w:rsidR="009D4929" w:rsidRPr="00F32768" w:rsidTr="00B27604">
        <w:trPr>
          <w:trHeight w:val="974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Liczba udostępnionych on-line dokumentów zawierających informacje sektora publicznego [szt.]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47519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Default="00550682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43</w:t>
            </w:r>
            <w:r w:rsidRPr="00550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065</w:t>
            </w:r>
          </w:p>
          <w:p w:rsidR="00803C1A" w:rsidRDefault="00803C1A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803C1A" w:rsidRPr="00013E66" w:rsidRDefault="00803C1A" w:rsidP="00803C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3E66">
              <w:rPr>
                <w:rFonts w:ascii="Arial" w:hAnsi="Arial" w:cs="Arial"/>
                <w:sz w:val="18"/>
                <w:szCs w:val="18"/>
              </w:rPr>
              <w:t xml:space="preserve">W wyniku przeprowadzonych analiz ustalono, że w pierwotnej wersji wniosku o dofinansowanie i studium wykonalności omyłkowo podano liczbę dotyczącą udostępnionych dokumentów w kategorii „Zeszyty naukowe”. Zauważona omyłka dotyczy 15670 dokumentów w kategorii „Zeszyty naukowe”. Akademia Sztuki Wojennej nie posiada takiej ilości zeszytów naukowych, które mogłaby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zdigitalizować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>. Ustalono również, że błędnie zakwalifikowano kategorię czasopism przyjmując za dokument jeden rocznik czasopisma. Za dokument powinien zostać przyjęty jeden numer czasopisma a nie rocznik. W związku z tym:</w:t>
            </w:r>
          </w:p>
          <w:p w:rsidR="00803C1A" w:rsidRPr="00013E66" w:rsidRDefault="00803C1A" w:rsidP="00803C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3E66">
              <w:rPr>
                <w:rFonts w:ascii="Arial" w:hAnsi="Arial" w:cs="Arial"/>
                <w:sz w:val="18"/>
                <w:szCs w:val="18"/>
              </w:rPr>
              <w:t>- zaistniała konieczność zmiany ilości dokumentów w kategorii „Zeszyty naukowe” z liczby 22204 do poziomu 6534 dokumentów udostępnionych online,</w:t>
            </w:r>
          </w:p>
          <w:p w:rsidR="00803C1A" w:rsidRPr="00F32768" w:rsidRDefault="00803C1A" w:rsidP="00803C1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3E66">
              <w:rPr>
                <w:rFonts w:ascii="Arial" w:hAnsi="Arial" w:cs="Arial"/>
                <w:sz w:val="18"/>
                <w:szCs w:val="18"/>
              </w:rPr>
              <w:t>- zmiana ilości dokumentów w kategorii czasopisma z liczby 1038 do poziomu 11280. Jednocześnie zeskanowano więcej o 974 sztuki dokumentów w ramach kategorii „Wydawnictwa zwarte”.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utworzonych API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550682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baz danych udostępnionych on-line poprzez API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550682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9D4929" w:rsidRPr="00F32768" w:rsidTr="00B27604">
        <w:trPr>
          <w:trHeight w:val="777"/>
        </w:trPr>
        <w:tc>
          <w:tcPr>
            <w:tcW w:w="2545" w:type="dxa"/>
            <w:hideMark/>
          </w:tcPr>
          <w:p w:rsidR="009D4929" w:rsidRPr="00F32768" w:rsidRDefault="009D4929" w:rsidP="002806A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pobrań/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 [szt.]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1 265 000,00 </w:t>
            </w:r>
          </w:p>
        </w:tc>
        <w:tc>
          <w:tcPr>
            <w:tcW w:w="1701" w:type="dxa"/>
            <w:hideMark/>
          </w:tcPr>
          <w:p w:rsidR="009D4929" w:rsidRPr="002806A9" w:rsidRDefault="009D4929" w:rsidP="00E654D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06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</w:t>
            </w:r>
            <w:r w:rsidR="00E654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8" w:type="dxa"/>
            <w:hideMark/>
          </w:tcPr>
          <w:p w:rsidR="009D4929" w:rsidRPr="00F32768" w:rsidRDefault="009D4929" w:rsidP="002806A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Nie </w:t>
            </w:r>
            <w:r w:rsidRPr="00550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dotyczy. Wskaźnik osiągnięty będzie</w:t>
            </w:r>
            <w:r w:rsidR="009D0103" w:rsidRPr="00550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550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rok od zakończenia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1701" w:type="dxa"/>
            <w:hideMark/>
          </w:tcPr>
          <w:p w:rsidR="009D4929" w:rsidRPr="00B50D47" w:rsidRDefault="009D4929">
            <w:r w:rsidRPr="00B50D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013E66" w:rsidRDefault="00550682" w:rsidP="0055068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62,80</w:t>
            </w:r>
          </w:p>
          <w:p w:rsidR="00E60519" w:rsidRPr="00013E66" w:rsidRDefault="00E60519" w:rsidP="0055068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60519" w:rsidRPr="00013E66" w:rsidRDefault="00E60519" w:rsidP="00E6051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realizacji projektu okazało się, że przy</w:t>
            </w:r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jęto na etapie przygotowania wniosku o dofinansowanie  projektu zbyt dużą wartość wskaźnika. Biorąc pod uwagą ilość </w:t>
            </w:r>
            <w:proofErr w:type="spellStart"/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zasobów, wskaźnik okazał się niższy. </w:t>
            </w:r>
            <w:r w:rsidRPr="00013E66">
              <w:rPr>
                <w:rFonts w:ascii="Arial" w:hAnsi="Arial" w:cs="Arial"/>
                <w:sz w:val="18"/>
                <w:szCs w:val="18"/>
              </w:rPr>
              <w:t xml:space="preserve">Wpływ na zmianę miała rozdzielczość dokonywanych skanów dokumentów, które wynoszą 400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 xml:space="preserve"> zamiast rozdzielczości 600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 xml:space="preserve">, przez co rozmiar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 xml:space="preserve"> zasobów okazał się niższy. Było to spowodowane możliwością </w:t>
            </w:r>
            <w:r w:rsidR="00BD1732" w:rsidRPr="00013E66">
              <w:rPr>
                <w:rFonts w:ascii="Arial" w:hAnsi="Arial" w:cs="Arial"/>
                <w:sz w:val="18"/>
                <w:szCs w:val="18"/>
              </w:rPr>
              <w:t>za</w:t>
            </w:r>
            <w:r w:rsidRPr="00013E66">
              <w:rPr>
                <w:rFonts w:ascii="Arial" w:hAnsi="Arial" w:cs="Arial"/>
                <w:sz w:val="18"/>
                <w:szCs w:val="18"/>
              </w:rPr>
              <w:t xml:space="preserve">kupienia w ramach projektu skanów, jakie były ofertowane na rynku – o rozdzielczości 400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 xml:space="preserve"> i 300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D4929" w:rsidRPr="00F32768" w:rsidTr="00550682">
        <w:trPr>
          <w:trHeight w:val="62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Rozmiar udostępnionych on-line informacji sektora publicznego</w:t>
            </w:r>
            <w:bookmarkStart w:id="0" w:name="_GoBack"/>
            <w:bookmarkEnd w:id="0"/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013E66" w:rsidRDefault="00550682" w:rsidP="00AA04D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62,80</w:t>
            </w:r>
          </w:p>
          <w:p w:rsidR="00E60519" w:rsidRPr="00013E66" w:rsidRDefault="00E60519" w:rsidP="00AA04D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60519" w:rsidRPr="00BD1732" w:rsidRDefault="00E60519" w:rsidP="00AA04D4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realizacji projektu okazało się, że przyjęto na etapie przygotowania wniosku o dofinansowanie  projektu zbyt dużą wartość wskaźnika. Biorąc pod uwagą ilość </w:t>
            </w:r>
            <w:proofErr w:type="spellStart"/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013E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zasobów, wskaźnik okazał się niższy. </w:t>
            </w:r>
            <w:r w:rsidRPr="00013E66">
              <w:rPr>
                <w:rFonts w:ascii="Arial" w:hAnsi="Arial" w:cs="Arial"/>
                <w:sz w:val="18"/>
                <w:szCs w:val="18"/>
              </w:rPr>
              <w:t xml:space="preserve">Wpływ na zmianę miała rozdzielczość dokonywanych skanów dokumentów, które wynoszą 400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 xml:space="preserve"> zamiast rozdzielczości 600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 xml:space="preserve">, przez co rozmiar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 xml:space="preserve"> zasobów okazał się niższy. Było to spowodowane możliwością </w:t>
            </w:r>
            <w:r w:rsidR="00BD1732" w:rsidRPr="00013E66">
              <w:rPr>
                <w:rFonts w:ascii="Arial" w:hAnsi="Arial" w:cs="Arial"/>
                <w:sz w:val="18"/>
                <w:szCs w:val="18"/>
              </w:rPr>
              <w:t>za</w:t>
            </w:r>
            <w:r w:rsidRPr="00013E66">
              <w:rPr>
                <w:rFonts w:ascii="Arial" w:hAnsi="Arial" w:cs="Arial"/>
                <w:sz w:val="18"/>
                <w:szCs w:val="18"/>
              </w:rPr>
              <w:t xml:space="preserve">kupienia w ramach projektu skanów, jakie były ofertowane na rynku – o rozdzielczości 400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013E66">
              <w:rPr>
                <w:rFonts w:ascii="Arial" w:hAnsi="Arial" w:cs="Arial"/>
                <w:sz w:val="18"/>
                <w:szCs w:val="18"/>
              </w:rPr>
              <w:t xml:space="preserve"> i 300 </w:t>
            </w:r>
            <w:proofErr w:type="spellStart"/>
            <w:r w:rsidRPr="00013E66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013E66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9D4929" w:rsidRPr="00F32768" w:rsidTr="00550682">
        <w:trPr>
          <w:trHeight w:val="434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550682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</w:tr>
    </w:tbl>
    <w:p w:rsidR="007D2C34" w:rsidRPr="00F32768" w:rsidRDefault="007D2C34" w:rsidP="00A91EF6">
      <w:pPr>
        <w:pStyle w:val="Nagwek2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color w:val="auto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F32768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F32768" w:rsidTr="00517F12">
        <w:tc>
          <w:tcPr>
            <w:tcW w:w="2937" w:type="dxa"/>
          </w:tcPr>
          <w:p w:rsidR="007D38BD" w:rsidRPr="00F32768" w:rsidRDefault="00755C67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3F660D" w:rsidRPr="00F32768" w:rsidRDefault="003F660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A822B4" w:rsidRPr="00F32768" w:rsidRDefault="00933BEC" w:rsidP="00A91EF6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32768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F3276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F3276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4"/>
        <w:gridCol w:w="1395"/>
        <w:gridCol w:w="4006"/>
      </w:tblGrid>
      <w:tr w:rsidR="00C6751B" w:rsidRPr="00F32768" w:rsidTr="00DF65E2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F32768" w:rsidRDefault="000F307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F3276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822B4" w:rsidRPr="00F32768" w:rsidTr="00DF65E2">
        <w:tc>
          <w:tcPr>
            <w:tcW w:w="2969" w:type="dxa"/>
          </w:tcPr>
          <w:p w:rsidR="00A822B4" w:rsidRPr="00F32768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Wdrożenie usługi „PORTAL BEZPIECZEŃSTWA I OBRONNOŚCI AKADEMII SZTUKI WOJENNEJ”. </w:t>
            </w:r>
          </w:p>
          <w:p w:rsidR="00A822B4" w:rsidRPr="00F32768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2B4" w:rsidRPr="00F32768" w:rsidRDefault="00A822B4" w:rsidP="00D21C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Polega na udostępnieniu ponad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47,5 tys. </w:t>
            </w:r>
            <w:proofErr w:type="spellStart"/>
            <w:r w:rsidR="00665565" w:rsidRPr="00F32768">
              <w:rPr>
                <w:rFonts w:ascii="Arial" w:hAnsi="Arial" w:cs="Arial"/>
                <w:sz w:val="18"/>
                <w:szCs w:val="18"/>
              </w:rPr>
              <w:t>z</w:t>
            </w:r>
            <w:r w:rsidRPr="00F32768">
              <w:rPr>
                <w:rFonts w:ascii="Arial" w:hAnsi="Arial" w:cs="Arial"/>
                <w:sz w:val="18"/>
                <w:szCs w:val="18"/>
              </w:rPr>
              <w:t>digitalizowanych</w:t>
            </w:r>
            <w:proofErr w:type="spellEnd"/>
            <w:r w:rsidR="00665565" w:rsidRPr="00F32768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F32768">
              <w:rPr>
                <w:rFonts w:ascii="Arial" w:hAnsi="Arial" w:cs="Arial"/>
                <w:sz w:val="18"/>
                <w:szCs w:val="18"/>
              </w:rPr>
              <w:t>okumentów</w:t>
            </w:r>
            <w:r w:rsidR="00665565" w:rsidRPr="00F32768">
              <w:rPr>
                <w:rFonts w:ascii="Arial" w:hAnsi="Arial" w:cs="Arial"/>
                <w:sz w:val="18"/>
                <w:szCs w:val="18"/>
              </w:rPr>
              <w:t xml:space="preserve"> zawierających</w:t>
            </w:r>
            <w:r w:rsidR="00DD2958" w:rsidRPr="00F32768">
              <w:rPr>
                <w:rFonts w:ascii="Arial" w:hAnsi="Arial" w:cs="Arial"/>
                <w:sz w:val="18"/>
                <w:szCs w:val="18"/>
              </w:rPr>
              <w:t xml:space="preserve"> informacje sektora publicznego</w:t>
            </w:r>
            <w:r w:rsidR="00C35C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stanowiących zasoby nauki z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zakresu obronności i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bezpieczeństwa kraju</w:t>
            </w:r>
            <w:r w:rsidR="00C35C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gromadzone w Bibliotece Głównej Akademii Sztuki Wojennej</w:t>
            </w:r>
          </w:p>
        </w:tc>
        <w:tc>
          <w:tcPr>
            <w:tcW w:w="1264" w:type="dxa"/>
          </w:tcPr>
          <w:p w:rsidR="00A822B4" w:rsidRPr="00F32768" w:rsidRDefault="00A822B4" w:rsidP="00A91EF6">
            <w:pPr>
              <w:ind w:left="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A822B4" w:rsidRPr="00F32768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A822B4" w:rsidRPr="00F32768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006" w:type="dxa"/>
          </w:tcPr>
          <w:p w:rsidR="00A822B4" w:rsidRPr="00F32768" w:rsidRDefault="00E005A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A822B4" w:rsidRPr="00F32768" w:rsidRDefault="00A822B4" w:rsidP="00A91EF6">
      <w:pPr>
        <w:pStyle w:val="Nagwek3"/>
        <w:spacing w:before="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</w:p>
    <w:p w:rsidR="00F55924" w:rsidRPr="00F32768" w:rsidRDefault="00F55924" w:rsidP="00F55924"/>
    <w:p w:rsidR="002877C9" w:rsidRPr="00F32768" w:rsidRDefault="004C1D48" w:rsidP="00A91EF6">
      <w:pPr>
        <w:pStyle w:val="Nagwek3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</w:p>
    <w:p w:rsidR="00CB3E02" w:rsidRPr="00F32768" w:rsidRDefault="00CB3E02" w:rsidP="00A91EF6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9"/>
        <w:gridCol w:w="1164"/>
        <w:gridCol w:w="1593"/>
        <w:gridCol w:w="4535"/>
      </w:tblGrid>
      <w:tr w:rsidR="00CB3E02" w:rsidRPr="00F32768" w:rsidTr="00B27604">
        <w:trPr>
          <w:trHeight w:val="288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data wdrożenia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Komplementarność względem produktów innych projektów </w:t>
            </w:r>
          </w:p>
        </w:tc>
      </w:tr>
      <w:tr w:rsidR="00CB3E02" w:rsidRPr="00F32768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System „PORTAL BEZPIECZEŃSTWA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I OBRONNOŚCI AKADEMII SZTUKI WOJENNEJ” – system udostępniania zasobów naukowych ASzWoj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B3E02" w:rsidRPr="00F32768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API do publicznego udostępniania</w:t>
            </w:r>
          </w:p>
          <w:p w:rsidR="00CB3E02" w:rsidRPr="00F32768" w:rsidRDefault="00CB3E02" w:rsidP="009D0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metadanych i zasobów cyfrowych (API umożliwi integrację istniejących w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ASzWoj systemów bibliotecznych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w ramach katalogu bibliotecznego)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3E41F5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CB3E02" w:rsidRPr="00F32768" w:rsidRDefault="00CB3E02" w:rsidP="00A91EF6">
      <w:pPr>
        <w:jc w:val="both"/>
      </w:pPr>
    </w:p>
    <w:p w:rsidR="00BB059E" w:rsidRPr="00F32768" w:rsidRDefault="00BB059E" w:rsidP="00A91EF6">
      <w:pPr>
        <w:pStyle w:val="Akapitzlist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F32768" w:rsidRDefault="00CF2E64" w:rsidP="00A91EF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2595"/>
        <w:gridCol w:w="2977"/>
      </w:tblGrid>
      <w:tr w:rsidR="00322614" w:rsidRPr="00F32768" w:rsidTr="0094622A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595" w:type="dxa"/>
            <w:shd w:val="clear" w:color="auto" w:fill="D0CECE" w:themeFill="background2" w:themeFillShade="E6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322614" w:rsidRPr="00F32768" w:rsidRDefault="00A26CF1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F32768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3F660D" w:rsidRPr="00F32768" w:rsidTr="009520AE">
        <w:trPr>
          <w:trHeight w:val="674"/>
        </w:trPr>
        <w:tc>
          <w:tcPr>
            <w:tcW w:w="229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we wdrożeniu</w:t>
            </w:r>
          </w:p>
        </w:tc>
        <w:tc>
          <w:tcPr>
            <w:tcW w:w="163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F32768" w:rsidRDefault="003F660D" w:rsidP="006B109D">
            <w:pPr>
              <w:pStyle w:val="Tekstkomentarza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Ustanowienie struktury i zasad zarządzania projektem zgodnie </w:t>
            </w:r>
            <w:r w:rsidR="007E7719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z najlepszymi metodykami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celu stworzenia właściwych ram kontrolnych i decyzyjnych w trakcie realizacji projektu, mianowanie managera projektu oraz stworzenie Komitetu Sterującego, wraz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chanizmem eskalacji i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raportowania o postępach i ryzykach. Dodatkowo uwzględnienie odpowiednich klauzul w umowie </w:t>
            </w:r>
            <w:r w:rsidR="009520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 jasno określonymi terminami i karami za opóźnienia.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Spodziewanym efektem powyższych działań będzie realizacja projektu w terminie. Nie nastąpiła </w:t>
            </w:r>
            <w:r w:rsidR="006B109D"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w zakresie danego ryzyka w stosunku do poprzedniego okresu sprawozdawczego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3F660D" w:rsidRPr="00F32768" w:rsidTr="0094622A">
        <w:trPr>
          <w:trHeight w:val="1848"/>
        </w:trPr>
        <w:tc>
          <w:tcPr>
            <w:tcW w:w="229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Nie zrealizowanie celów Projektu</w:t>
            </w:r>
          </w:p>
        </w:tc>
        <w:tc>
          <w:tcPr>
            <w:tcW w:w="163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</w:t>
            </w:r>
            <w:r w:rsidR="00D9650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to wiąże się z nietrafioną analizą popytu i potrzeb organizacyjno-technicznych lub niezidentyfikowania barier formalnych trudnych do przejścia w krótkim terminie. Ryzyko to zostało zaadresowane na etapie przygotowawczym Projektu. Oparto się na wywiadach środowiskowych, ankietach, analizie technicznej oraz doświadczeniu operacyjnym pracowników</w:t>
            </w:r>
            <w:r w:rsidR="0014407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755C6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ASzWoj.</w:t>
            </w:r>
          </w:p>
          <w:p w:rsidR="00E005A4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0627F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zarządzania ryzykiem 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następujące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działania:</w:t>
            </w:r>
          </w:p>
          <w:p w:rsidR="00E005A4" w:rsidRPr="00F32768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cykliczne spotkania z Komitetem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terującym oceniającym statut projektu,</w:t>
            </w:r>
          </w:p>
          <w:p w:rsidR="0020627F" w:rsidRPr="00F32768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ścisła współpraca Kierownika projektu z Kierownikami zadań, specjalistą ds. rozliczania projektów i pozostałymi pracownikami.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zespole projektowym panuje kultura organizacyjna w ramach której członkowie innych Zadań komunikują się ze sobą w celu doboru skutecznych rozwiązań.</w:t>
            </w:r>
          </w:p>
          <w:p w:rsidR="00E005A4" w:rsidRDefault="0020627F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skuteczne p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rzygotowanie działań promocyjnych. Na każdym etapie realizacji projektu, w tym na wczesnym etapie realizacji projektu informowane jest otoczenie o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planowanym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projekcie, oraz jego</w:t>
            </w:r>
            <w:r w:rsidR="00BB21BF" w:rsidRPr="00F32768"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rezultatach.</w:t>
            </w:r>
          </w:p>
          <w:p w:rsidR="006B109D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Default="008C02F9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Spodziewanym e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fektem tych działań będzie zrealizowanie celów 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tym osiągnięcie wskaźników projektu.</w:t>
            </w:r>
          </w:p>
          <w:p w:rsidR="006B109D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Pr="00F32768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Nie nastąpiła </w:t>
            </w:r>
            <w:r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w zakresie danego ryzyka w stosunku do poprzedniego okresu sprawozdawczego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:rsidR="00141A92" w:rsidRPr="00F32768" w:rsidRDefault="00141A92" w:rsidP="00A91EF6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CF2E64" w:rsidRPr="00F32768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F32768" w:rsidTr="00DF65E2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32768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D556DB" w:rsidRPr="00F32768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F32768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DF65E2" w:rsidRPr="00F32768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F32768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dostępem do systemu udostępniania zasobów.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B21128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 komunikacja, informacja, promocja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  <w:tr w:rsidR="00DF65E2" w:rsidRPr="00F32768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F32768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Zbyt niska  Liczba pobrań/</w:t>
            </w:r>
            <w:proofErr w:type="spellStart"/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128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</w:t>
            </w:r>
            <w:r w:rsidR="0014407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komunikacja, informacja, promocja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</w:t>
            </w:r>
          </w:p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</w:tbl>
    <w:p w:rsidR="00C60C84" w:rsidRPr="00F32768" w:rsidRDefault="00C60C84" w:rsidP="00C60C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3276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C60C84" w:rsidRPr="00F32768" w:rsidRDefault="00472144" w:rsidP="00141A92">
      <w:pPr>
        <w:spacing w:before="240" w:after="120"/>
        <w:rPr>
          <w:rFonts w:ascii="Arial" w:hAnsi="Arial" w:cs="Arial"/>
        </w:rPr>
      </w:pPr>
      <w:r w:rsidRPr="00F32768">
        <w:rPr>
          <w:rFonts w:ascii="Arial" w:hAnsi="Arial" w:cs="Arial"/>
        </w:rPr>
        <w:t>Nie dotyczy</w:t>
      </w:r>
    </w:p>
    <w:p w:rsidR="00C60C84" w:rsidRPr="00F32768" w:rsidRDefault="00C60C84" w:rsidP="00141A92">
      <w:pPr>
        <w:spacing w:before="240" w:after="120"/>
        <w:rPr>
          <w:rFonts w:ascii="Arial" w:hAnsi="Arial" w:cs="Arial"/>
        </w:rPr>
      </w:pPr>
    </w:p>
    <w:p w:rsidR="00546BE3" w:rsidRPr="00F32768" w:rsidRDefault="00BB059E" w:rsidP="007F2235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EF148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546BE3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Piotr Dobrowolski</w:t>
      </w:r>
      <w:r w:rsidR="00755C67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, Biblioteka Główna, </w:t>
      </w:r>
      <w:r w:rsidR="00546BE3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p.dobrowolski@akademia.mil.pl</w:t>
      </w:r>
      <w:hyperlink r:id="rId8" w:history="1"/>
      <w:r w:rsidR="00755C67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; </w:t>
      </w:r>
    </w:p>
    <w:p w:rsidR="00FB1271" w:rsidRPr="00F32768" w:rsidRDefault="00755C67" w:rsidP="00546BE3">
      <w:pPr>
        <w:pStyle w:val="Akapitzlist"/>
        <w:spacing w:after="0"/>
        <w:ind w:left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tel.: </w:t>
      </w:r>
      <w:r w:rsidR="007C2FD6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887 777</w:t>
      </w:r>
      <w:r w:rsidR="001E00E5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 </w:t>
      </w:r>
      <w:r w:rsidR="007C2FD6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522</w:t>
      </w:r>
    </w:p>
    <w:p w:rsidR="001E00E5" w:rsidRPr="00F32768" w:rsidRDefault="001E00E5" w:rsidP="001E00E5">
      <w:pPr>
        <w:spacing w:after="0"/>
        <w:jc w:val="both"/>
        <w:rPr>
          <w:rFonts w:ascii="Arial" w:hAnsi="Arial" w:cs="Arial"/>
        </w:rPr>
      </w:pPr>
    </w:p>
    <w:p w:rsidR="001E00E5" w:rsidRPr="00F32768" w:rsidRDefault="001E00E5" w:rsidP="001E00E5">
      <w:pPr>
        <w:spacing w:after="0"/>
        <w:jc w:val="both"/>
        <w:rPr>
          <w:rFonts w:ascii="Arial" w:hAnsi="Arial" w:cs="Arial"/>
        </w:rPr>
      </w:pPr>
    </w:p>
    <w:sectPr w:rsidR="001E00E5" w:rsidRPr="00F3276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E69" w:rsidRDefault="009A3E69" w:rsidP="00BB2420">
      <w:pPr>
        <w:spacing w:after="0" w:line="240" w:lineRule="auto"/>
      </w:pPr>
      <w:r>
        <w:separator/>
      </w:r>
    </w:p>
  </w:endnote>
  <w:endnote w:type="continuationSeparator" w:id="0">
    <w:p w:rsidR="009A3E69" w:rsidRDefault="009A3E6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03C1A" w:rsidRDefault="00803C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3E66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:rsidR="00803C1A" w:rsidRDefault="00803C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E69" w:rsidRDefault="009A3E69" w:rsidP="00BB2420">
      <w:pPr>
        <w:spacing w:after="0" w:line="240" w:lineRule="auto"/>
      </w:pPr>
      <w:r>
        <w:separator/>
      </w:r>
    </w:p>
  </w:footnote>
  <w:footnote w:type="continuationSeparator" w:id="0">
    <w:p w:rsidR="009A3E69" w:rsidRDefault="009A3E69" w:rsidP="00BB2420">
      <w:pPr>
        <w:spacing w:after="0" w:line="240" w:lineRule="auto"/>
      </w:pPr>
      <w:r>
        <w:continuationSeparator/>
      </w:r>
    </w:p>
  </w:footnote>
  <w:footnote w:id="1">
    <w:p w:rsidR="00803C1A" w:rsidRDefault="00803C1A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803C1A" w:rsidRDefault="00803C1A" w:rsidP="00ED66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8411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353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91BD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5036A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74141"/>
    <w:multiLevelType w:val="hybridMultilevel"/>
    <w:tmpl w:val="2EE68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C36D0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92A1B3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D1855E7"/>
    <w:multiLevelType w:val="hybridMultilevel"/>
    <w:tmpl w:val="771E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D85664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8"/>
  </w:num>
  <w:num w:numId="2">
    <w:abstractNumId w:val="2"/>
  </w:num>
  <w:num w:numId="3">
    <w:abstractNumId w:val="26"/>
  </w:num>
  <w:num w:numId="4">
    <w:abstractNumId w:val="13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9"/>
  </w:num>
  <w:num w:numId="14">
    <w:abstractNumId w:val="1"/>
  </w:num>
  <w:num w:numId="15">
    <w:abstractNumId w:val="23"/>
  </w:num>
  <w:num w:numId="16">
    <w:abstractNumId w:val="10"/>
  </w:num>
  <w:num w:numId="17">
    <w:abstractNumId w:val="16"/>
  </w:num>
  <w:num w:numId="18">
    <w:abstractNumId w:val="14"/>
  </w:num>
  <w:num w:numId="19">
    <w:abstractNumId w:val="12"/>
  </w:num>
  <w:num w:numId="20">
    <w:abstractNumId w:val="24"/>
  </w:num>
  <w:num w:numId="21">
    <w:abstractNumId w:val="25"/>
  </w:num>
  <w:num w:numId="22">
    <w:abstractNumId w:val="9"/>
  </w:num>
  <w:num w:numId="23">
    <w:abstractNumId w:val="4"/>
  </w:num>
  <w:num w:numId="24">
    <w:abstractNumId w:val="6"/>
  </w:num>
  <w:num w:numId="25">
    <w:abstractNumId w:val="11"/>
  </w:num>
  <w:num w:numId="26">
    <w:abstractNumId w:val="28"/>
  </w:num>
  <w:num w:numId="27">
    <w:abstractNumId w:val="17"/>
  </w:num>
  <w:num w:numId="28">
    <w:abstractNumId w:val="2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C02"/>
    <w:rsid w:val="00006E59"/>
    <w:rsid w:val="00013C6E"/>
    <w:rsid w:val="00013E66"/>
    <w:rsid w:val="0001628B"/>
    <w:rsid w:val="000253D9"/>
    <w:rsid w:val="0003294D"/>
    <w:rsid w:val="0003664E"/>
    <w:rsid w:val="0004243E"/>
    <w:rsid w:val="00042819"/>
    <w:rsid w:val="00043DD9"/>
    <w:rsid w:val="00044D68"/>
    <w:rsid w:val="00045218"/>
    <w:rsid w:val="00047D9D"/>
    <w:rsid w:val="00052AE2"/>
    <w:rsid w:val="00062FD5"/>
    <w:rsid w:val="00070663"/>
    <w:rsid w:val="000767E1"/>
    <w:rsid w:val="000767E7"/>
    <w:rsid w:val="00084E5B"/>
    <w:rsid w:val="00085B74"/>
    <w:rsid w:val="00086B5D"/>
    <w:rsid w:val="00087231"/>
    <w:rsid w:val="00090E2E"/>
    <w:rsid w:val="00095944"/>
    <w:rsid w:val="0009768C"/>
    <w:rsid w:val="000A1DFB"/>
    <w:rsid w:val="000A2F32"/>
    <w:rsid w:val="000A3938"/>
    <w:rsid w:val="000B3E49"/>
    <w:rsid w:val="000C3AE9"/>
    <w:rsid w:val="000D5922"/>
    <w:rsid w:val="000D785B"/>
    <w:rsid w:val="000E0060"/>
    <w:rsid w:val="000E1828"/>
    <w:rsid w:val="000E4BF8"/>
    <w:rsid w:val="000F20A9"/>
    <w:rsid w:val="000F307B"/>
    <w:rsid w:val="000F30B9"/>
    <w:rsid w:val="00101227"/>
    <w:rsid w:val="001052B2"/>
    <w:rsid w:val="00112BB3"/>
    <w:rsid w:val="001143DA"/>
    <w:rsid w:val="00114885"/>
    <w:rsid w:val="0011693F"/>
    <w:rsid w:val="00122388"/>
    <w:rsid w:val="001240AA"/>
    <w:rsid w:val="00124C3D"/>
    <w:rsid w:val="00141A92"/>
    <w:rsid w:val="00144072"/>
    <w:rsid w:val="0014482F"/>
    <w:rsid w:val="00145E84"/>
    <w:rsid w:val="0015102C"/>
    <w:rsid w:val="00160014"/>
    <w:rsid w:val="00160569"/>
    <w:rsid w:val="001719AC"/>
    <w:rsid w:val="00176FBB"/>
    <w:rsid w:val="00181E97"/>
    <w:rsid w:val="00182A08"/>
    <w:rsid w:val="00184922"/>
    <w:rsid w:val="00187572"/>
    <w:rsid w:val="001A0CCD"/>
    <w:rsid w:val="001A2EF2"/>
    <w:rsid w:val="001A6944"/>
    <w:rsid w:val="001B335F"/>
    <w:rsid w:val="001B6473"/>
    <w:rsid w:val="001B75E0"/>
    <w:rsid w:val="001C2D74"/>
    <w:rsid w:val="001C7FAC"/>
    <w:rsid w:val="001D4342"/>
    <w:rsid w:val="001D7E93"/>
    <w:rsid w:val="001E00E5"/>
    <w:rsid w:val="001E0CAC"/>
    <w:rsid w:val="001E16A3"/>
    <w:rsid w:val="001E1DEA"/>
    <w:rsid w:val="001E27CF"/>
    <w:rsid w:val="001E7199"/>
    <w:rsid w:val="001F24A0"/>
    <w:rsid w:val="001F67EC"/>
    <w:rsid w:val="00202A11"/>
    <w:rsid w:val="0020330A"/>
    <w:rsid w:val="0020627F"/>
    <w:rsid w:val="00213077"/>
    <w:rsid w:val="00230462"/>
    <w:rsid w:val="00237279"/>
    <w:rsid w:val="00240D69"/>
    <w:rsid w:val="00241B5E"/>
    <w:rsid w:val="00245774"/>
    <w:rsid w:val="00252087"/>
    <w:rsid w:val="002560E7"/>
    <w:rsid w:val="00261D7E"/>
    <w:rsid w:val="002752B8"/>
    <w:rsid w:val="00276C00"/>
    <w:rsid w:val="002806A9"/>
    <w:rsid w:val="00284905"/>
    <w:rsid w:val="002877C9"/>
    <w:rsid w:val="002977B2"/>
    <w:rsid w:val="00297DC3"/>
    <w:rsid w:val="002A1C20"/>
    <w:rsid w:val="002A3983"/>
    <w:rsid w:val="002A3C02"/>
    <w:rsid w:val="002A5452"/>
    <w:rsid w:val="002A6198"/>
    <w:rsid w:val="002B199A"/>
    <w:rsid w:val="002B4889"/>
    <w:rsid w:val="002B50C0"/>
    <w:rsid w:val="002B6F21"/>
    <w:rsid w:val="002C1D41"/>
    <w:rsid w:val="002C42C6"/>
    <w:rsid w:val="002C515E"/>
    <w:rsid w:val="002D3D4A"/>
    <w:rsid w:val="002D7ADA"/>
    <w:rsid w:val="002E5A5E"/>
    <w:rsid w:val="002F31D2"/>
    <w:rsid w:val="002F517E"/>
    <w:rsid w:val="002F5A5F"/>
    <w:rsid w:val="0030196F"/>
    <w:rsid w:val="00302775"/>
    <w:rsid w:val="00304D04"/>
    <w:rsid w:val="00310D8E"/>
    <w:rsid w:val="003221F2"/>
    <w:rsid w:val="00322614"/>
    <w:rsid w:val="003252E6"/>
    <w:rsid w:val="00334A24"/>
    <w:rsid w:val="0034048C"/>
    <w:rsid w:val="003410FE"/>
    <w:rsid w:val="003450D8"/>
    <w:rsid w:val="003508E7"/>
    <w:rsid w:val="003542F1"/>
    <w:rsid w:val="0035573B"/>
    <w:rsid w:val="00355B28"/>
    <w:rsid w:val="00355BC0"/>
    <w:rsid w:val="00356A3E"/>
    <w:rsid w:val="003642B8"/>
    <w:rsid w:val="0036743A"/>
    <w:rsid w:val="003706A8"/>
    <w:rsid w:val="003745CE"/>
    <w:rsid w:val="00376850"/>
    <w:rsid w:val="0038096F"/>
    <w:rsid w:val="003864E9"/>
    <w:rsid w:val="0039100E"/>
    <w:rsid w:val="003A1A49"/>
    <w:rsid w:val="003A4115"/>
    <w:rsid w:val="003A757D"/>
    <w:rsid w:val="003B328E"/>
    <w:rsid w:val="003B3549"/>
    <w:rsid w:val="003B5B7A"/>
    <w:rsid w:val="003C7325"/>
    <w:rsid w:val="003D666B"/>
    <w:rsid w:val="003D7DD0"/>
    <w:rsid w:val="003E08E0"/>
    <w:rsid w:val="003E3144"/>
    <w:rsid w:val="003E41F5"/>
    <w:rsid w:val="003E6008"/>
    <w:rsid w:val="003F660D"/>
    <w:rsid w:val="003F70FD"/>
    <w:rsid w:val="00402BA3"/>
    <w:rsid w:val="00405EA4"/>
    <w:rsid w:val="0041034F"/>
    <w:rsid w:val="0041151A"/>
    <w:rsid w:val="004118A3"/>
    <w:rsid w:val="0041284A"/>
    <w:rsid w:val="00415CBB"/>
    <w:rsid w:val="00422A9C"/>
    <w:rsid w:val="00422F34"/>
    <w:rsid w:val="00423A26"/>
    <w:rsid w:val="004247DC"/>
    <w:rsid w:val="00425046"/>
    <w:rsid w:val="004350B8"/>
    <w:rsid w:val="00436ADB"/>
    <w:rsid w:val="00443811"/>
    <w:rsid w:val="00444AAB"/>
    <w:rsid w:val="00444C88"/>
    <w:rsid w:val="00450089"/>
    <w:rsid w:val="0047092A"/>
    <w:rsid w:val="00470A61"/>
    <w:rsid w:val="00472144"/>
    <w:rsid w:val="0047599E"/>
    <w:rsid w:val="00487DBD"/>
    <w:rsid w:val="00491A5A"/>
    <w:rsid w:val="004B17AA"/>
    <w:rsid w:val="004C1D48"/>
    <w:rsid w:val="004C2CA9"/>
    <w:rsid w:val="004D2B86"/>
    <w:rsid w:val="004D65CA"/>
    <w:rsid w:val="004F6E89"/>
    <w:rsid w:val="004F6FAE"/>
    <w:rsid w:val="0051442D"/>
    <w:rsid w:val="00517F12"/>
    <w:rsid w:val="0052102C"/>
    <w:rsid w:val="00524E6C"/>
    <w:rsid w:val="0053151F"/>
    <w:rsid w:val="005332D6"/>
    <w:rsid w:val="005379F9"/>
    <w:rsid w:val="005429D1"/>
    <w:rsid w:val="0054300C"/>
    <w:rsid w:val="00544DFE"/>
    <w:rsid w:val="00544EFA"/>
    <w:rsid w:val="00546BE3"/>
    <w:rsid w:val="005474E7"/>
    <w:rsid w:val="00550682"/>
    <w:rsid w:val="00552A2F"/>
    <w:rsid w:val="00555DEE"/>
    <w:rsid w:val="005564AD"/>
    <w:rsid w:val="00561236"/>
    <w:rsid w:val="005646E7"/>
    <w:rsid w:val="005734CE"/>
    <w:rsid w:val="00586664"/>
    <w:rsid w:val="00593290"/>
    <w:rsid w:val="005939F2"/>
    <w:rsid w:val="0059415B"/>
    <w:rsid w:val="005A12F7"/>
    <w:rsid w:val="005A1B30"/>
    <w:rsid w:val="005A1C5F"/>
    <w:rsid w:val="005A38A3"/>
    <w:rsid w:val="005A475F"/>
    <w:rsid w:val="005A6D1D"/>
    <w:rsid w:val="005B04FC"/>
    <w:rsid w:val="005B1A32"/>
    <w:rsid w:val="005B636D"/>
    <w:rsid w:val="005B72C4"/>
    <w:rsid w:val="005C0469"/>
    <w:rsid w:val="005C6116"/>
    <w:rsid w:val="005C77BB"/>
    <w:rsid w:val="005D17CF"/>
    <w:rsid w:val="005D2DC4"/>
    <w:rsid w:val="005D5AAB"/>
    <w:rsid w:val="005D6E12"/>
    <w:rsid w:val="005E0ED8"/>
    <w:rsid w:val="005E56CE"/>
    <w:rsid w:val="005E6ABD"/>
    <w:rsid w:val="005F41FA"/>
    <w:rsid w:val="00600AE4"/>
    <w:rsid w:val="00601CA9"/>
    <w:rsid w:val="006054AA"/>
    <w:rsid w:val="00610479"/>
    <w:rsid w:val="0062054D"/>
    <w:rsid w:val="00622268"/>
    <w:rsid w:val="006334BF"/>
    <w:rsid w:val="00635A54"/>
    <w:rsid w:val="006419AA"/>
    <w:rsid w:val="00653DD8"/>
    <w:rsid w:val="006615FC"/>
    <w:rsid w:val="00661A62"/>
    <w:rsid w:val="006622A9"/>
    <w:rsid w:val="00665565"/>
    <w:rsid w:val="0066742B"/>
    <w:rsid w:val="006731D9"/>
    <w:rsid w:val="0068118B"/>
    <w:rsid w:val="006822BC"/>
    <w:rsid w:val="0068491D"/>
    <w:rsid w:val="006A60AA"/>
    <w:rsid w:val="006B034F"/>
    <w:rsid w:val="006B109D"/>
    <w:rsid w:val="006B20C5"/>
    <w:rsid w:val="006B5117"/>
    <w:rsid w:val="006B5291"/>
    <w:rsid w:val="006B7879"/>
    <w:rsid w:val="006C423F"/>
    <w:rsid w:val="006C7427"/>
    <w:rsid w:val="006D41A5"/>
    <w:rsid w:val="006D6B03"/>
    <w:rsid w:val="006D7D39"/>
    <w:rsid w:val="006E0CFA"/>
    <w:rsid w:val="006E4021"/>
    <w:rsid w:val="006E6205"/>
    <w:rsid w:val="006E7CF5"/>
    <w:rsid w:val="006F50D8"/>
    <w:rsid w:val="006F61A2"/>
    <w:rsid w:val="00701800"/>
    <w:rsid w:val="00703436"/>
    <w:rsid w:val="00704F0E"/>
    <w:rsid w:val="00725708"/>
    <w:rsid w:val="00740A47"/>
    <w:rsid w:val="0074403F"/>
    <w:rsid w:val="00746ABD"/>
    <w:rsid w:val="0075097F"/>
    <w:rsid w:val="00755C67"/>
    <w:rsid w:val="0075612B"/>
    <w:rsid w:val="007673EF"/>
    <w:rsid w:val="00771303"/>
    <w:rsid w:val="0077418F"/>
    <w:rsid w:val="00775C44"/>
    <w:rsid w:val="00784119"/>
    <w:rsid w:val="007924CE"/>
    <w:rsid w:val="00793924"/>
    <w:rsid w:val="00795AFA"/>
    <w:rsid w:val="007A0123"/>
    <w:rsid w:val="007A082B"/>
    <w:rsid w:val="007A4742"/>
    <w:rsid w:val="007A7536"/>
    <w:rsid w:val="007B0251"/>
    <w:rsid w:val="007C2F7E"/>
    <w:rsid w:val="007C2FD6"/>
    <w:rsid w:val="007C6235"/>
    <w:rsid w:val="007D1990"/>
    <w:rsid w:val="007D2C34"/>
    <w:rsid w:val="007D38BD"/>
    <w:rsid w:val="007D3D75"/>
    <w:rsid w:val="007D3F21"/>
    <w:rsid w:val="007D59A3"/>
    <w:rsid w:val="007E341A"/>
    <w:rsid w:val="007E7719"/>
    <w:rsid w:val="007F126F"/>
    <w:rsid w:val="007F2235"/>
    <w:rsid w:val="007F7D1C"/>
    <w:rsid w:val="008032EE"/>
    <w:rsid w:val="00803C1A"/>
    <w:rsid w:val="00806134"/>
    <w:rsid w:val="00830B70"/>
    <w:rsid w:val="0083473B"/>
    <w:rsid w:val="00840749"/>
    <w:rsid w:val="008416BC"/>
    <w:rsid w:val="00847ACB"/>
    <w:rsid w:val="00854061"/>
    <w:rsid w:val="0085467C"/>
    <w:rsid w:val="008568A6"/>
    <w:rsid w:val="0086334F"/>
    <w:rsid w:val="0087452F"/>
    <w:rsid w:val="00874DEC"/>
    <w:rsid w:val="00875528"/>
    <w:rsid w:val="00880A80"/>
    <w:rsid w:val="00884686"/>
    <w:rsid w:val="008946CB"/>
    <w:rsid w:val="0089611C"/>
    <w:rsid w:val="008A332F"/>
    <w:rsid w:val="008A3768"/>
    <w:rsid w:val="008A52F6"/>
    <w:rsid w:val="008A54DC"/>
    <w:rsid w:val="008B1CB5"/>
    <w:rsid w:val="008B7F7B"/>
    <w:rsid w:val="008C02F9"/>
    <w:rsid w:val="008C1F85"/>
    <w:rsid w:val="008C4BCD"/>
    <w:rsid w:val="008C4DA3"/>
    <w:rsid w:val="008C6721"/>
    <w:rsid w:val="008D3826"/>
    <w:rsid w:val="008E6991"/>
    <w:rsid w:val="008F2D9B"/>
    <w:rsid w:val="008F7E58"/>
    <w:rsid w:val="0090253F"/>
    <w:rsid w:val="00902CD5"/>
    <w:rsid w:val="00907F6D"/>
    <w:rsid w:val="00911190"/>
    <w:rsid w:val="0091332C"/>
    <w:rsid w:val="00920E61"/>
    <w:rsid w:val="009256F2"/>
    <w:rsid w:val="00925D9D"/>
    <w:rsid w:val="00933BEC"/>
    <w:rsid w:val="00936729"/>
    <w:rsid w:val="0094622A"/>
    <w:rsid w:val="00950F4F"/>
    <w:rsid w:val="0095154A"/>
    <w:rsid w:val="0095183B"/>
    <w:rsid w:val="009520AE"/>
    <w:rsid w:val="00952126"/>
    <w:rsid w:val="00952617"/>
    <w:rsid w:val="0095491D"/>
    <w:rsid w:val="009663A6"/>
    <w:rsid w:val="009668AA"/>
    <w:rsid w:val="00971A40"/>
    <w:rsid w:val="009743F7"/>
    <w:rsid w:val="00976434"/>
    <w:rsid w:val="00992EA3"/>
    <w:rsid w:val="00993A31"/>
    <w:rsid w:val="009967CA"/>
    <w:rsid w:val="009A17FF"/>
    <w:rsid w:val="009A3E69"/>
    <w:rsid w:val="009B085E"/>
    <w:rsid w:val="009B115B"/>
    <w:rsid w:val="009B4423"/>
    <w:rsid w:val="009C6140"/>
    <w:rsid w:val="009D0103"/>
    <w:rsid w:val="009D2FA4"/>
    <w:rsid w:val="009D4929"/>
    <w:rsid w:val="009D60BE"/>
    <w:rsid w:val="009D7D8A"/>
    <w:rsid w:val="009E223C"/>
    <w:rsid w:val="009E384E"/>
    <w:rsid w:val="009E4C67"/>
    <w:rsid w:val="009F09BF"/>
    <w:rsid w:val="009F10BD"/>
    <w:rsid w:val="009F10C6"/>
    <w:rsid w:val="009F1DC8"/>
    <w:rsid w:val="009F36B3"/>
    <w:rsid w:val="009F437E"/>
    <w:rsid w:val="009F4EBE"/>
    <w:rsid w:val="009F7E62"/>
    <w:rsid w:val="00A00C40"/>
    <w:rsid w:val="00A01096"/>
    <w:rsid w:val="00A01B65"/>
    <w:rsid w:val="00A022CD"/>
    <w:rsid w:val="00A05D6E"/>
    <w:rsid w:val="00A11788"/>
    <w:rsid w:val="00A14A0F"/>
    <w:rsid w:val="00A14F64"/>
    <w:rsid w:val="00A16611"/>
    <w:rsid w:val="00A175B8"/>
    <w:rsid w:val="00A21DAB"/>
    <w:rsid w:val="00A232C7"/>
    <w:rsid w:val="00A26565"/>
    <w:rsid w:val="00A26CF1"/>
    <w:rsid w:val="00A30847"/>
    <w:rsid w:val="00A36AE2"/>
    <w:rsid w:val="00A43E49"/>
    <w:rsid w:val="00A44EA2"/>
    <w:rsid w:val="00A5255C"/>
    <w:rsid w:val="00A56D63"/>
    <w:rsid w:val="00A5754D"/>
    <w:rsid w:val="00A6141B"/>
    <w:rsid w:val="00A64D37"/>
    <w:rsid w:val="00A66925"/>
    <w:rsid w:val="00A67685"/>
    <w:rsid w:val="00A728AE"/>
    <w:rsid w:val="00A73764"/>
    <w:rsid w:val="00A804AE"/>
    <w:rsid w:val="00A8168A"/>
    <w:rsid w:val="00A822B4"/>
    <w:rsid w:val="00A86449"/>
    <w:rsid w:val="00A87C1C"/>
    <w:rsid w:val="00A91EF6"/>
    <w:rsid w:val="00A92EF4"/>
    <w:rsid w:val="00A970CA"/>
    <w:rsid w:val="00A978E2"/>
    <w:rsid w:val="00AA04D4"/>
    <w:rsid w:val="00AA45A9"/>
    <w:rsid w:val="00AA4CAB"/>
    <w:rsid w:val="00AA51AD"/>
    <w:rsid w:val="00AB2E01"/>
    <w:rsid w:val="00AB2FFB"/>
    <w:rsid w:val="00AB68DA"/>
    <w:rsid w:val="00AC2E4D"/>
    <w:rsid w:val="00AC7E26"/>
    <w:rsid w:val="00AD45BB"/>
    <w:rsid w:val="00AD5285"/>
    <w:rsid w:val="00AE0BA8"/>
    <w:rsid w:val="00AE1643"/>
    <w:rsid w:val="00AE3A6C"/>
    <w:rsid w:val="00AE4960"/>
    <w:rsid w:val="00AF09B8"/>
    <w:rsid w:val="00AF567D"/>
    <w:rsid w:val="00B04981"/>
    <w:rsid w:val="00B11071"/>
    <w:rsid w:val="00B12566"/>
    <w:rsid w:val="00B12FCD"/>
    <w:rsid w:val="00B17606"/>
    <w:rsid w:val="00B17709"/>
    <w:rsid w:val="00B20F7C"/>
    <w:rsid w:val="00B21128"/>
    <w:rsid w:val="00B27604"/>
    <w:rsid w:val="00B36252"/>
    <w:rsid w:val="00B379C9"/>
    <w:rsid w:val="00B41415"/>
    <w:rsid w:val="00B43EE0"/>
    <w:rsid w:val="00B440C3"/>
    <w:rsid w:val="00B462DE"/>
    <w:rsid w:val="00B468F7"/>
    <w:rsid w:val="00B50560"/>
    <w:rsid w:val="00B50D47"/>
    <w:rsid w:val="00B64B3C"/>
    <w:rsid w:val="00B673C6"/>
    <w:rsid w:val="00B7343E"/>
    <w:rsid w:val="00B74859"/>
    <w:rsid w:val="00B87D3D"/>
    <w:rsid w:val="00B87FFC"/>
    <w:rsid w:val="00B906BF"/>
    <w:rsid w:val="00B91A1F"/>
    <w:rsid w:val="00B91F58"/>
    <w:rsid w:val="00B934B1"/>
    <w:rsid w:val="00BA35DA"/>
    <w:rsid w:val="00BA481C"/>
    <w:rsid w:val="00BB059E"/>
    <w:rsid w:val="00BB21BF"/>
    <w:rsid w:val="00BB2420"/>
    <w:rsid w:val="00BB5ACE"/>
    <w:rsid w:val="00BC1BD2"/>
    <w:rsid w:val="00BC579B"/>
    <w:rsid w:val="00BC6042"/>
    <w:rsid w:val="00BC6BE4"/>
    <w:rsid w:val="00BD1732"/>
    <w:rsid w:val="00BD3DB7"/>
    <w:rsid w:val="00BD7417"/>
    <w:rsid w:val="00BE47CD"/>
    <w:rsid w:val="00BE5BF9"/>
    <w:rsid w:val="00BF40E9"/>
    <w:rsid w:val="00C0026E"/>
    <w:rsid w:val="00C0227B"/>
    <w:rsid w:val="00C03B58"/>
    <w:rsid w:val="00C1106C"/>
    <w:rsid w:val="00C22179"/>
    <w:rsid w:val="00C24101"/>
    <w:rsid w:val="00C25A39"/>
    <w:rsid w:val="00C26361"/>
    <w:rsid w:val="00C27DA8"/>
    <w:rsid w:val="00C30235"/>
    <w:rsid w:val="00C302F1"/>
    <w:rsid w:val="00C35C24"/>
    <w:rsid w:val="00C42AEA"/>
    <w:rsid w:val="00C4666C"/>
    <w:rsid w:val="00C47F42"/>
    <w:rsid w:val="00C54D09"/>
    <w:rsid w:val="00C57985"/>
    <w:rsid w:val="00C60C84"/>
    <w:rsid w:val="00C6488D"/>
    <w:rsid w:val="00C6751B"/>
    <w:rsid w:val="00C70D88"/>
    <w:rsid w:val="00C86AAC"/>
    <w:rsid w:val="00C92848"/>
    <w:rsid w:val="00CA0CBA"/>
    <w:rsid w:val="00CA516B"/>
    <w:rsid w:val="00CA608B"/>
    <w:rsid w:val="00CB3E02"/>
    <w:rsid w:val="00CC5F35"/>
    <w:rsid w:val="00CC7E21"/>
    <w:rsid w:val="00CD7563"/>
    <w:rsid w:val="00CE5600"/>
    <w:rsid w:val="00CE74F9"/>
    <w:rsid w:val="00CE7777"/>
    <w:rsid w:val="00CF2E64"/>
    <w:rsid w:val="00CF300D"/>
    <w:rsid w:val="00CF434B"/>
    <w:rsid w:val="00CF47F6"/>
    <w:rsid w:val="00D00A8C"/>
    <w:rsid w:val="00D21C05"/>
    <w:rsid w:val="00D25CFE"/>
    <w:rsid w:val="00D34056"/>
    <w:rsid w:val="00D3585F"/>
    <w:rsid w:val="00D36802"/>
    <w:rsid w:val="00D4607F"/>
    <w:rsid w:val="00D468A5"/>
    <w:rsid w:val="00D4692D"/>
    <w:rsid w:val="00D556DB"/>
    <w:rsid w:val="00D57025"/>
    <w:rsid w:val="00D57765"/>
    <w:rsid w:val="00D60A09"/>
    <w:rsid w:val="00D61368"/>
    <w:rsid w:val="00D63538"/>
    <w:rsid w:val="00D70840"/>
    <w:rsid w:val="00D76022"/>
    <w:rsid w:val="00D77F50"/>
    <w:rsid w:val="00D803B6"/>
    <w:rsid w:val="00D80739"/>
    <w:rsid w:val="00D8497C"/>
    <w:rsid w:val="00D859F4"/>
    <w:rsid w:val="00D85A52"/>
    <w:rsid w:val="00D86FEC"/>
    <w:rsid w:val="00D9374F"/>
    <w:rsid w:val="00D9431A"/>
    <w:rsid w:val="00D95631"/>
    <w:rsid w:val="00D96507"/>
    <w:rsid w:val="00DA1913"/>
    <w:rsid w:val="00DA34DF"/>
    <w:rsid w:val="00DA5860"/>
    <w:rsid w:val="00DB5369"/>
    <w:rsid w:val="00DB69FD"/>
    <w:rsid w:val="00DC0A8A"/>
    <w:rsid w:val="00DC1705"/>
    <w:rsid w:val="00DC39A9"/>
    <w:rsid w:val="00DC4C79"/>
    <w:rsid w:val="00DD2958"/>
    <w:rsid w:val="00DD3E9A"/>
    <w:rsid w:val="00DD7A96"/>
    <w:rsid w:val="00DD7B8B"/>
    <w:rsid w:val="00DE4A62"/>
    <w:rsid w:val="00DE6249"/>
    <w:rsid w:val="00DE731D"/>
    <w:rsid w:val="00DF1F30"/>
    <w:rsid w:val="00DF65E2"/>
    <w:rsid w:val="00E005A4"/>
    <w:rsid w:val="00E0076D"/>
    <w:rsid w:val="00E11B44"/>
    <w:rsid w:val="00E159EE"/>
    <w:rsid w:val="00E15DEB"/>
    <w:rsid w:val="00E1688D"/>
    <w:rsid w:val="00E203EB"/>
    <w:rsid w:val="00E232F8"/>
    <w:rsid w:val="00E31BC6"/>
    <w:rsid w:val="00E33AC5"/>
    <w:rsid w:val="00E35401"/>
    <w:rsid w:val="00E375DB"/>
    <w:rsid w:val="00E42938"/>
    <w:rsid w:val="00E43205"/>
    <w:rsid w:val="00E4384C"/>
    <w:rsid w:val="00E47508"/>
    <w:rsid w:val="00E4756C"/>
    <w:rsid w:val="00E53739"/>
    <w:rsid w:val="00E540D6"/>
    <w:rsid w:val="00E55566"/>
    <w:rsid w:val="00E55EB0"/>
    <w:rsid w:val="00E57BB7"/>
    <w:rsid w:val="00E57E6D"/>
    <w:rsid w:val="00E60519"/>
    <w:rsid w:val="00E61654"/>
    <w:rsid w:val="00E61CB0"/>
    <w:rsid w:val="00E628AD"/>
    <w:rsid w:val="00E654DB"/>
    <w:rsid w:val="00E71256"/>
    <w:rsid w:val="00E71BCF"/>
    <w:rsid w:val="00E80653"/>
    <w:rsid w:val="00E80983"/>
    <w:rsid w:val="00E81D7C"/>
    <w:rsid w:val="00E83FA4"/>
    <w:rsid w:val="00E86020"/>
    <w:rsid w:val="00E916A8"/>
    <w:rsid w:val="00E9662D"/>
    <w:rsid w:val="00EA0B4F"/>
    <w:rsid w:val="00EA702E"/>
    <w:rsid w:val="00EB1E3C"/>
    <w:rsid w:val="00EC2AFC"/>
    <w:rsid w:val="00EC56D8"/>
    <w:rsid w:val="00ED66EC"/>
    <w:rsid w:val="00EE6E7F"/>
    <w:rsid w:val="00EE772A"/>
    <w:rsid w:val="00EF1487"/>
    <w:rsid w:val="00F07601"/>
    <w:rsid w:val="00F11316"/>
    <w:rsid w:val="00F114A3"/>
    <w:rsid w:val="00F127E9"/>
    <w:rsid w:val="00F138F7"/>
    <w:rsid w:val="00F16923"/>
    <w:rsid w:val="00F174B7"/>
    <w:rsid w:val="00F2008A"/>
    <w:rsid w:val="00F21D9E"/>
    <w:rsid w:val="00F25348"/>
    <w:rsid w:val="00F27CAF"/>
    <w:rsid w:val="00F32768"/>
    <w:rsid w:val="00F412DB"/>
    <w:rsid w:val="00F42F6E"/>
    <w:rsid w:val="00F43318"/>
    <w:rsid w:val="00F43D2D"/>
    <w:rsid w:val="00F45506"/>
    <w:rsid w:val="00F46FC2"/>
    <w:rsid w:val="00F47A18"/>
    <w:rsid w:val="00F50D95"/>
    <w:rsid w:val="00F55924"/>
    <w:rsid w:val="00F5598C"/>
    <w:rsid w:val="00F57A0C"/>
    <w:rsid w:val="00F60062"/>
    <w:rsid w:val="00F613CC"/>
    <w:rsid w:val="00F70410"/>
    <w:rsid w:val="00F720F5"/>
    <w:rsid w:val="00F75596"/>
    <w:rsid w:val="00F765D0"/>
    <w:rsid w:val="00F76777"/>
    <w:rsid w:val="00F82E2A"/>
    <w:rsid w:val="00F83F2F"/>
    <w:rsid w:val="00F86555"/>
    <w:rsid w:val="00F90F65"/>
    <w:rsid w:val="00F9769E"/>
    <w:rsid w:val="00FB09CC"/>
    <w:rsid w:val="00FB1271"/>
    <w:rsid w:val="00FC3502"/>
    <w:rsid w:val="00FC3B03"/>
    <w:rsid w:val="00FE478C"/>
    <w:rsid w:val="00FE7AC8"/>
    <w:rsid w:val="00FF03A2"/>
    <w:rsid w:val="00FF049E"/>
    <w:rsid w:val="00FF22C4"/>
    <w:rsid w:val="00FF3E95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55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asinska@akademia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6556C-73A7-4B09-8626-EE2EAA68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2770</Words>
  <Characters>16623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2020-05-29T13:55:00Z</dcterms:created>
  <dcterms:modified xsi:type="dcterms:W3CDTF">2020-05-29T13:58:00Z</dcterms:modified>
</cp:coreProperties>
</file>