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7C" w:rsidRDefault="00D4736F">
      <w:pPr>
        <w:pStyle w:val="Nagweklubstopka0"/>
        <w:framePr w:wrap="none" w:vAnchor="page" w:hAnchor="page" w:x="4783" w:y="1908"/>
        <w:shd w:val="clear" w:color="auto" w:fill="auto"/>
        <w:spacing w:line="240" w:lineRule="exact"/>
      </w:pPr>
      <w:bookmarkStart w:id="0" w:name="_GoBack"/>
      <w:bookmarkEnd w:id="0"/>
      <w:r>
        <w:t>POROZUMIENIE</w:t>
      </w:r>
    </w:p>
    <w:p w:rsidR="00DD097C" w:rsidRDefault="00D4736F">
      <w:pPr>
        <w:pStyle w:val="Teksttreci20"/>
        <w:framePr w:wrap="none" w:vAnchor="page" w:hAnchor="page" w:x="1183" w:y="3255"/>
        <w:shd w:val="clear" w:color="auto" w:fill="auto"/>
        <w:spacing w:after="0" w:line="240" w:lineRule="exact"/>
        <w:ind w:firstLine="0"/>
        <w:jc w:val="left"/>
      </w:pPr>
      <w:r>
        <w:t>zawarte w dniu</w:t>
      </w:r>
    </w:p>
    <w:p w:rsidR="00DD097C" w:rsidRDefault="00DD097C">
      <w:pPr>
        <w:framePr w:wrap="none" w:vAnchor="page" w:hAnchor="page" w:x="2760" w:y="3028"/>
      </w:pPr>
    </w:p>
    <w:p w:rsidR="00DD097C" w:rsidRPr="006A4116" w:rsidRDefault="006A4116" w:rsidP="006A4116">
      <w:pPr>
        <w:pStyle w:val="Teksttreci20"/>
        <w:framePr w:wrap="none" w:vAnchor="page" w:hAnchor="page" w:x="1212" w:y="3287"/>
        <w:shd w:val="clear" w:color="auto" w:fill="auto"/>
        <w:spacing w:after="0" w:line="240" w:lineRule="exact"/>
        <w:ind w:right="3680" w:firstLine="0"/>
      </w:pPr>
      <w:r w:rsidRPr="006A4116">
        <w:t xml:space="preserve">                         </w:t>
      </w:r>
      <w:r>
        <w:t xml:space="preserve"> </w:t>
      </w:r>
      <w:r w:rsidRPr="006A4116">
        <w:t xml:space="preserve">16 grudnia </w:t>
      </w:r>
      <w:r w:rsidR="00D4736F" w:rsidRPr="006A4116">
        <w:t>2014 roku pomiędzy</w:t>
      </w:r>
    </w:p>
    <w:p w:rsidR="00DD097C" w:rsidRDefault="00D4736F">
      <w:pPr>
        <w:pStyle w:val="Teksttreci30"/>
        <w:framePr w:wrap="none" w:vAnchor="page" w:hAnchor="page" w:x="1212" w:y="4400"/>
        <w:shd w:val="clear" w:color="auto" w:fill="auto"/>
        <w:spacing w:before="0" w:after="0" w:line="240" w:lineRule="exact"/>
      </w:pPr>
      <w:r>
        <w:t>Komendantem Głównym Policji - gen. insp. dr Markiem Działoszyńskim</w:t>
      </w:r>
    </w:p>
    <w:p w:rsidR="00DD097C" w:rsidRDefault="00D4736F">
      <w:pPr>
        <w:pStyle w:val="Teksttreci20"/>
        <w:framePr w:w="9148" w:h="298" w:hRule="exact" w:wrap="none" w:vAnchor="page" w:hAnchor="page" w:x="1212" w:y="5227"/>
        <w:shd w:val="clear" w:color="auto" w:fill="auto"/>
        <w:spacing w:after="0" w:line="240" w:lineRule="exact"/>
        <w:ind w:left="20" w:firstLine="0"/>
        <w:jc w:val="center"/>
      </w:pPr>
      <w:r>
        <w:t>oraz</w:t>
      </w:r>
    </w:p>
    <w:p w:rsidR="00DD097C" w:rsidRDefault="00D4736F">
      <w:pPr>
        <w:pStyle w:val="Teksttreci30"/>
        <w:framePr w:wrap="none" w:vAnchor="page" w:hAnchor="page" w:x="1212" w:y="6045"/>
        <w:shd w:val="clear" w:color="auto" w:fill="auto"/>
        <w:spacing w:before="0" w:after="0" w:line="240" w:lineRule="exact"/>
      </w:pPr>
      <w:r>
        <w:t>Państwową Komisją Badania Wypadków Kolejowych</w:t>
      </w:r>
    </w:p>
    <w:p w:rsidR="00DD097C" w:rsidRDefault="00D4736F">
      <w:pPr>
        <w:pStyle w:val="Teksttreci20"/>
        <w:framePr w:wrap="none" w:vAnchor="page" w:hAnchor="page" w:x="1212" w:y="6880"/>
        <w:shd w:val="clear" w:color="auto" w:fill="auto"/>
        <w:spacing w:after="0" w:line="240" w:lineRule="exact"/>
        <w:ind w:firstLine="0"/>
      </w:pPr>
      <w:r>
        <w:t>reprezentowaną przez</w:t>
      </w:r>
    </w:p>
    <w:p w:rsidR="00DD097C" w:rsidRDefault="00D4736F">
      <w:pPr>
        <w:pStyle w:val="Teksttreci30"/>
        <w:framePr w:wrap="none" w:vAnchor="page" w:hAnchor="page" w:x="1212" w:y="7996"/>
        <w:shd w:val="clear" w:color="auto" w:fill="auto"/>
        <w:spacing w:before="0" w:after="0" w:line="240" w:lineRule="exact"/>
      </w:pPr>
      <w:r>
        <w:t>Przewodniczącego - Tadeusza Ryś</w:t>
      </w:r>
    </w:p>
    <w:p w:rsidR="00DD097C" w:rsidRDefault="00D4736F">
      <w:pPr>
        <w:pStyle w:val="Teksttreci20"/>
        <w:framePr w:w="9148" w:h="6729" w:hRule="exact" w:wrap="none" w:vAnchor="page" w:hAnchor="page" w:x="1212" w:y="9250"/>
        <w:shd w:val="clear" w:color="auto" w:fill="auto"/>
        <w:spacing w:after="0" w:line="414" w:lineRule="exact"/>
        <w:ind w:firstLine="0"/>
      </w:pPr>
      <w:r>
        <w:t>Komendant Główny Policji i Państwowa Komisja badania Wypadków Kolejowych, zwane dalej Stronami, kierując się dbałością o podnoszenie poziomu wiedzy i potrzebą wymiany doświadczeń w zakresie organizowania i prowadzenia czynności na miejscu katastrof komunikacyjnych (zdarzeń kolejowych), zawierają niniejsze porozumienie w celu określenia zasad współpracy w zakresie wzajemnego wspierania działań podejmowanych przez Strony na płaszczyźnie organizowanych i prowadzonych przez nie przedsięwzięć o charakterze szkoleniowym.</w:t>
      </w:r>
    </w:p>
    <w:p w:rsidR="00DD097C" w:rsidRDefault="00D4736F">
      <w:pPr>
        <w:pStyle w:val="Nagwek10"/>
        <w:framePr w:w="9148" w:h="6729" w:hRule="exact" w:wrap="none" w:vAnchor="page" w:hAnchor="page" w:x="1212" w:y="9250"/>
        <w:shd w:val="clear" w:color="auto" w:fill="auto"/>
        <w:ind w:left="20"/>
      </w:pPr>
      <w:bookmarkStart w:id="1" w:name="bookmark0"/>
      <w:r>
        <w:t>§ 1.</w:t>
      </w:r>
      <w:bookmarkEnd w:id="1"/>
    </w:p>
    <w:p w:rsidR="00DD097C" w:rsidRDefault="00D4736F">
      <w:pPr>
        <w:pStyle w:val="Teksttreci20"/>
        <w:framePr w:w="9148" w:h="6729" w:hRule="exact" w:wrap="none" w:vAnchor="page" w:hAnchor="page" w:x="1212" w:y="9250"/>
        <w:shd w:val="clear" w:color="auto" w:fill="auto"/>
        <w:spacing w:after="499" w:line="414" w:lineRule="exact"/>
        <w:ind w:firstLine="0"/>
      </w:pPr>
      <w:r>
        <w:t>Strony zobowiązują się do udzielania wzajemnego wsparcia na płaszczyźnie organizowanych i prowadzonych przez nie przedsięwzięć o charakterze szkoleniowym.</w:t>
      </w:r>
    </w:p>
    <w:p w:rsidR="00DD097C" w:rsidRDefault="00D4736F">
      <w:pPr>
        <w:pStyle w:val="Nagwek10"/>
        <w:framePr w:w="9148" w:h="6729" w:hRule="exact" w:wrap="none" w:vAnchor="page" w:hAnchor="page" w:x="1212" w:y="9250"/>
        <w:shd w:val="clear" w:color="auto" w:fill="auto"/>
        <w:spacing w:after="398" w:line="240" w:lineRule="exact"/>
        <w:ind w:left="20"/>
      </w:pPr>
      <w:bookmarkStart w:id="2" w:name="bookmark1"/>
      <w:r>
        <w:t>§2.</w:t>
      </w:r>
      <w:bookmarkEnd w:id="2"/>
    </w:p>
    <w:p w:rsidR="00DD097C" w:rsidRDefault="00D4736F">
      <w:pPr>
        <w:pStyle w:val="Teksttreci20"/>
        <w:framePr w:w="9148" w:h="6729" w:hRule="exact" w:wrap="none" w:vAnchor="page" w:hAnchor="page" w:x="1212" w:y="9250"/>
        <w:shd w:val="clear" w:color="auto" w:fill="auto"/>
        <w:spacing w:after="0" w:line="418" w:lineRule="exact"/>
        <w:ind w:firstLine="0"/>
      </w:pPr>
      <w:r>
        <w:t>Współpraca, w zakresie organizowanych i prowadzonych przedsięwzięć o charakterze szkoleniowym, o których mowa w § 1, będzie polegała w szczególności na:</w:t>
      </w:r>
    </w:p>
    <w:p w:rsidR="00DD097C" w:rsidRDefault="00DD097C">
      <w:pPr>
        <w:rPr>
          <w:sz w:val="2"/>
          <w:szCs w:val="2"/>
        </w:rPr>
        <w:sectPr w:rsidR="00DD09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7C" w:rsidRDefault="00D4736F">
      <w:pPr>
        <w:pStyle w:val="Teksttreci20"/>
        <w:framePr w:w="9155" w:h="5494" w:hRule="exact" w:wrap="none" w:vAnchor="page" w:hAnchor="page" w:x="1186" w:y="439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418" w:lineRule="exact"/>
        <w:ind w:left="1120"/>
        <w:jc w:val="left"/>
      </w:pPr>
      <w:r>
        <w:lastRenderedPageBreak/>
        <w:t>organizowaniu i prowadzeniu przez jedną ze Stron przedsięwzięć szkoleniowych odpowiadających potrzebom drugiej strony;</w:t>
      </w:r>
    </w:p>
    <w:p w:rsidR="00DD097C" w:rsidRDefault="00D4736F">
      <w:pPr>
        <w:pStyle w:val="Teksttreci20"/>
        <w:framePr w:w="9155" w:h="5494" w:hRule="exact" w:wrap="none" w:vAnchor="page" w:hAnchor="page" w:x="1186" w:y="439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418" w:lineRule="exact"/>
        <w:ind w:left="1120"/>
        <w:jc w:val="left"/>
      </w:pPr>
      <w:r>
        <w:t>wzajemnym delegowaniu przedstawicieli Stron do udziału w realizowanych przez nie przedsięwzięciach szkoleniowych;</w:t>
      </w:r>
    </w:p>
    <w:p w:rsidR="00DD097C" w:rsidRDefault="00D4736F">
      <w:pPr>
        <w:pStyle w:val="Teksttreci20"/>
        <w:framePr w:w="9155" w:h="5494" w:hRule="exact" w:wrap="none" w:vAnchor="page" w:hAnchor="page" w:x="1186" w:y="439"/>
        <w:numPr>
          <w:ilvl w:val="0"/>
          <w:numId w:val="1"/>
        </w:numPr>
        <w:shd w:val="clear" w:color="auto" w:fill="auto"/>
        <w:tabs>
          <w:tab w:val="left" w:pos="1112"/>
        </w:tabs>
        <w:spacing w:after="116" w:line="240" w:lineRule="exact"/>
        <w:ind w:left="460" w:firstLine="0"/>
      </w:pPr>
      <w:r>
        <w:t>udostępnianiu bazy szkoleniowej i pomieszczeń o charakterze dydaktycznym;</w:t>
      </w:r>
    </w:p>
    <w:p w:rsidR="00DD097C" w:rsidRDefault="00D4736F">
      <w:pPr>
        <w:pStyle w:val="Teksttreci20"/>
        <w:framePr w:w="9155" w:h="5494" w:hRule="exact" w:wrap="none" w:vAnchor="page" w:hAnchor="page" w:x="1186" w:y="439"/>
        <w:numPr>
          <w:ilvl w:val="0"/>
          <w:numId w:val="1"/>
        </w:numPr>
        <w:shd w:val="clear" w:color="auto" w:fill="auto"/>
        <w:tabs>
          <w:tab w:val="left" w:pos="1112"/>
        </w:tabs>
        <w:spacing w:after="544" w:line="240" w:lineRule="exact"/>
        <w:ind w:left="460" w:firstLine="0"/>
      </w:pPr>
      <w:r>
        <w:t>wymianie materiałów o charakterze szkoleniowym.</w:t>
      </w:r>
    </w:p>
    <w:p w:rsidR="00DD097C" w:rsidRDefault="00D4736F">
      <w:pPr>
        <w:pStyle w:val="Nagwek120"/>
        <w:framePr w:w="9155" w:h="5494" w:hRule="exact" w:wrap="none" w:vAnchor="page" w:hAnchor="page" w:x="1186" w:y="439"/>
        <w:shd w:val="clear" w:color="auto" w:fill="auto"/>
        <w:spacing w:before="0" w:after="392" w:line="230" w:lineRule="exact"/>
        <w:ind w:left="20"/>
      </w:pPr>
      <w:bookmarkStart w:id="3" w:name="bookmark2"/>
      <w:r>
        <w:t>§</w:t>
      </w:r>
      <w:r>
        <w:rPr>
          <w:rStyle w:val="Nagwek12TimesNewRoman115pt"/>
          <w:rFonts w:eastAsia="Corbel"/>
        </w:rPr>
        <w:t>3</w:t>
      </w:r>
      <w:r>
        <w:t>.</w:t>
      </w:r>
      <w:bookmarkEnd w:id="3"/>
    </w:p>
    <w:p w:rsidR="00DD097C" w:rsidRDefault="00D4736F">
      <w:pPr>
        <w:pStyle w:val="Teksttreci20"/>
        <w:framePr w:w="9155" w:h="5494" w:hRule="exact" w:wrap="none" w:vAnchor="page" w:hAnchor="page" w:x="1186" w:y="439"/>
        <w:shd w:val="clear" w:color="auto" w:fill="auto"/>
        <w:spacing w:after="0" w:line="414" w:lineRule="exact"/>
        <w:ind w:firstLine="0"/>
      </w:pPr>
      <w:r>
        <w:t>Strony deklarują poszanowanie autonomii w zakresie organizowanych przez nie przedsięwzięć o charakterze szkoleniowym i zobowiązują się do udzielania wzajemnego wsparcia w miarę istniejących możliwości, w stopniu nie utrudniającym wykonywania podstawowych, ciążących na nich zadań.</w:t>
      </w:r>
    </w:p>
    <w:p w:rsidR="00DD097C" w:rsidRDefault="00D4736F">
      <w:pPr>
        <w:pStyle w:val="Nagwek130"/>
        <w:framePr w:w="9155" w:h="1540" w:hRule="exact" w:wrap="none" w:vAnchor="page" w:hAnchor="page" w:x="1186" w:y="6465"/>
        <w:shd w:val="clear" w:color="auto" w:fill="auto"/>
        <w:spacing w:before="0" w:after="395" w:line="230" w:lineRule="exact"/>
        <w:ind w:left="20"/>
      </w:pPr>
      <w:bookmarkStart w:id="4" w:name="bookmark3"/>
      <w:r>
        <w:t>§</w:t>
      </w:r>
      <w:r>
        <w:rPr>
          <w:rStyle w:val="Nagwek13TimesNewRoman115pt"/>
          <w:rFonts w:eastAsia="Corbel"/>
        </w:rPr>
        <w:t>4</w:t>
      </w:r>
      <w:r>
        <w:t>.</w:t>
      </w:r>
      <w:bookmarkEnd w:id="4"/>
    </w:p>
    <w:p w:rsidR="00DD097C" w:rsidRDefault="00D4736F">
      <w:pPr>
        <w:pStyle w:val="Teksttreci20"/>
        <w:framePr w:w="9155" w:h="1540" w:hRule="exact" w:wrap="none" w:vAnchor="page" w:hAnchor="page" w:x="1186" w:y="6465"/>
        <w:shd w:val="clear" w:color="auto" w:fill="auto"/>
        <w:spacing w:after="0" w:line="410" w:lineRule="exact"/>
        <w:ind w:firstLine="0"/>
      </w:pPr>
      <w:r>
        <w:t>Wszelkie koszty związane z przedsięwzięciami, o których mowa w § 1, ponoszone będą przez Strony we własnym zakresie.</w:t>
      </w:r>
    </w:p>
    <w:p w:rsidR="00DD097C" w:rsidRDefault="00D4736F">
      <w:pPr>
        <w:pStyle w:val="Nagwek140"/>
        <w:framePr w:w="9155" w:h="7823" w:hRule="exact" w:wrap="none" w:vAnchor="page" w:hAnchor="page" w:x="1186" w:y="8535"/>
        <w:shd w:val="clear" w:color="auto" w:fill="auto"/>
        <w:spacing w:before="0" w:after="391" w:line="220" w:lineRule="exact"/>
        <w:ind w:left="20"/>
      </w:pPr>
      <w:bookmarkStart w:id="5" w:name="bookmark4"/>
      <w:r>
        <w:t>§</w:t>
      </w:r>
      <w:r>
        <w:rPr>
          <w:rStyle w:val="Nagwek14SegoeUI11pt"/>
        </w:rPr>
        <w:t>5</w:t>
      </w:r>
      <w:r>
        <w:t>.</w:t>
      </w:r>
      <w:bookmarkEnd w:id="5"/>
    </w:p>
    <w:p w:rsidR="00DD097C" w:rsidRDefault="00D4736F">
      <w:pPr>
        <w:pStyle w:val="Teksttreci20"/>
        <w:framePr w:w="9155" w:h="7823" w:hRule="exact" w:wrap="none" w:vAnchor="page" w:hAnchor="page" w:x="1186" w:y="8535"/>
        <w:shd w:val="clear" w:color="auto" w:fill="auto"/>
        <w:spacing w:after="510" w:line="418" w:lineRule="exact"/>
        <w:ind w:firstLine="0"/>
      </w:pPr>
      <w:r>
        <w:t>Komendant Główny Policji i Przewodniczący Państwowej Komisji Badania Wypadków Kolejowych będą się spotykać co najmniej raz na trzy lata, w celu wymiany opinii na temat współpracy oraz dokonania oceny funkcjonowania porozumienia.</w:t>
      </w:r>
    </w:p>
    <w:p w:rsidR="00DD097C" w:rsidRDefault="00D4736F">
      <w:pPr>
        <w:pStyle w:val="Nagwek150"/>
        <w:framePr w:w="9155" w:h="7823" w:hRule="exact" w:wrap="none" w:vAnchor="page" w:hAnchor="page" w:x="1186" w:y="8535"/>
        <w:shd w:val="clear" w:color="auto" w:fill="auto"/>
        <w:spacing w:before="0" w:after="386" w:line="230" w:lineRule="exact"/>
        <w:ind w:left="20"/>
      </w:pPr>
      <w:bookmarkStart w:id="6" w:name="bookmark5"/>
      <w:r>
        <w:t>§</w:t>
      </w:r>
      <w:r>
        <w:rPr>
          <w:rStyle w:val="Nagwek15ArialNarrow11pt"/>
        </w:rPr>
        <w:t>6</w:t>
      </w:r>
      <w:r>
        <w:t>.</w:t>
      </w:r>
      <w:bookmarkEnd w:id="6"/>
    </w:p>
    <w:p w:rsidR="00DD097C" w:rsidRDefault="00D4736F">
      <w:pPr>
        <w:pStyle w:val="Teksttreci20"/>
        <w:framePr w:w="9155" w:h="7823" w:hRule="exact" w:wrap="none" w:vAnchor="page" w:hAnchor="page" w:x="1186" w:y="8535"/>
        <w:shd w:val="clear" w:color="auto" w:fill="auto"/>
        <w:spacing w:after="0" w:line="421" w:lineRule="exact"/>
        <w:ind w:right="580" w:firstLine="0"/>
      </w:pPr>
      <w:r>
        <w:t>Wszelkie spory mogące wyniknąć w związku z realizacją postanowień porozumienia będą rozstrzygane w drodze negocjacji Stron porozumienia, dążąc do ich polubownego zakończenia.</w:t>
      </w:r>
    </w:p>
    <w:p w:rsidR="00DD097C" w:rsidRDefault="00D4736F">
      <w:pPr>
        <w:pStyle w:val="Nagwek160"/>
        <w:framePr w:w="9155" w:h="7823" w:hRule="exact" w:wrap="none" w:vAnchor="page" w:hAnchor="page" w:x="1186" w:y="8535"/>
        <w:shd w:val="clear" w:color="auto" w:fill="auto"/>
        <w:spacing w:after="363"/>
        <w:ind w:left="20"/>
      </w:pPr>
      <w:bookmarkStart w:id="7" w:name="bookmark6"/>
      <w:r>
        <w:t>§</w:t>
      </w:r>
      <w:r>
        <w:rPr>
          <w:rStyle w:val="Nagwek1611pt"/>
        </w:rPr>
        <w:t>7</w:t>
      </w:r>
      <w:r>
        <w:t>.</w:t>
      </w:r>
      <w:bookmarkEnd w:id="7"/>
    </w:p>
    <w:p w:rsidR="00DD097C" w:rsidRDefault="00D4736F">
      <w:pPr>
        <w:pStyle w:val="Teksttreci20"/>
        <w:framePr w:w="9155" w:h="7823" w:hRule="exact" w:wrap="none" w:vAnchor="page" w:hAnchor="page" w:x="1186" w:y="8535"/>
        <w:numPr>
          <w:ilvl w:val="0"/>
          <w:numId w:val="2"/>
        </w:numPr>
        <w:shd w:val="clear" w:color="auto" w:fill="auto"/>
        <w:tabs>
          <w:tab w:val="left" w:pos="1112"/>
        </w:tabs>
        <w:spacing w:after="0" w:line="418" w:lineRule="exact"/>
        <w:ind w:left="1120"/>
        <w:jc w:val="left"/>
      </w:pPr>
      <w:r>
        <w:t>Porozumienie zostaje zawarte na czas nieokreślony i wchodzi w życie z dniem podpisania.</w:t>
      </w:r>
    </w:p>
    <w:p w:rsidR="00DD097C" w:rsidRDefault="00D4736F">
      <w:pPr>
        <w:pStyle w:val="Teksttreci20"/>
        <w:framePr w:w="9155" w:h="7823" w:hRule="exact" w:wrap="none" w:vAnchor="page" w:hAnchor="page" w:x="1186" w:y="8535"/>
        <w:numPr>
          <w:ilvl w:val="0"/>
          <w:numId w:val="2"/>
        </w:numPr>
        <w:shd w:val="clear" w:color="auto" w:fill="auto"/>
        <w:tabs>
          <w:tab w:val="left" w:pos="1112"/>
        </w:tabs>
        <w:spacing w:after="0" w:line="418" w:lineRule="exact"/>
        <w:ind w:left="1120"/>
        <w:jc w:val="left"/>
      </w:pPr>
      <w:r>
        <w:t>Porozumienie może być zmieniane w formie pisemnego aneksu za zgodą obu Stron.</w:t>
      </w:r>
    </w:p>
    <w:p w:rsidR="00DD097C" w:rsidRDefault="00D4736F">
      <w:pPr>
        <w:pStyle w:val="Teksttreci20"/>
        <w:framePr w:w="9155" w:h="7823" w:hRule="exact" w:wrap="none" w:vAnchor="page" w:hAnchor="page" w:x="1186" w:y="8535"/>
        <w:numPr>
          <w:ilvl w:val="0"/>
          <w:numId w:val="2"/>
        </w:numPr>
        <w:shd w:val="clear" w:color="auto" w:fill="auto"/>
        <w:tabs>
          <w:tab w:val="left" w:pos="1112"/>
        </w:tabs>
        <w:spacing w:after="0" w:line="418" w:lineRule="exact"/>
        <w:ind w:left="1120"/>
        <w:jc w:val="left"/>
      </w:pPr>
      <w:r>
        <w:t>Każda ze Stron może wypowiedzieć porozumienie za trzymiesięcznym okresem wypowiedzenia.</w:t>
      </w:r>
    </w:p>
    <w:p w:rsidR="00DD097C" w:rsidRDefault="00DD097C">
      <w:pPr>
        <w:rPr>
          <w:sz w:val="2"/>
          <w:szCs w:val="2"/>
        </w:rPr>
        <w:sectPr w:rsidR="00DD09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7C" w:rsidRDefault="00D4736F">
      <w:pPr>
        <w:pStyle w:val="Nagweklubstopka0"/>
        <w:framePr w:wrap="none" w:vAnchor="page" w:hAnchor="page" w:x="5539" w:y="1023"/>
        <w:shd w:val="clear" w:color="auto" w:fill="auto"/>
        <w:spacing w:line="240" w:lineRule="exact"/>
      </w:pPr>
      <w:r>
        <w:lastRenderedPageBreak/>
        <w:t>§</w:t>
      </w:r>
      <w:r>
        <w:rPr>
          <w:rStyle w:val="NagweklubstopkaBezpogrubienia"/>
        </w:rPr>
        <w:t>8</w:t>
      </w:r>
      <w:r>
        <w:t>.</w:t>
      </w:r>
    </w:p>
    <w:p w:rsidR="00DD097C" w:rsidRDefault="00D4736F">
      <w:pPr>
        <w:pStyle w:val="Teksttreci20"/>
        <w:framePr w:w="9065" w:h="867" w:hRule="exact" w:wrap="none" w:vAnchor="page" w:hAnchor="page" w:x="1175" w:y="1710"/>
        <w:shd w:val="clear" w:color="auto" w:fill="auto"/>
        <w:spacing w:after="0" w:line="403" w:lineRule="exact"/>
        <w:ind w:firstLine="0"/>
      </w:pPr>
      <w:r>
        <w:t>Porozumienie sporządzono w dwóch jednobrzmiących egzemplarzach, po jednym dla każdej ze Stron.</w:t>
      </w:r>
    </w:p>
    <w:p w:rsidR="00DD097C" w:rsidRDefault="00D4736F" w:rsidP="005B7F7F">
      <w:pPr>
        <w:pStyle w:val="Podpisobrazu0"/>
        <w:framePr w:w="3672" w:h="883" w:hRule="exact" w:wrap="none" w:vAnchor="page" w:hAnchor="page" w:x="1164" w:y="5589"/>
        <w:shd w:val="clear" w:color="auto" w:fill="auto"/>
      </w:pPr>
      <w:r>
        <w:t>Przewodniczący Państwowej Komisji Badania Wypadków Kolejowych</w:t>
      </w:r>
    </w:p>
    <w:p w:rsidR="005B7F7F" w:rsidRDefault="005B7F7F" w:rsidP="005B7F7F">
      <w:pPr>
        <w:pStyle w:val="Podpisobrazu0"/>
        <w:framePr w:w="3672" w:h="883" w:hRule="exact" w:wrap="none" w:vAnchor="page" w:hAnchor="page" w:x="1164" w:y="5589"/>
        <w:shd w:val="clear" w:color="auto" w:fill="auto"/>
      </w:pPr>
      <w:r>
        <w:t>Przewodniczący Państwowej Komisji Badania Wypadków Kolejowych</w:t>
      </w:r>
    </w:p>
    <w:p w:rsidR="005B7F7F" w:rsidRDefault="005B7F7F" w:rsidP="005B7F7F">
      <w:pPr>
        <w:pStyle w:val="Podpisobrazu0"/>
        <w:framePr w:w="3672" w:h="883" w:hRule="exact" w:wrap="none" w:vAnchor="page" w:hAnchor="page" w:x="7044" w:y="5619"/>
        <w:shd w:val="clear" w:color="auto" w:fill="auto"/>
      </w:pPr>
      <w:r>
        <w:t>Komendant Główny Policji</w:t>
      </w:r>
    </w:p>
    <w:p w:rsidR="00DD097C" w:rsidRDefault="00DD097C" w:rsidP="005B7F7F">
      <w:pPr>
        <w:pStyle w:val="Podpisobrazu0"/>
        <w:framePr w:w="3672" w:h="883" w:hRule="exact" w:wrap="none" w:vAnchor="page" w:hAnchor="page" w:x="7044" w:y="5619"/>
        <w:shd w:val="clear" w:color="auto" w:fill="auto"/>
        <w:rPr>
          <w:sz w:val="2"/>
          <w:szCs w:val="2"/>
        </w:rPr>
      </w:pPr>
    </w:p>
    <w:sectPr w:rsidR="00DD09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D2" w:rsidRDefault="008F0CD2">
      <w:r>
        <w:separator/>
      </w:r>
    </w:p>
  </w:endnote>
  <w:endnote w:type="continuationSeparator" w:id="0">
    <w:p w:rsidR="008F0CD2" w:rsidRDefault="008F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D2" w:rsidRDefault="008F0CD2"/>
  </w:footnote>
  <w:footnote w:type="continuationSeparator" w:id="0">
    <w:p w:rsidR="008F0CD2" w:rsidRDefault="008F0C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4294"/>
    <w:multiLevelType w:val="multilevel"/>
    <w:tmpl w:val="C6568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2A70DD"/>
    <w:multiLevelType w:val="multilevel"/>
    <w:tmpl w:val="5A748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7C"/>
    <w:rsid w:val="004D1FB2"/>
    <w:rsid w:val="005B7F7F"/>
    <w:rsid w:val="006A4116"/>
    <w:rsid w:val="008F0CD2"/>
    <w:rsid w:val="00CB343D"/>
    <w:rsid w:val="00D4736F"/>
    <w:rsid w:val="00D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2B9EC-E6CF-4EB8-949C-0D62916F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2TimesNewRoman115pt">
    <w:name w:val="Nagłówek #1 (2) + Times New Roman;11;5 pt"/>
    <w:basedOn w:val="Nagwek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3">
    <w:name w:val="Nagłówek #1 (3)_"/>
    <w:basedOn w:val="Domylnaczcionkaakapitu"/>
    <w:link w:val="Nagwek130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3TimesNewRoman115pt">
    <w:name w:val="Nagłówek #1 (3) + Times New Roman;11;5 pt"/>
    <w:basedOn w:val="Nagwek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4SegoeUI11pt">
    <w:name w:val="Nagłówek #1 (4) + Segoe UI;11 pt"/>
    <w:basedOn w:val="Nagwek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5">
    <w:name w:val="Nagłówek #1 (5)_"/>
    <w:basedOn w:val="Domylnaczcionkaakapitu"/>
    <w:link w:val="Nagwek1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5ArialNarrow11pt">
    <w:name w:val="Nagłówek #1 (5) + Arial Narrow;11 pt"/>
    <w:basedOn w:val="Nagwek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6">
    <w:name w:val="Nagłówek #1 (6)_"/>
    <w:basedOn w:val="Domylnaczcionkaakapitu"/>
    <w:link w:val="Nagwek1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611pt">
    <w:name w:val="Nagłówek #1 (6) + 11 pt"/>
    <w:basedOn w:val="Nagwek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Bezpogrubienia">
    <w:name w:val="Nagłówek lub stopka + 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900" w:line="0" w:lineRule="atLeast"/>
      <w:ind w:hanging="660"/>
      <w:jc w:val="both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900" w:after="6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41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0" w:after="600" w:line="0" w:lineRule="atLeast"/>
      <w:jc w:val="center"/>
      <w:outlineLvl w:val="0"/>
    </w:pPr>
    <w:rPr>
      <w:rFonts w:ascii="Corbel" w:eastAsia="Corbel" w:hAnsi="Corbel" w:cs="Corbel"/>
      <w:sz w:val="20"/>
      <w:szCs w:val="20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360" w:after="600" w:line="0" w:lineRule="atLeast"/>
      <w:jc w:val="center"/>
      <w:outlineLvl w:val="0"/>
    </w:pPr>
    <w:rPr>
      <w:rFonts w:ascii="Corbel" w:eastAsia="Corbel" w:hAnsi="Corbel" w:cs="Corbel"/>
      <w:sz w:val="20"/>
      <w:szCs w:val="20"/>
    </w:rPr>
  </w:style>
  <w:style w:type="paragraph" w:customStyle="1" w:styleId="Nagwek140">
    <w:name w:val="Nagłówek #1 (4)"/>
    <w:basedOn w:val="Normalny"/>
    <w:link w:val="Nagwek14"/>
    <w:pPr>
      <w:shd w:val="clear" w:color="auto" w:fill="FFFFFF"/>
      <w:spacing w:before="360" w:after="600" w:line="0" w:lineRule="atLeast"/>
      <w:jc w:val="center"/>
      <w:outlineLvl w:val="0"/>
    </w:pPr>
    <w:rPr>
      <w:rFonts w:ascii="Tahoma" w:eastAsia="Tahoma" w:hAnsi="Tahoma" w:cs="Tahoma"/>
      <w:sz w:val="15"/>
      <w:szCs w:val="15"/>
    </w:rPr>
  </w:style>
  <w:style w:type="paragraph" w:customStyle="1" w:styleId="Nagwek150">
    <w:name w:val="Nagłówek #1 (5)"/>
    <w:basedOn w:val="Normalny"/>
    <w:link w:val="Nagwek15"/>
    <w:pPr>
      <w:shd w:val="clear" w:color="auto" w:fill="FFFFFF"/>
      <w:spacing w:before="360" w:after="600" w:line="0" w:lineRule="atLeast"/>
      <w:jc w:val="center"/>
      <w:outlineLvl w:val="0"/>
    </w:pPr>
    <w:rPr>
      <w:rFonts w:ascii="Segoe UI" w:eastAsia="Segoe UI" w:hAnsi="Segoe UI" w:cs="Segoe UI"/>
      <w:sz w:val="23"/>
      <w:szCs w:val="23"/>
    </w:rPr>
  </w:style>
  <w:style w:type="paragraph" w:customStyle="1" w:styleId="Nagwek160">
    <w:name w:val="Nagłówek #1 (6)"/>
    <w:basedOn w:val="Normalny"/>
    <w:link w:val="Nagwek16"/>
    <w:pPr>
      <w:shd w:val="clear" w:color="auto" w:fill="FFFFFF"/>
      <w:spacing w:after="360" w:line="421" w:lineRule="exact"/>
      <w:jc w:val="center"/>
      <w:outlineLvl w:val="0"/>
    </w:pPr>
    <w:rPr>
      <w:rFonts w:ascii="Segoe UI" w:eastAsia="Segoe UI" w:hAnsi="Segoe UI" w:cs="Segoe UI"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41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Magdalena</dc:creator>
  <cp:lastModifiedBy>Jakubiak Magdalena</cp:lastModifiedBy>
  <cp:revision>2</cp:revision>
  <dcterms:created xsi:type="dcterms:W3CDTF">2019-10-31T14:53:00Z</dcterms:created>
  <dcterms:modified xsi:type="dcterms:W3CDTF">2019-10-31T14:53:00Z</dcterms:modified>
</cp:coreProperties>
</file>