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D9A3C" w14:textId="77777777" w:rsidR="000B641D" w:rsidRPr="000B1E0A" w:rsidRDefault="00F83F19" w:rsidP="00283610">
      <w:pPr>
        <w:tabs>
          <w:tab w:val="left" w:pos="5103"/>
        </w:tabs>
        <w:spacing w:after="266"/>
        <w:ind w:left="1243"/>
        <w:rPr>
          <w:rFonts w:asciiTheme="minorHAnsi" w:hAnsiTheme="minorHAnsi" w:cstheme="minorHAnsi"/>
        </w:rPr>
      </w:pPr>
      <w:bookmarkStart w:id="0" w:name="_GoBack"/>
      <w:bookmarkEnd w:id="0"/>
      <w:r w:rsidRPr="000B1E0A">
        <w:rPr>
          <w:rFonts w:asciiTheme="minorHAnsi" w:hAnsiTheme="minorHAnsi" w:cstheme="minorHAnsi"/>
          <w:noProof/>
        </w:rPr>
        <w:drawing>
          <wp:inline distT="0" distB="0" distL="0" distR="0" wp14:anchorId="7E6B7561" wp14:editId="7B82F515">
            <wp:extent cx="609600" cy="61531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982" cy="61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83610" w:rsidRPr="000B1E0A">
        <w:rPr>
          <w:rFonts w:asciiTheme="minorHAnsi" w:hAnsiTheme="minorHAnsi" w:cstheme="minorHAnsi"/>
        </w:rPr>
        <w:tab/>
      </w:r>
      <w:r w:rsidR="00ED1491" w:rsidRPr="000B1E0A">
        <w:rPr>
          <w:rFonts w:asciiTheme="minorHAnsi" w:hAnsiTheme="minorHAnsi" w:cstheme="minorHAnsi"/>
        </w:rPr>
        <w:t>Warszawa,</w:t>
      </w:r>
      <w:r w:rsidR="00283610" w:rsidRPr="000B1E0A">
        <w:rPr>
          <w:rFonts w:asciiTheme="minorHAnsi" w:hAnsiTheme="minorHAnsi" w:cstheme="minorHAnsi"/>
        </w:rPr>
        <w:t xml:space="preserve"> </w:t>
      </w:r>
      <w:r w:rsidR="00C36CCA" w:rsidRPr="000B1E0A">
        <w:rPr>
          <w:rFonts w:asciiTheme="minorHAnsi" w:hAnsiTheme="minorHAnsi" w:cstheme="minorHAnsi"/>
        </w:rPr>
        <w:t>/elektroniczny znacznik czasu/</w:t>
      </w:r>
      <w:r w:rsidR="00ED1491" w:rsidRPr="000B1E0A">
        <w:rPr>
          <w:rFonts w:asciiTheme="minorHAnsi" w:hAnsiTheme="minorHAnsi" w:cstheme="minorHAnsi"/>
        </w:rPr>
        <w:t xml:space="preserve"> </w:t>
      </w:r>
    </w:p>
    <w:p w14:paraId="3842E609" w14:textId="77777777" w:rsidR="000B641D" w:rsidRPr="000B1E0A" w:rsidRDefault="00A72014" w:rsidP="00E039D2">
      <w:pPr>
        <w:spacing w:after="249" w:line="249" w:lineRule="auto"/>
        <w:ind w:left="-590" w:right="4547"/>
        <w:jc w:val="center"/>
        <w:rPr>
          <w:rFonts w:asciiTheme="minorHAnsi" w:hAnsiTheme="minorHAnsi" w:cstheme="minorHAnsi"/>
          <w:b/>
          <w:i/>
          <w:color w:val="878887"/>
        </w:rPr>
      </w:pPr>
      <w:r w:rsidRPr="000B1E0A">
        <w:rPr>
          <w:rFonts w:asciiTheme="minorHAnsi" w:eastAsia="Times New Roman" w:hAnsiTheme="minorHAnsi" w:cstheme="minorHAnsi"/>
          <w:color w:val="181717"/>
        </w:rPr>
        <w:t>MINISTER DO SPRAW UNII EUROPEJSKIEJ</w:t>
      </w:r>
    </w:p>
    <w:p w14:paraId="797FB305" w14:textId="77777777" w:rsidR="00A72014" w:rsidRPr="000B1E0A" w:rsidRDefault="00A72014" w:rsidP="00E039D2">
      <w:pPr>
        <w:spacing w:after="249" w:line="249" w:lineRule="auto"/>
        <w:ind w:left="-590" w:right="4547"/>
        <w:jc w:val="center"/>
        <w:rPr>
          <w:rFonts w:asciiTheme="minorHAnsi" w:hAnsiTheme="minorHAnsi" w:cstheme="minorHAnsi"/>
          <w:b/>
          <w:i/>
          <w:color w:val="878887"/>
        </w:rPr>
      </w:pPr>
      <w:r w:rsidRPr="000B1E0A">
        <w:rPr>
          <w:rFonts w:asciiTheme="minorHAnsi" w:hAnsiTheme="minorHAnsi" w:cstheme="minorHAnsi"/>
          <w:b/>
          <w:i/>
          <w:color w:val="878887"/>
        </w:rPr>
        <w:t>Konrad Szymański</w:t>
      </w:r>
    </w:p>
    <w:p w14:paraId="3303B928" w14:textId="77777777" w:rsidR="009B1ED8" w:rsidRPr="000B1E0A" w:rsidRDefault="009B1ED8" w:rsidP="0036308D">
      <w:pPr>
        <w:spacing w:after="0" w:line="240" w:lineRule="auto"/>
        <w:ind w:right="-45"/>
        <w:jc w:val="both"/>
        <w:rPr>
          <w:rFonts w:asciiTheme="minorHAnsi" w:hAnsiTheme="minorHAnsi" w:cstheme="minorHAnsi"/>
          <w:b/>
          <w:i/>
          <w:color w:val="878887"/>
        </w:rPr>
      </w:pPr>
    </w:p>
    <w:p w14:paraId="30E31491" w14:textId="77777777" w:rsidR="00AB4149" w:rsidRPr="000D24E3" w:rsidRDefault="0036308D" w:rsidP="000B1E0A">
      <w:pPr>
        <w:tabs>
          <w:tab w:val="right" w:pos="9071"/>
        </w:tabs>
        <w:spacing w:after="0" w:line="240" w:lineRule="auto"/>
        <w:ind w:left="-142" w:right="-45"/>
        <w:jc w:val="both"/>
        <w:rPr>
          <w:rFonts w:asciiTheme="minorHAnsi" w:hAnsiTheme="minorHAnsi" w:cstheme="minorHAnsi"/>
          <w:color w:val="auto"/>
        </w:rPr>
      </w:pPr>
      <w:r w:rsidRPr="000D24E3">
        <w:rPr>
          <w:rFonts w:asciiTheme="minorHAnsi" w:hAnsiTheme="minorHAnsi" w:cstheme="minorHAnsi"/>
          <w:color w:val="auto"/>
        </w:rPr>
        <w:t xml:space="preserve">Sygn. </w:t>
      </w:r>
      <w:r w:rsidR="00276C00" w:rsidRPr="000D24E3">
        <w:rPr>
          <w:rFonts w:asciiTheme="minorHAnsi" w:hAnsiTheme="minorHAnsi" w:cstheme="minorHAnsi"/>
          <w:color w:val="auto"/>
        </w:rPr>
        <w:t>DPUE.920.</w:t>
      </w:r>
      <w:r w:rsidR="00427844" w:rsidRPr="000D24E3">
        <w:rPr>
          <w:rFonts w:asciiTheme="minorHAnsi" w:hAnsiTheme="minorHAnsi" w:cstheme="minorHAnsi"/>
          <w:color w:val="auto"/>
        </w:rPr>
        <w:t>2300</w:t>
      </w:r>
      <w:r w:rsidR="00910642" w:rsidRPr="000D24E3">
        <w:rPr>
          <w:rFonts w:asciiTheme="minorHAnsi" w:hAnsiTheme="minorHAnsi" w:cstheme="minorHAnsi"/>
          <w:color w:val="auto"/>
        </w:rPr>
        <w:t>.2021</w:t>
      </w:r>
      <w:r w:rsidR="00276C00" w:rsidRPr="000D24E3">
        <w:rPr>
          <w:rFonts w:asciiTheme="minorHAnsi" w:hAnsiTheme="minorHAnsi" w:cstheme="minorHAnsi"/>
          <w:color w:val="auto"/>
        </w:rPr>
        <w:t>.</w:t>
      </w:r>
      <w:r w:rsidR="002A227C" w:rsidRPr="000D24E3">
        <w:rPr>
          <w:rFonts w:asciiTheme="minorHAnsi" w:hAnsiTheme="minorHAnsi" w:cstheme="minorHAnsi"/>
          <w:color w:val="auto"/>
        </w:rPr>
        <w:t>EBK(</w:t>
      </w:r>
      <w:r w:rsidR="00B46366" w:rsidRPr="000D24E3">
        <w:rPr>
          <w:rFonts w:asciiTheme="minorHAnsi" w:hAnsiTheme="minorHAnsi" w:cstheme="minorHAnsi"/>
          <w:color w:val="auto"/>
        </w:rPr>
        <w:t>8</w:t>
      </w:r>
      <w:r w:rsidR="00276C00" w:rsidRPr="000D24E3">
        <w:rPr>
          <w:rFonts w:asciiTheme="minorHAnsi" w:hAnsiTheme="minorHAnsi" w:cstheme="minorHAnsi"/>
          <w:color w:val="auto"/>
        </w:rPr>
        <w:t>)</w:t>
      </w:r>
      <w:r w:rsidR="000B1E0A" w:rsidRPr="000D24E3">
        <w:rPr>
          <w:rFonts w:asciiTheme="minorHAnsi" w:hAnsiTheme="minorHAnsi" w:cstheme="minorHAnsi"/>
          <w:color w:val="auto"/>
        </w:rPr>
        <w:tab/>
      </w:r>
    </w:p>
    <w:p w14:paraId="1298BAC5" w14:textId="77777777" w:rsidR="0036308D" w:rsidRPr="000B1E0A" w:rsidRDefault="0036308D" w:rsidP="003B2323">
      <w:pPr>
        <w:spacing w:after="0" w:line="240" w:lineRule="auto"/>
        <w:ind w:left="-142" w:right="-45"/>
        <w:jc w:val="both"/>
        <w:rPr>
          <w:rFonts w:asciiTheme="minorHAnsi" w:hAnsiTheme="minorHAnsi" w:cstheme="minorHAnsi"/>
          <w:color w:val="auto"/>
        </w:rPr>
      </w:pPr>
      <w:r w:rsidRPr="000D24E3">
        <w:rPr>
          <w:rFonts w:asciiTheme="minorHAnsi" w:hAnsiTheme="minorHAnsi" w:cstheme="minorHAnsi"/>
          <w:color w:val="auto"/>
        </w:rPr>
        <w:t xml:space="preserve">dot.: </w:t>
      </w:r>
      <w:r w:rsidR="00104A8A" w:rsidRPr="000D24E3">
        <w:rPr>
          <w:rFonts w:asciiTheme="minorHAnsi" w:hAnsiTheme="minorHAnsi" w:cstheme="minorHAnsi"/>
        </w:rPr>
        <w:t>DP-WLM-0231-</w:t>
      </w:r>
      <w:r w:rsidR="00427844" w:rsidRPr="000D24E3">
        <w:rPr>
          <w:rFonts w:asciiTheme="minorHAnsi" w:hAnsiTheme="minorHAnsi" w:cstheme="minorHAnsi"/>
        </w:rPr>
        <w:t>58/2021/MM</w:t>
      </w:r>
      <w:r w:rsidR="007A1CC3" w:rsidRPr="000D24E3">
        <w:rPr>
          <w:rFonts w:asciiTheme="minorHAnsi" w:hAnsiTheme="minorHAnsi" w:cstheme="minorHAnsi"/>
        </w:rPr>
        <w:t xml:space="preserve"> z 10.06.2021 r.</w:t>
      </w:r>
    </w:p>
    <w:p w14:paraId="0841E4F9" w14:textId="77777777" w:rsidR="00AB2FE7" w:rsidRPr="000B1E0A" w:rsidRDefault="0036308D" w:rsidP="000751FB">
      <w:pPr>
        <w:spacing w:after="0" w:line="240" w:lineRule="auto"/>
        <w:ind w:left="-426"/>
        <w:rPr>
          <w:rFonts w:asciiTheme="minorHAnsi" w:eastAsia="Times New Roman" w:hAnsiTheme="minorHAnsi" w:cstheme="minorHAnsi"/>
          <w:b/>
          <w:color w:val="auto"/>
        </w:rPr>
      </w:pPr>
      <w:r w:rsidRPr="000B1E0A">
        <w:rPr>
          <w:rFonts w:asciiTheme="minorHAnsi" w:hAnsiTheme="minorHAnsi" w:cstheme="minorHAnsi"/>
          <w:color w:val="auto"/>
        </w:rPr>
        <w:tab/>
      </w:r>
      <w:r w:rsidR="00B46366">
        <w:rPr>
          <w:rFonts w:asciiTheme="minorHAnsi" w:hAnsiTheme="minorHAnsi" w:cstheme="minorHAnsi"/>
          <w:color w:val="auto"/>
        </w:rPr>
        <w:t xml:space="preserve">       </w:t>
      </w:r>
      <w:r w:rsidR="00C72038">
        <w:t xml:space="preserve">DP-WLM-0231-58/2021/MM z 23.06.2021 r. </w:t>
      </w:r>
      <w:r w:rsidRPr="000B1E0A">
        <w:rPr>
          <w:rFonts w:asciiTheme="minorHAnsi" w:hAnsiTheme="minorHAnsi" w:cstheme="minorHAnsi"/>
          <w:color w:val="auto"/>
        </w:rPr>
        <w:tab/>
      </w:r>
      <w:r w:rsidRPr="000B1E0A">
        <w:rPr>
          <w:rFonts w:asciiTheme="minorHAnsi" w:hAnsiTheme="minorHAnsi" w:cstheme="minorHAnsi"/>
          <w:color w:val="auto"/>
        </w:rPr>
        <w:tab/>
      </w:r>
    </w:p>
    <w:p w14:paraId="41B79315" w14:textId="77777777" w:rsidR="000D134F" w:rsidRDefault="000D134F" w:rsidP="00283610">
      <w:pPr>
        <w:spacing w:after="0" w:line="240" w:lineRule="auto"/>
        <w:ind w:left="4956" w:firstLine="147"/>
        <w:rPr>
          <w:rFonts w:asciiTheme="minorHAnsi" w:eastAsia="Times New Roman" w:hAnsiTheme="minorHAnsi" w:cstheme="minorHAnsi"/>
          <w:b/>
          <w:color w:val="auto"/>
        </w:rPr>
      </w:pPr>
    </w:p>
    <w:p w14:paraId="62F9C9EB" w14:textId="0631DB52" w:rsidR="00AB4149" w:rsidRPr="000B1E0A" w:rsidRDefault="001B4D9A" w:rsidP="00283610">
      <w:pPr>
        <w:spacing w:after="0" w:line="240" w:lineRule="auto"/>
        <w:ind w:left="4956" w:firstLine="147"/>
        <w:rPr>
          <w:rFonts w:asciiTheme="minorHAnsi" w:eastAsia="Times New Roman" w:hAnsiTheme="minorHAnsi" w:cstheme="minorHAnsi"/>
          <w:b/>
          <w:color w:val="auto"/>
        </w:rPr>
      </w:pPr>
      <w:r w:rsidRPr="000B1E0A">
        <w:rPr>
          <w:rFonts w:asciiTheme="minorHAnsi" w:eastAsia="Times New Roman" w:hAnsiTheme="minorHAnsi" w:cstheme="minorHAnsi"/>
          <w:b/>
          <w:color w:val="auto"/>
        </w:rPr>
        <w:t>Pan</w:t>
      </w:r>
      <w:r w:rsidR="00D03C87" w:rsidRPr="000B1E0A">
        <w:rPr>
          <w:rFonts w:asciiTheme="minorHAnsi" w:eastAsia="Times New Roman" w:hAnsiTheme="minorHAnsi" w:cstheme="minorHAnsi"/>
          <w:b/>
          <w:color w:val="auto"/>
        </w:rPr>
        <w:t xml:space="preserve"> Mariusz Kamiński</w:t>
      </w:r>
    </w:p>
    <w:p w14:paraId="23C435AF" w14:textId="77777777" w:rsidR="00F25B1A" w:rsidRPr="000B1E0A" w:rsidRDefault="00D03C87" w:rsidP="00283610">
      <w:pPr>
        <w:spacing w:after="0" w:line="240" w:lineRule="auto"/>
        <w:ind w:left="4677" w:firstLine="426"/>
        <w:rPr>
          <w:rFonts w:asciiTheme="minorHAnsi" w:eastAsia="Times New Roman" w:hAnsiTheme="minorHAnsi" w:cstheme="minorHAnsi"/>
          <w:b/>
          <w:color w:val="auto"/>
        </w:rPr>
      </w:pPr>
      <w:r w:rsidRPr="000B1E0A">
        <w:rPr>
          <w:rFonts w:asciiTheme="minorHAnsi" w:eastAsia="Times New Roman" w:hAnsiTheme="minorHAnsi" w:cstheme="minorHAnsi"/>
          <w:b/>
          <w:color w:val="auto"/>
        </w:rPr>
        <w:t xml:space="preserve">Minister Spraw Wewnętrznych </w:t>
      </w:r>
    </w:p>
    <w:p w14:paraId="394C30F9" w14:textId="77777777" w:rsidR="00D03C87" w:rsidRPr="000B1E0A" w:rsidRDefault="00D03C87" w:rsidP="00283610">
      <w:pPr>
        <w:spacing w:after="0" w:line="240" w:lineRule="auto"/>
        <w:ind w:left="4677" w:firstLine="426"/>
        <w:rPr>
          <w:rFonts w:asciiTheme="minorHAnsi" w:eastAsia="Times New Roman" w:hAnsiTheme="minorHAnsi" w:cstheme="minorHAnsi"/>
          <w:b/>
          <w:color w:val="auto"/>
        </w:rPr>
      </w:pPr>
      <w:r w:rsidRPr="000B1E0A">
        <w:rPr>
          <w:rFonts w:asciiTheme="minorHAnsi" w:eastAsia="Times New Roman" w:hAnsiTheme="minorHAnsi" w:cstheme="minorHAnsi"/>
          <w:b/>
          <w:color w:val="auto"/>
        </w:rPr>
        <w:t xml:space="preserve">i Administracji </w:t>
      </w:r>
    </w:p>
    <w:p w14:paraId="3AFF955A" w14:textId="22DC97F7" w:rsidR="00B448BC" w:rsidRDefault="00B448BC" w:rsidP="00D03C87">
      <w:pPr>
        <w:spacing w:after="0" w:line="240" w:lineRule="auto"/>
        <w:ind w:left="4530" w:firstLine="857"/>
        <w:rPr>
          <w:rFonts w:asciiTheme="minorHAnsi" w:eastAsia="Times New Roman" w:hAnsiTheme="minorHAnsi" w:cstheme="minorHAnsi"/>
          <w:b/>
          <w:color w:val="auto"/>
        </w:rPr>
      </w:pPr>
    </w:p>
    <w:p w14:paraId="03BEABC3" w14:textId="77777777" w:rsidR="000D134F" w:rsidRPr="000B1E0A" w:rsidRDefault="000D134F" w:rsidP="00D03C87">
      <w:pPr>
        <w:spacing w:after="0" w:line="240" w:lineRule="auto"/>
        <w:ind w:left="4530" w:firstLine="857"/>
        <w:rPr>
          <w:rFonts w:asciiTheme="minorHAnsi" w:eastAsia="Times New Roman" w:hAnsiTheme="minorHAnsi" w:cstheme="minorHAnsi"/>
          <w:b/>
          <w:color w:val="auto"/>
        </w:rPr>
      </w:pPr>
    </w:p>
    <w:p w14:paraId="54447B1E" w14:textId="77777777" w:rsidR="000D134F" w:rsidRDefault="000D134F" w:rsidP="00E23D0D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Theme="minorHAnsi" w:eastAsia="Times New Roman" w:hAnsiTheme="minorHAnsi" w:cstheme="minorHAnsi"/>
          <w:b/>
        </w:rPr>
      </w:pPr>
    </w:p>
    <w:p w14:paraId="09FB81C4" w14:textId="651791E2" w:rsidR="00E23D0D" w:rsidRPr="000B1E0A" w:rsidRDefault="00E23D0D" w:rsidP="00E23D0D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Theme="minorHAnsi" w:eastAsia="Times New Roman" w:hAnsiTheme="minorHAnsi" w:cstheme="minorHAnsi"/>
          <w:b/>
        </w:rPr>
      </w:pPr>
      <w:r w:rsidRPr="000B1E0A">
        <w:rPr>
          <w:rFonts w:asciiTheme="minorHAnsi" w:eastAsia="Times New Roman" w:hAnsiTheme="minorHAnsi" w:cstheme="minorHAnsi"/>
          <w:b/>
        </w:rPr>
        <w:t>Opinia</w:t>
      </w:r>
    </w:p>
    <w:p w14:paraId="10ADF1C8" w14:textId="654011EA" w:rsidR="003F6FA5" w:rsidRPr="000B1E0A" w:rsidRDefault="00E23D0D" w:rsidP="003F6FA5">
      <w:pPr>
        <w:autoSpaceDE w:val="0"/>
        <w:autoSpaceDN w:val="0"/>
        <w:adjustRightInd w:val="0"/>
        <w:spacing w:after="0" w:line="240" w:lineRule="auto"/>
        <w:ind w:left="-426" w:firstLine="284"/>
        <w:jc w:val="center"/>
        <w:rPr>
          <w:rFonts w:asciiTheme="minorHAnsi" w:eastAsia="Times New Roman" w:hAnsiTheme="minorHAnsi" w:cstheme="minorHAnsi"/>
          <w:b/>
        </w:rPr>
      </w:pPr>
      <w:r w:rsidRPr="000B1E0A">
        <w:rPr>
          <w:rFonts w:asciiTheme="minorHAnsi" w:eastAsia="Times New Roman" w:hAnsiTheme="minorHAnsi" w:cstheme="minorHAnsi"/>
          <w:b/>
        </w:rPr>
        <w:t xml:space="preserve">o zgodności z prawem Unii Europejskiej </w:t>
      </w:r>
      <w:r w:rsidRPr="000B1E0A">
        <w:rPr>
          <w:rFonts w:asciiTheme="minorHAnsi" w:eastAsia="Times New Roman" w:hAnsiTheme="minorHAnsi" w:cstheme="minorHAnsi"/>
          <w:b/>
          <w:i/>
          <w:iCs/>
        </w:rPr>
        <w:t>projekt</w:t>
      </w:r>
      <w:r w:rsidR="00804066" w:rsidRPr="000B1E0A">
        <w:rPr>
          <w:rFonts w:asciiTheme="minorHAnsi" w:eastAsia="Times New Roman" w:hAnsiTheme="minorHAnsi" w:cstheme="minorHAnsi"/>
          <w:b/>
          <w:i/>
          <w:iCs/>
        </w:rPr>
        <w:t xml:space="preserve">u </w:t>
      </w:r>
      <w:r w:rsidR="003F6FA5" w:rsidRPr="000B1E0A">
        <w:rPr>
          <w:rFonts w:asciiTheme="minorHAnsi" w:hAnsiTheme="minorHAnsi" w:cstheme="minorHAnsi"/>
          <w:b/>
          <w:i/>
        </w:rPr>
        <w:t xml:space="preserve">ustawy </w:t>
      </w:r>
      <w:r w:rsidR="00D552F8" w:rsidRPr="000B1E0A">
        <w:rPr>
          <w:rFonts w:asciiTheme="minorHAnsi" w:hAnsiTheme="minorHAnsi" w:cstheme="minorHAnsi"/>
          <w:b/>
          <w:i/>
        </w:rPr>
        <w:t xml:space="preserve">o </w:t>
      </w:r>
      <w:r w:rsidR="00F871BC" w:rsidRPr="000B1E0A">
        <w:rPr>
          <w:rFonts w:asciiTheme="minorHAnsi" w:hAnsiTheme="minorHAnsi" w:cstheme="minorHAnsi"/>
          <w:b/>
          <w:i/>
        </w:rPr>
        <w:t>zmianie ustawy o cudzoziemcach oraz</w:t>
      </w:r>
      <w:r w:rsidR="00792023">
        <w:rPr>
          <w:rFonts w:asciiTheme="minorHAnsi" w:hAnsiTheme="minorHAnsi" w:cstheme="minorHAnsi"/>
          <w:b/>
          <w:i/>
        </w:rPr>
        <w:t> </w:t>
      </w:r>
      <w:r w:rsidR="00F871BC" w:rsidRPr="000B1E0A">
        <w:rPr>
          <w:rFonts w:asciiTheme="minorHAnsi" w:hAnsiTheme="minorHAnsi" w:cstheme="minorHAnsi"/>
          <w:b/>
          <w:i/>
        </w:rPr>
        <w:t>niektórych innych ustaw</w:t>
      </w:r>
      <w:r w:rsidR="003F6FA5" w:rsidRPr="000B1E0A">
        <w:rPr>
          <w:rFonts w:asciiTheme="minorHAnsi" w:eastAsia="Times New Roman" w:hAnsiTheme="minorHAnsi" w:cstheme="minorHAnsi"/>
          <w:b/>
          <w:i/>
          <w:iCs/>
        </w:rPr>
        <w:t xml:space="preserve">, </w:t>
      </w:r>
      <w:r w:rsidR="003F6FA5" w:rsidRPr="000B1E0A">
        <w:rPr>
          <w:rFonts w:asciiTheme="minorHAnsi" w:eastAsia="Times New Roman" w:hAnsiTheme="minorHAnsi" w:cstheme="minorHAnsi"/>
          <w:b/>
        </w:rPr>
        <w:t>wyrażona przez ministra właściwego do spraw członkostwa Rzeczypospolitej Polskiej w Unii Europejskiej</w:t>
      </w:r>
    </w:p>
    <w:p w14:paraId="7C213442" w14:textId="045A0E1B" w:rsidR="003F6FA5" w:rsidRDefault="003F6FA5" w:rsidP="003F6FA5">
      <w:pPr>
        <w:spacing w:after="120" w:line="240" w:lineRule="auto"/>
        <w:ind w:left="-426"/>
        <w:rPr>
          <w:rFonts w:asciiTheme="minorHAnsi" w:eastAsia="Times New Roman" w:hAnsiTheme="minorHAnsi" w:cstheme="minorHAnsi"/>
          <w:i/>
          <w:color w:val="auto"/>
        </w:rPr>
      </w:pPr>
    </w:p>
    <w:p w14:paraId="760BFA80" w14:textId="77777777" w:rsidR="000D134F" w:rsidRPr="000B1E0A" w:rsidRDefault="000D134F" w:rsidP="003F6FA5">
      <w:pPr>
        <w:spacing w:after="120" w:line="240" w:lineRule="auto"/>
        <w:ind w:left="-426"/>
        <w:rPr>
          <w:rFonts w:asciiTheme="minorHAnsi" w:eastAsia="Times New Roman" w:hAnsiTheme="minorHAnsi" w:cstheme="minorHAnsi"/>
          <w:i/>
          <w:color w:val="auto"/>
        </w:rPr>
      </w:pPr>
    </w:p>
    <w:p w14:paraId="20DEC76F" w14:textId="77777777" w:rsidR="003B2323" w:rsidRPr="000B1E0A" w:rsidRDefault="003B2323" w:rsidP="00705480">
      <w:pPr>
        <w:autoSpaceDE w:val="0"/>
        <w:autoSpaceDN w:val="0"/>
        <w:adjustRightInd w:val="0"/>
        <w:spacing w:after="0" w:line="240" w:lineRule="auto"/>
        <w:ind w:left="-426" w:firstLine="284"/>
        <w:jc w:val="center"/>
        <w:rPr>
          <w:rFonts w:asciiTheme="minorHAnsi" w:eastAsia="Times New Roman" w:hAnsiTheme="minorHAnsi" w:cstheme="minorHAnsi"/>
          <w:i/>
          <w:color w:val="auto"/>
        </w:rPr>
      </w:pPr>
    </w:p>
    <w:p w14:paraId="1D959FC1" w14:textId="77777777" w:rsidR="00E23D0D" w:rsidRPr="000B1E0A" w:rsidRDefault="00E23D0D" w:rsidP="009B1ED8">
      <w:pPr>
        <w:spacing w:after="120" w:line="240" w:lineRule="auto"/>
        <w:ind w:left="-426" w:firstLine="284"/>
        <w:rPr>
          <w:rFonts w:asciiTheme="minorHAnsi" w:eastAsia="Times New Roman" w:hAnsiTheme="minorHAnsi" w:cstheme="minorHAnsi"/>
          <w:i/>
          <w:color w:val="auto"/>
        </w:rPr>
      </w:pPr>
      <w:r w:rsidRPr="000B1E0A">
        <w:rPr>
          <w:rFonts w:asciiTheme="minorHAnsi" w:eastAsia="Times New Roman" w:hAnsiTheme="minorHAnsi" w:cstheme="minorHAnsi"/>
          <w:i/>
          <w:color w:val="auto"/>
        </w:rPr>
        <w:t>Szanown</w:t>
      </w:r>
      <w:r w:rsidR="000312A8" w:rsidRPr="000B1E0A">
        <w:rPr>
          <w:rFonts w:asciiTheme="minorHAnsi" w:eastAsia="Times New Roman" w:hAnsiTheme="minorHAnsi" w:cstheme="minorHAnsi"/>
          <w:i/>
          <w:color w:val="auto"/>
        </w:rPr>
        <w:t>y</w:t>
      </w:r>
      <w:r w:rsidRPr="000B1E0A">
        <w:rPr>
          <w:rFonts w:asciiTheme="minorHAnsi" w:eastAsia="Times New Roman" w:hAnsiTheme="minorHAnsi" w:cstheme="minorHAnsi"/>
          <w:i/>
          <w:color w:val="auto"/>
        </w:rPr>
        <w:t xml:space="preserve"> Pani</w:t>
      </w:r>
      <w:r w:rsidR="000312A8" w:rsidRPr="000B1E0A">
        <w:rPr>
          <w:rFonts w:asciiTheme="minorHAnsi" w:eastAsia="Times New Roman" w:hAnsiTheme="minorHAnsi" w:cstheme="minorHAnsi"/>
          <w:i/>
          <w:color w:val="auto"/>
        </w:rPr>
        <w:t>e</w:t>
      </w:r>
      <w:r w:rsidRPr="000B1E0A">
        <w:rPr>
          <w:rFonts w:asciiTheme="minorHAnsi" w:eastAsia="Times New Roman" w:hAnsiTheme="minorHAnsi" w:cstheme="minorHAnsi"/>
          <w:i/>
          <w:color w:val="auto"/>
        </w:rPr>
        <w:t xml:space="preserve"> Minist</w:t>
      </w:r>
      <w:r w:rsidR="000312A8" w:rsidRPr="000B1E0A">
        <w:rPr>
          <w:rFonts w:asciiTheme="minorHAnsi" w:eastAsia="Times New Roman" w:hAnsiTheme="minorHAnsi" w:cstheme="minorHAnsi"/>
          <w:i/>
          <w:color w:val="auto"/>
        </w:rPr>
        <w:t>rze,</w:t>
      </w:r>
    </w:p>
    <w:p w14:paraId="101E6BF5" w14:textId="77777777" w:rsidR="00B9144F" w:rsidRPr="000B1E0A" w:rsidRDefault="00B9144F" w:rsidP="00E23D0D">
      <w:pPr>
        <w:spacing w:after="0" w:line="240" w:lineRule="auto"/>
        <w:ind w:left="-426"/>
        <w:rPr>
          <w:rFonts w:asciiTheme="minorHAnsi" w:eastAsia="Times New Roman" w:hAnsiTheme="minorHAnsi" w:cstheme="minorHAnsi"/>
          <w:i/>
          <w:color w:val="auto"/>
        </w:rPr>
      </w:pPr>
    </w:p>
    <w:p w14:paraId="7A205C5C" w14:textId="77777777" w:rsidR="00B9144F" w:rsidRDefault="00B9144F" w:rsidP="009B1ED8">
      <w:pPr>
        <w:spacing w:after="120" w:line="240" w:lineRule="auto"/>
        <w:ind w:left="-142"/>
        <w:jc w:val="both"/>
        <w:rPr>
          <w:rFonts w:asciiTheme="minorHAnsi" w:eastAsia="Times New Roman" w:hAnsiTheme="minorHAnsi" w:cstheme="minorHAnsi"/>
          <w:color w:val="auto"/>
        </w:rPr>
      </w:pPr>
      <w:r w:rsidRPr="000B1E0A">
        <w:rPr>
          <w:rFonts w:asciiTheme="minorHAnsi" w:eastAsia="Times New Roman" w:hAnsiTheme="minorHAnsi" w:cstheme="minorHAnsi"/>
          <w:color w:val="auto"/>
        </w:rPr>
        <w:t>w związku z przedłożonym projekt</w:t>
      </w:r>
      <w:r w:rsidR="00825CA7" w:rsidRPr="000B1E0A">
        <w:rPr>
          <w:rFonts w:asciiTheme="minorHAnsi" w:eastAsia="Times New Roman" w:hAnsiTheme="minorHAnsi" w:cstheme="minorHAnsi"/>
          <w:color w:val="auto"/>
        </w:rPr>
        <w:t>em</w:t>
      </w:r>
      <w:r w:rsidRPr="000B1E0A">
        <w:rPr>
          <w:rFonts w:asciiTheme="minorHAnsi" w:eastAsia="Times New Roman" w:hAnsiTheme="minorHAnsi" w:cstheme="minorHAnsi"/>
          <w:i/>
          <w:color w:val="auto"/>
        </w:rPr>
        <w:t xml:space="preserve"> </w:t>
      </w:r>
      <w:r w:rsidR="000312A8" w:rsidRPr="000B1E0A">
        <w:rPr>
          <w:rFonts w:asciiTheme="minorHAnsi" w:eastAsia="Times New Roman" w:hAnsiTheme="minorHAnsi" w:cstheme="minorHAnsi"/>
          <w:color w:val="auto"/>
        </w:rPr>
        <w:t>ustawy</w:t>
      </w:r>
      <w:r w:rsidRPr="000B1E0A">
        <w:rPr>
          <w:rFonts w:asciiTheme="minorHAnsi" w:eastAsia="Times New Roman" w:hAnsiTheme="minorHAnsi" w:cstheme="minorHAnsi"/>
          <w:b/>
          <w:i/>
          <w:color w:val="auto"/>
        </w:rPr>
        <w:t xml:space="preserve"> </w:t>
      </w:r>
      <w:r w:rsidRPr="000B1E0A">
        <w:rPr>
          <w:rFonts w:asciiTheme="minorHAnsi" w:eastAsia="Times New Roman" w:hAnsiTheme="minorHAnsi" w:cstheme="minorHAnsi"/>
          <w:color w:val="auto"/>
        </w:rPr>
        <w:t>pozwalam sobie wyrazić poniższą opinię.</w:t>
      </w:r>
    </w:p>
    <w:p w14:paraId="468424C4" w14:textId="2BE155C6" w:rsidR="00C0567F" w:rsidRPr="00AE6CA9" w:rsidRDefault="00C0567F" w:rsidP="00792023">
      <w:pPr>
        <w:numPr>
          <w:ilvl w:val="0"/>
          <w:numId w:val="11"/>
        </w:numPr>
        <w:spacing w:after="120"/>
        <w:ind w:left="283" w:hanging="357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AE6CA9">
        <w:rPr>
          <w:rFonts w:asciiTheme="minorHAnsi" w:eastAsiaTheme="minorHAnsi" w:hAnsiTheme="minorHAnsi" w:cstheme="minorBidi"/>
          <w:color w:val="auto"/>
          <w:lang w:eastAsia="en-US"/>
        </w:rPr>
        <w:t xml:space="preserve">Nowo projektowane wprowadzenie do wyliczenia w art. 13 ustawy o cudzoziemcach (art. 1 pkt 4 projektu ustawy) stanowi, że </w:t>
      </w:r>
      <w:r w:rsidR="00792023">
        <w:rPr>
          <w:rFonts w:asciiTheme="minorHAnsi" w:eastAsiaTheme="minorHAnsi" w:hAnsiTheme="minorHAnsi" w:cstheme="minorBidi"/>
          <w:color w:val="auto"/>
          <w:lang w:eastAsia="en-US"/>
        </w:rPr>
        <w:t>„</w:t>
      </w:r>
      <w:r w:rsidRPr="00AE6CA9">
        <w:rPr>
          <w:rFonts w:asciiTheme="minorHAnsi" w:eastAsiaTheme="minorHAnsi" w:hAnsiTheme="minorHAnsi" w:cstheme="minorBidi"/>
          <w:color w:val="auto"/>
          <w:lang w:eastAsia="en-US"/>
        </w:rPr>
        <w:t>w post</w:t>
      </w:r>
      <w:r w:rsidRPr="00AE6CA9">
        <w:rPr>
          <w:rFonts w:asciiTheme="minorHAnsi" w:eastAsiaTheme="minorHAnsi" w:hAnsiTheme="minorHAnsi" w:cstheme="minorBidi" w:hint="eastAsia"/>
          <w:color w:val="auto"/>
          <w:lang w:eastAsia="en-US"/>
        </w:rPr>
        <w:t>ę</w:t>
      </w:r>
      <w:r w:rsidRPr="00AE6CA9">
        <w:rPr>
          <w:rFonts w:asciiTheme="minorHAnsi" w:eastAsiaTheme="minorHAnsi" w:hAnsiTheme="minorHAnsi" w:cstheme="minorBidi"/>
          <w:color w:val="auto"/>
          <w:lang w:eastAsia="en-US"/>
        </w:rPr>
        <w:t>powaniach prowadzonych na podstawie ustawy lub</w:t>
      </w:r>
      <w:r w:rsidR="00792023">
        <w:rPr>
          <w:rFonts w:asciiTheme="minorHAnsi" w:eastAsiaTheme="minorHAnsi" w:hAnsiTheme="minorHAnsi" w:cstheme="minorBidi"/>
          <w:color w:val="auto"/>
          <w:lang w:eastAsia="en-US"/>
        </w:rPr>
        <w:t> </w:t>
      </w:r>
      <w:r w:rsidRPr="00AE6CA9">
        <w:rPr>
          <w:rFonts w:asciiTheme="minorHAnsi" w:eastAsiaTheme="minorHAnsi" w:hAnsiTheme="minorHAnsi" w:cstheme="minorBidi"/>
          <w:color w:val="auto"/>
          <w:lang w:eastAsia="en-US"/>
        </w:rPr>
        <w:t>przy</w:t>
      </w:r>
      <w:r w:rsidR="00792023">
        <w:rPr>
          <w:rFonts w:asciiTheme="minorHAnsi" w:eastAsiaTheme="minorHAnsi" w:hAnsiTheme="minorHAnsi" w:cstheme="minorBidi"/>
          <w:color w:val="auto"/>
          <w:lang w:eastAsia="en-US"/>
        </w:rPr>
        <w:t> </w:t>
      </w:r>
      <w:r w:rsidRPr="00AE6CA9">
        <w:rPr>
          <w:rFonts w:asciiTheme="minorHAnsi" w:eastAsiaTheme="minorHAnsi" w:hAnsiTheme="minorHAnsi" w:cstheme="minorBidi"/>
          <w:color w:val="auto"/>
          <w:lang w:eastAsia="en-US"/>
        </w:rPr>
        <w:t>innych czynno</w:t>
      </w:r>
      <w:r w:rsidRPr="00AE6CA9">
        <w:rPr>
          <w:rFonts w:asciiTheme="minorHAnsi" w:eastAsiaTheme="minorHAnsi" w:hAnsiTheme="minorHAnsi" w:cstheme="minorBidi" w:hint="eastAsia"/>
          <w:color w:val="auto"/>
          <w:lang w:eastAsia="en-US"/>
        </w:rPr>
        <w:t>ś</w:t>
      </w:r>
      <w:r w:rsidRPr="00AE6CA9">
        <w:rPr>
          <w:rFonts w:asciiTheme="minorHAnsi" w:eastAsiaTheme="minorHAnsi" w:hAnsiTheme="minorHAnsi" w:cstheme="minorBidi"/>
          <w:color w:val="auto"/>
          <w:lang w:eastAsia="en-US"/>
        </w:rPr>
        <w:t>ciach prowadzonych na jej podstawie mog</w:t>
      </w:r>
      <w:r w:rsidRPr="00AE6CA9">
        <w:rPr>
          <w:rFonts w:asciiTheme="minorHAnsi" w:eastAsiaTheme="minorHAnsi" w:hAnsiTheme="minorHAnsi" w:cstheme="minorBidi" w:hint="eastAsia"/>
          <w:color w:val="auto"/>
          <w:lang w:eastAsia="en-US"/>
        </w:rPr>
        <w:t>ą</w:t>
      </w:r>
      <w:r w:rsidRPr="00AE6CA9">
        <w:rPr>
          <w:rFonts w:asciiTheme="minorHAnsi" w:eastAsiaTheme="minorHAnsi" w:hAnsiTheme="minorHAnsi" w:cstheme="minorBidi"/>
          <w:color w:val="auto"/>
          <w:lang w:eastAsia="en-US"/>
        </w:rPr>
        <w:t xml:space="preserve"> by</w:t>
      </w:r>
      <w:r w:rsidRPr="00AE6CA9">
        <w:rPr>
          <w:rFonts w:asciiTheme="minorHAnsi" w:eastAsiaTheme="minorHAnsi" w:hAnsiTheme="minorHAnsi" w:cstheme="minorBidi" w:hint="eastAsia"/>
          <w:color w:val="auto"/>
          <w:lang w:eastAsia="en-US"/>
        </w:rPr>
        <w:t>ć</w:t>
      </w:r>
      <w:r w:rsidRPr="00AE6CA9">
        <w:rPr>
          <w:rFonts w:asciiTheme="minorHAnsi" w:eastAsiaTheme="minorHAnsi" w:hAnsiTheme="minorHAnsi" w:cstheme="minorBidi"/>
          <w:color w:val="auto"/>
          <w:lang w:eastAsia="en-US"/>
        </w:rPr>
        <w:t xml:space="preserve"> przetwarzane dane i informacje niezb</w:t>
      </w:r>
      <w:r w:rsidRPr="00AE6CA9">
        <w:rPr>
          <w:rFonts w:asciiTheme="minorHAnsi" w:eastAsiaTheme="minorHAnsi" w:hAnsiTheme="minorHAnsi" w:cstheme="minorBidi" w:hint="eastAsia"/>
          <w:color w:val="auto"/>
          <w:lang w:eastAsia="en-US"/>
        </w:rPr>
        <w:t>ę</w:t>
      </w:r>
      <w:r w:rsidRPr="00AE6CA9">
        <w:rPr>
          <w:rFonts w:asciiTheme="minorHAnsi" w:eastAsiaTheme="minorHAnsi" w:hAnsiTheme="minorHAnsi" w:cstheme="minorBidi"/>
          <w:color w:val="auto"/>
          <w:lang w:eastAsia="en-US"/>
        </w:rPr>
        <w:t>dne do przeprowadzenia tych post</w:t>
      </w:r>
      <w:r w:rsidRPr="00AE6CA9">
        <w:rPr>
          <w:rFonts w:asciiTheme="minorHAnsi" w:eastAsiaTheme="minorHAnsi" w:hAnsiTheme="minorHAnsi" w:cstheme="minorBidi" w:hint="eastAsia"/>
          <w:color w:val="auto"/>
          <w:lang w:eastAsia="en-US"/>
        </w:rPr>
        <w:t>ę</w:t>
      </w:r>
      <w:r w:rsidRPr="00AE6CA9">
        <w:rPr>
          <w:rFonts w:asciiTheme="minorHAnsi" w:eastAsiaTheme="minorHAnsi" w:hAnsiTheme="minorHAnsi" w:cstheme="minorBidi"/>
          <w:color w:val="auto"/>
          <w:lang w:eastAsia="en-US"/>
        </w:rPr>
        <w:t>powa</w:t>
      </w:r>
      <w:r w:rsidRPr="00AE6CA9">
        <w:rPr>
          <w:rFonts w:asciiTheme="minorHAnsi" w:eastAsiaTheme="minorHAnsi" w:hAnsiTheme="minorHAnsi" w:cstheme="minorBidi" w:hint="eastAsia"/>
          <w:color w:val="auto"/>
          <w:lang w:eastAsia="en-US"/>
        </w:rPr>
        <w:t>ń</w:t>
      </w:r>
      <w:r w:rsidRPr="00AE6CA9">
        <w:rPr>
          <w:rFonts w:asciiTheme="minorHAnsi" w:eastAsiaTheme="minorHAnsi" w:hAnsiTheme="minorHAnsi" w:cstheme="minorBidi"/>
          <w:color w:val="auto"/>
          <w:lang w:eastAsia="en-US"/>
        </w:rPr>
        <w:t xml:space="preserve"> lub czynno</w:t>
      </w:r>
      <w:r w:rsidRPr="00AE6CA9">
        <w:rPr>
          <w:rFonts w:asciiTheme="minorHAnsi" w:eastAsiaTheme="minorHAnsi" w:hAnsiTheme="minorHAnsi" w:cstheme="minorBidi" w:hint="eastAsia"/>
          <w:color w:val="auto"/>
          <w:lang w:eastAsia="en-US"/>
        </w:rPr>
        <w:t>ś</w:t>
      </w:r>
      <w:r w:rsidRPr="00AE6CA9">
        <w:rPr>
          <w:rFonts w:asciiTheme="minorHAnsi" w:eastAsiaTheme="minorHAnsi" w:hAnsiTheme="minorHAnsi" w:cstheme="minorBidi"/>
          <w:color w:val="auto"/>
          <w:lang w:eastAsia="en-US"/>
        </w:rPr>
        <w:t>ci, a w szczególno</w:t>
      </w:r>
      <w:r w:rsidRPr="00AE6CA9">
        <w:rPr>
          <w:rFonts w:asciiTheme="minorHAnsi" w:eastAsiaTheme="minorHAnsi" w:hAnsiTheme="minorHAnsi" w:cstheme="minorBidi" w:hint="eastAsia"/>
          <w:color w:val="auto"/>
          <w:lang w:eastAsia="en-US"/>
        </w:rPr>
        <w:t>ś</w:t>
      </w:r>
      <w:r w:rsidRPr="00AE6CA9">
        <w:rPr>
          <w:rFonts w:asciiTheme="minorHAnsi" w:eastAsiaTheme="minorHAnsi" w:hAnsiTheme="minorHAnsi" w:cstheme="minorBidi"/>
          <w:color w:val="auto"/>
          <w:lang w:eastAsia="en-US"/>
        </w:rPr>
        <w:t>ci nast</w:t>
      </w:r>
      <w:r w:rsidRPr="00AE6CA9">
        <w:rPr>
          <w:rFonts w:asciiTheme="minorHAnsi" w:eastAsiaTheme="minorHAnsi" w:hAnsiTheme="minorHAnsi" w:cstheme="minorBidi" w:hint="eastAsia"/>
          <w:color w:val="auto"/>
          <w:lang w:eastAsia="en-US"/>
        </w:rPr>
        <w:t>ę</w:t>
      </w:r>
      <w:r w:rsidRPr="00AE6CA9">
        <w:rPr>
          <w:rFonts w:asciiTheme="minorHAnsi" w:eastAsiaTheme="minorHAnsi" w:hAnsiTheme="minorHAnsi" w:cstheme="minorBidi"/>
          <w:color w:val="auto"/>
          <w:lang w:eastAsia="en-US"/>
        </w:rPr>
        <w:t>puj</w:t>
      </w:r>
      <w:r w:rsidRPr="00AE6CA9">
        <w:rPr>
          <w:rFonts w:asciiTheme="minorHAnsi" w:eastAsiaTheme="minorHAnsi" w:hAnsiTheme="minorHAnsi" w:cstheme="minorBidi" w:hint="eastAsia"/>
          <w:color w:val="auto"/>
          <w:lang w:eastAsia="en-US"/>
        </w:rPr>
        <w:t>ą</w:t>
      </w:r>
      <w:r w:rsidRPr="00AE6CA9">
        <w:rPr>
          <w:rFonts w:asciiTheme="minorHAnsi" w:eastAsiaTheme="minorHAnsi" w:hAnsiTheme="minorHAnsi" w:cstheme="minorBidi"/>
          <w:color w:val="auto"/>
          <w:lang w:eastAsia="en-US"/>
        </w:rPr>
        <w:t>ce dane lub informacje dotycz</w:t>
      </w:r>
      <w:r w:rsidRPr="00AE6CA9">
        <w:rPr>
          <w:rFonts w:asciiTheme="minorHAnsi" w:eastAsiaTheme="minorHAnsi" w:hAnsiTheme="minorHAnsi" w:cstheme="minorBidi" w:hint="eastAsia"/>
          <w:color w:val="auto"/>
          <w:lang w:eastAsia="en-US"/>
        </w:rPr>
        <w:t>ą</w:t>
      </w:r>
      <w:r w:rsidRPr="00AE6CA9">
        <w:rPr>
          <w:rFonts w:asciiTheme="minorHAnsi" w:eastAsiaTheme="minorHAnsi" w:hAnsiTheme="minorHAnsi" w:cstheme="minorBidi"/>
          <w:color w:val="auto"/>
          <w:lang w:eastAsia="en-US"/>
        </w:rPr>
        <w:t>ce cudzoziemca</w:t>
      </w:r>
      <w:r w:rsidR="00792023">
        <w:rPr>
          <w:rFonts w:asciiTheme="minorHAnsi" w:eastAsiaTheme="minorHAnsi" w:hAnsiTheme="minorHAnsi" w:cstheme="minorBidi"/>
          <w:color w:val="auto"/>
          <w:lang w:eastAsia="en-US"/>
        </w:rPr>
        <w:t>:”</w:t>
      </w:r>
      <w:r w:rsidRPr="00AE6CA9">
        <w:rPr>
          <w:rFonts w:asciiTheme="minorHAnsi" w:eastAsiaTheme="minorHAnsi" w:hAnsiTheme="minorHAnsi" w:cstheme="minorBidi"/>
          <w:color w:val="auto"/>
          <w:lang w:eastAsia="en-US"/>
        </w:rPr>
        <w:t xml:space="preserve">. </w:t>
      </w:r>
    </w:p>
    <w:p w14:paraId="56834A0B" w14:textId="3C0897C3" w:rsidR="00C0567F" w:rsidRPr="00AE6CA9" w:rsidRDefault="00C0567F" w:rsidP="00123072">
      <w:pPr>
        <w:spacing w:after="120"/>
        <w:ind w:left="284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AE6CA9">
        <w:rPr>
          <w:rFonts w:asciiTheme="minorHAnsi" w:eastAsiaTheme="minorHAnsi" w:hAnsiTheme="minorHAnsi" w:cstheme="minorBidi"/>
          <w:color w:val="auto"/>
          <w:lang w:eastAsia="en-US"/>
        </w:rPr>
        <w:t>Przez użycie sformułowania „a w szczególno</w:t>
      </w:r>
      <w:r w:rsidRPr="00AE6CA9">
        <w:rPr>
          <w:rFonts w:asciiTheme="minorHAnsi" w:eastAsiaTheme="minorHAnsi" w:hAnsiTheme="minorHAnsi" w:cstheme="minorBidi" w:hint="eastAsia"/>
          <w:color w:val="auto"/>
          <w:lang w:eastAsia="en-US"/>
        </w:rPr>
        <w:t>ś</w:t>
      </w:r>
      <w:r w:rsidRPr="00AE6CA9">
        <w:rPr>
          <w:rFonts w:asciiTheme="minorHAnsi" w:eastAsiaTheme="minorHAnsi" w:hAnsiTheme="minorHAnsi" w:cstheme="minorBidi"/>
          <w:color w:val="auto"/>
          <w:lang w:eastAsia="en-US"/>
        </w:rPr>
        <w:t>ci nast</w:t>
      </w:r>
      <w:r w:rsidRPr="00AE6CA9">
        <w:rPr>
          <w:rFonts w:asciiTheme="minorHAnsi" w:eastAsiaTheme="minorHAnsi" w:hAnsiTheme="minorHAnsi" w:cstheme="minorBidi" w:hint="eastAsia"/>
          <w:color w:val="auto"/>
          <w:lang w:eastAsia="en-US"/>
        </w:rPr>
        <w:t>ę</w:t>
      </w:r>
      <w:r w:rsidRPr="00AE6CA9">
        <w:rPr>
          <w:rFonts w:asciiTheme="minorHAnsi" w:eastAsiaTheme="minorHAnsi" w:hAnsiTheme="minorHAnsi" w:cstheme="minorBidi"/>
          <w:color w:val="auto"/>
          <w:lang w:eastAsia="en-US"/>
        </w:rPr>
        <w:t>puj</w:t>
      </w:r>
      <w:r w:rsidRPr="00AE6CA9">
        <w:rPr>
          <w:rFonts w:asciiTheme="minorHAnsi" w:eastAsiaTheme="minorHAnsi" w:hAnsiTheme="minorHAnsi" w:cstheme="minorBidi" w:hint="eastAsia"/>
          <w:color w:val="auto"/>
          <w:lang w:eastAsia="en-US"/>
        </w:rPr>
        <w:t>ą</w:t>
      </w:r>
      <w:r w:rsidRPr="00AE6CA9">
        <w:rPr>
          <w:rFonts w:asciiTheme="minorHAnsi" w:eastAsiaTheme="minorHAnsi" w:hAnsiTheme="minorHAnsi" w:cstheme="minorBidi"/>
          <w:color w:val="auto"/>
          <w:lang w:eastAsia="en-US"/>
        </w:rPr>
        <w:t>ce dane lub informacje dotycz</w:t>
      </w:r>
      <w:r w:rsidRPr="00AE6CA9">
        <w:rPr>
          <w:rFonts w:asciiTheme="minorHAnsi" w:eastAsiaTheme="minorHAnsi" w:hAnsiTheme="minorHAnsi" w:cstheme="minorBidi" w:hint="eastAsia"/>
          <w:color w:val="auto"/>
          <w:lang w:eastAsia="en-US"/>
        </w:rPr>
        <w:t>ą</w:t>
      </w:r>
      <w:r w:rsidRPr="00AE6CA9">
        <w:rPr>
          <w:rFonts w:asciiTheme="minorHAnsi" w:eastAsiaTheme="minorHAnsi" w:hAnsiTheme="minorHAnsi" w:cstheme="minorBidi"/>
          <w:color w:val="auto"/>
          <w:lang w:eastAsia="en-US"/>
        </w:rPr>
        <w:t>ce cudzoziemca” projektodawca ustanawia otwarty katalog danych osobowych, które będą mogły być przetwarzane na tej podstawie. Taka konstrukcja budzi wątpliwości co do zgodności z zasadą minimalizacji danych</w:t>
      </w:r>
      <w:r w:rsidR="00792023">
        <w:rPr>
          <w:rFonts w:asciiTheme="minorHAnsi" w:eastAsiaTheme="minorHAnsi" w:hAnsiTheme="minorHAnsi" w:cstheme="minorBidi"/>
          <w:color w:val="auto"/>
          <w:lang w:eastAsia="en-US"/>
        </w:rPr>
        <w:t>,</w:t>
      </w:r>
      <w:r w:rsidRPr="00AE6CA9">
        <w:rPr>
          <w:rFonts w:asciiTheme="minorHAnsi" w:eastAsiaTheme="minorHAnsi" w:hAnsiTheme="minorHAnsi" w:cstheme="minorBidi"/>
          <w:color w:val="auto"/>
          <w:lang w:eastAsia="en-US"/>
        </w:rPr>
        <w:t xml:space="preserve"> określoną w art. 5 ust. 1 lit. c) </w:t>
      </w:r>
      <w:r w:rsidRPr="00AE6CA9">
        <w:rPr>
          <w:rFonts w:asciiTheme="minorHAnsi" w:eastAsiaTheme="minorHAnsi" w:hAnsiTheme="minorHAnsi" w:cstheme="minorBidi"/>
          <w:i/>
          <w:iCs/>
          <w:color w:val="auto"/>
          <w:lang w:eastAsia="en-US"/>
        </w:rPr>
        <w:t>rozporządzenia Parlamentu Europejskiego i</w:t>
      </w:r>
      <w:r w:rsidR="00792023">
        <w:rPr>
          <w:rFonts w:asciiTheme="minorHAnsi" w:eastAsiaTheme="minorHAnsi" w:hAnsiTheme="minorHAnsi" w:cstheme="minorBidi"/>
          <w:i/>
          <w:iCs/>
          <w:color w:val="auto"/>
          <w:lang w:eastAsia="en-US"/>
        </w:rPr>
        <w:t> </w:t>
      </w:r>
      <w:r w:rsidRPr="00AE6CA9">
        <w:rPr>
          <w:rFonts w:asciiTheme="minorHAnsi" w:eastAsiaTheme="minorHAnsi" w:hAnsiTheme="minorHAnsi" w:cstheme="minorBidi"/>
          <w:i/>
          <w:iCs/>
          <w:color w:val="auto"/>
          <w:lang w:eastAsia="en-US"/>
        </w:rPr>
        <w:t>Rady</w:t>
      </w:r>
      <w:r w:rsidR="00721BFC">
        <w:rPr>
          <w:rFonts w:asciiTheme="minorHAnsi" w:eastAsiaTheme="minorHAnsi" w:hAnsiTheme="minorHAnsi" w:cstheme="minorBidi"/>
          <w:i/>
          <w:iCs/>
          <w:color w:val="auto"/>
          <w:lang w:eastAsia="en-US"/>
        </w:rPr>
        <w:t xml:space="preserve"> </w:t>
      </w:r>
      <w:r w:rsidRPr="00AE6CA9">
        <w:rPr>
          <w:rFonts w:asciiTheme="minorHAnsi" w:eastAsiaTheme="minorHAnsi" w:hAnsiTheme="minorHAnsi" w:cstheme="minorBidi"/>
          <w:i/>
          <w:iCs/>
          <w:color w:val="auto"/>
          <w:lang w:eastAsia="en-US"/>
        </w:rPr>
        <w:t>(UE) 2016/679 z dnia 27 kwietnia 2016 r. w sprawie ochrony osób fizycznych w związku z</w:t>
      </w:r>
      <w:r w:rsidR="00792023">
        <w:rPr>
          <w:rFonts w:asciiTheme="minorHAnsi" w:eastAsiaTheme="minorHAnsi" w:hAnsiTheme="minorHAnsi" w:cstheme="minorBidi"/>
          <w:i/>
          <w:iCs/>
          <w:color w:val="auto"/>
          <w:lang w:eastAsia="en-US"/>
        </w:rPr>
        <w:t> </w:t>
      </w:r>
      <w:r w:rsidRPr="00AE6CA9">
        <w:rPr>
          <w:rFonts w:asciiTheme="minorHAnsi" w:eastAsiaTheme="minorHAnsi" w:hAnsiTheme="minorHAnsi" w:cstheme="minorBidi"/>
          <w:i/>
          <w:iCs/>
          <w:color w:val="auto"/>
          <w:lang w:eastAsia="en-US"/>
        </w:rPr>
        <w:t>przetwarzaniem danych osobowych i w sprawie swobodnego przepływu takich danych oraz</w:t>
      </w:r>
      <w:r w:rsidR="00792023">
        <w:rPr>
          <w:rFonts w:asciiTheme="minorHAnsi" w:eastAsiaTheme="minorHAnsi" w:hAnsiTheme="minorHAnsi" w:cstheme="minorBidi"/>
          <w:i/>
          <w:iCs/>
          <w:color w:val="auto"/>
          <w:lang w:eastAsia="en-US"/>
        </w:rPr>
        <w:t> </w:t>
      </w:r>
      <w:r w:rsidRPr="00AE6CA9">
        <w:rPr>
          <w:rFonts w:asciiTheme="minorHAnsi" w:eastAsiaTheme="minorHAnsi" w:hAnsiTheme="minorHAnsi" w:cstheme="minorBidi"/>
          <w:i/>
          <w:iCs/>
          <w:color w:val="auto"/>
          <w:lang w:eastAsia="en-US"/>
        </w:rPr>
        <w:t>uchylenia dyrektywy 95/46/WE</w:t>
      </w:r>
      <w:r w:rsidRPr="00AE6CA9">
        <w:rPr>
          <w:rFonts w:asciiTheme="minorHAnsi" w:eastAsiaTheme="minorHAnsi" w:hAnsiTheme="minorHAnsi" w:cstheme="minorBidi"/>
          <w:color w:val="auto"/>
          <w:lang w:eastAsia="en-US"/>
        </w:rPr>
        <w:t xml:space="preserve"> (ogólne rozporządzenie o ochronie danych). Zgodnie z nią dane osobowe muszą być adekwatne, stosowne oraz ograniczone do tego, co niezbędne do celów, w których są przetwarzane. W związku z tym zasadna jest rezygnacja ze sformułowania „w</w:t>
      </w:r>
      <w:r w:rsidR="00792023">
        <w:rPr>
          <w:rFonts w:asciiTheme="minorHAnsi" w:eastAsiaTheme="minorHAnsi" w:hAnsiTheme="minorHAnsi" w:cstheme="minorBidi"/>
          <w:color w:val="auto"/>
          <w:lang w:eastAsia="en-US"/>
        </w:rPr>
        <w:t> </w:t>
      </w:r>
      <w:r w:rsidRPr="00AE6CA9">
        <w:rPr>
          <w:rFonts w:asciiTheme="minorHAnsi" w:eastAsiaTheme="minorHAnsi" w:hAnsiTheme="minorHAnsi" w:cstheme="minorBidi"/>
          <w:color w:val="auto"/>
          <w:lang w:eastAsia="en-US"/>
        </w:rPr>
        <w:t xml:space="preserve">szczególności” i ograniczenie katalogu danych osobowych podlegających przetwarzaniu do tych danych, które są niezbędne ze względu na wskazany cel. </w:t>
      </w:r>
    </w:p>
    <w:p w14:paraId="05BC75D8" w14:textId="77777777" w:rsidR="00C0567F" w:rsidRDefault="00C0567F" w:rsidP="00123072">
      <w:pPr>
        <w:spacing w:after="120"/>
        <w:ind w:left="284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AE6CA9">
        <w:rPr>
          <w:rFonts w:asciiTheme="minorHAnsi" w:eastAsiaTheme="minorHAnsi" w:hAnsiTheme="minorHAnsi" w:cstheme="minorBidi"/>
          <w:color w:val="auto"/>
          <w:lang w:eastAsia="en-US"/>
        </w:rPr>
        <w:t xml:space="preserve">Ta sama uwaga dotyczy podobnie zaprojektowanego art. 8 ustawy o wjeździe na terytorium Rzeczypospolitej Polskiej, pobycie oraz wyjeździe z tego terytorium obywateli państw członkowskich Unii Europejskiej i członków ich rodzin (art. 6 pkt 2 projektu ustawy). </w:t>
      </w:r>
    </w:p>
    <w:p w14:paraId="39FDE7EE" w14:textId="19AC756D" w:rsidR="00763AD1" w:rsidRPr="00792023" w:rsidRDefault="00763AD1" w:rsidP="00792023">
      <w:pPr>
        <w:pStyle w:val="Akapitzlist"/>
        <w:numPr>
          <w:ilvl w:val="0"/>
          <w:numId w:val="11"/>
        </w:numPr>
        <w:spacing w:after="120"/>
        <w:ind w:left="283" w:hanging="357"/>
        <w:contextualSpacing w:val="0"/>
        <w:jc w:val="both"/>
      </w:pPr>
      <w:r>
        <w:lastRenderedPageBreak/>
        <w:t>Zgodnie z projektowanym art. 15b ustawy o cudzoziemcach (art. 1 pkt 5 projektu ustawy) w</w:t>
      </w:r>
      <w:r w:rsidRPr="00643F0F">
        <w:t> celu realizacji zadań określonych w ustawie Szef Urzędu do Spraw Cudzoziemców oraz wojewoda mogą pozyskiwać z systemu teleinformatycznego Straży Granicznej, przy wykorzystaniu własnych lub</w:t>
      </w:r>
      <w:r w:rsidR="00792023">
        <w:t> </w:t>
      </w:r>
      <w:r w:rsidRPr="00643F0F">
        <w:t>innych systemów teleinformatycznych, informacje przetwarzane na podstawie art. 1 ust. 2 pkt 9 ustawy o </w:t>
      </w:r>
      <w:r>
        <w:t>Straży Granicznej</w:t>
      </w:r>
      <w:r w:rsidR="00721BFC">
        <w:t>,</w:t>
      </w:r>
      <w:r>
        <w:t xml:space="preserve"> </w:t>
      </w:r>
      <w:r w:rsidRPr="00643F0F">
        <w:t xml:space="preserve">dotyczące przekraczania przez cudzoziemców granicy Rzeczypospolitej Polskiej </w:t>
      </w:r>
      <w:r w:rsidR="00792023">
        <w:t>(</w:t>
      </w:r>
      <w:r w:rsidRPr="00643F0F">
        <w:t xml:space="preserve">jeżeli są spełnione </w:t>
      </w:r>
      <w:r w:rsidR="00792023">
        <w:t xml:space="preserve">określone </w:t>
      </w:r>
      <w:r w:rsidRPr="00643F0F">
        <w:t>warunki</w:t>
      </w:r>
      <w:r w:rsidR="00792023">
        <w:t xml:space="preserve">). </w:t>
      </w:r>
      <w:r w:rsidRPr="00792023">
        <w:rPr>
          <w:bCs/>
        </w:rPr>
        <w:t>Zgodnie z wymogami wspomnianej zasady minimalizacji danych (art. 5 ust. 1 lit. c) rozporządzenia 2016/679) zasadne wydaje się dookreślenie użyte</w:t>
      </w:r>
      <w:r w:rsidR="00792023" w:rsidRPr="00792023">
        <w:rPr>
          <w:bCs/>
        </w:rPr>
        <w:t>go</w:t>
      </w:r>
      <w:r w:rsidRPr="00792023">
        <w:rPr>
          <w:bCs/>
        </w:rPr>
        <w:t xml:space="preserve"> w projektowanym przepisie </w:t>
      </w:r>
      <w:r w:rsidR="00792023" w:rsidRPr="00792023">
        <w:rPr>
          <w:bCs/>
        </w:rPr>
        <w:t>sformułowania</w:t>
      </w:r>
      <w:r w:rsidRPr="00792023">
        <w:rPr>
          <w:bCs/>
        </w:rPr>
        <w:t xml:space="preserve"> o</w:t>
      </w:r>
      <w:r w:rsidR="00792023" w:rsidRPr="00792023">
        <w:rPr>
          <w:bCs/>
        </w:rPr>
        <w:t> </w:t>
      </w:r>
      <w:r w:rsidRPr="00792023">
        <w:rPr>
          <w:bCs/>
        </w:rPr>
        <w:t xml:space="preserve">pozyskiwaniu informacji </w:t>
      </w:r>
      <w:r w:rsidR="003F0FDB" w:rsidRPr="00792023">
        <w:rPr>
          <w:bCs/>
        </w:rPr>
        <w:t>„</w:t>
      </w:r>
      <w:r w:rsidRPr="00792023">
        <w:rPr>
          <w:bCs/>
        </w:rPr>
        <w:t xml:space="preserve">dotyczących przekraczania przez cudzoziemców granicy Rzeczypospolitej Polskiej”. Wydaje się, że w celu prawidłowego wykonania obowiązków wynikających z rozporządzenia 2016/679 zasadne jest wskazanie, o które dokładnie informacje dotyczące tej kwestii ma chodzić. </w:t>
      </w:r>
    </w:p>
    <w:p w14:paraId="5CB77824" w14:textId="77ECF8C2" w:rsidR="00763AD1" w:rsidRDefault="00763AD1" w:rsidP="00792023">
      <w:pPr>
        <w:pStyle w:val="Akapitzlist"/>
        <w:numPr>
          <w:ilvl w:val="0"/>
          <w:numId w:val="11"/>
        </w:numPr>
        <w:spacing w:after="120"/>
        <w:ind w:left="283" w:hanging="357"/>
        <w:contextualSpacing w:val="0"/>
        <w:jc w:val="both"/>
        <w:rPr>
          <w:bCs/>
        </w:rPr>
      </w:pPr>
      <w:r>
        <w:rPr>
          <w:bCs/>
        </w:rPr>
        <w:t>Pod kątem wspomnianej zasady minimalizacji danych (art. 5 ust. 1 lit. c</w:t>
      </w:r>
      <w:r w:rsidR="000D134F">
        <w:rPr>
          <w:bCs/>
        </w:rPr>
        <w:t>)</w:t>
      </w:r>
      <w:r>
        <w:rPr>
          <w:bCs/>
        </w:rPr>
        <w:t xml:space="preserve"> rozporządzenia 2016/679) zasadne wydaje się doprecyzowanie zadań, do których </w:t>
      </w:r>
      <w:r w:rsidRPr="00607A5E">
        <w:rPr>
          <w:bCs/>
        </w:rPr>
        <w:t>Szef Urzędu do Spraw Cudzoziemców oraz</w:t>
      </w:r>
      <w:r w:rsidR="00792023">
        <w:rPr>
          <w:bCs/>
        </w:rPr>
        <w:t> </w:t>
      </w:r>
      <w:r w:rsidRPr="00607A5E">
        <w:rPr>
          <w:bCs/>
        </w:rPr>
        <w:t>wojewoda</w:t>
      </w:r>
      <w:r>
        <w:rPr>
          <w:bCs/>
        </w:rPr>
        <w:t xml:space="preserve"> mogliby wykorzystywać w ten sposób pozyskane dane (</w:t>
      </w:r>
      <w:r w:rsidRPr="00B30E8B">
        <w:rPr>
          <w:bCs/>
        </w:rPr>
        <w:t>art. 15b ustawy o</w:t>
      </w:r>
      <w:r w:rsidR="00792023">
        <w:rPr>
          <w:bCs/>
        </w:rPr>
        <w:t> </w:t>
      </w:r>
      <w:r w:rsidRPr="00B30E8B">
        <w:rPr>
          <w:bCs/>
        </w:rPr>
        <w:t>cudzoziemcach (art. 1 pkt 5 projektu ustawy)</w:t>
      </w:r>
      <w:r>
        <w:rPr>
          <w:bCs/>
        </w:rPr>
        <w:t>). Obecnie projektowany przepis wskazuje, że</w:t>
      </w:r>
      <w:r w:rsidR="00792023">
        <w:rPr>
          <w:bCs/>
        </w:rPr>
        <w:t> </w:t>
      </w:r>
      <w:r>
        <w:rPr>
          <w:bCs/>
        </w:rPr>
        <w:t xml:space="preserve">informacje te mają być wykorzystywane do szeroko określonych zadań tych podmiotów wynikających z ustawy. </w:t>
      </w:r>
    </w:p>
    <w:p w14:paraId="0588DF63" w14:textId="7E030411" w:rsidR="00763AD1" w:rsidRDefault="00763AD1" w:rsidP="00792023">
      <w:pPr>
        <w:pStyle w:val="Akapitzlist"/>
        <w:spacing w:after="120"/>
        <w:ind w:left="284"/>
        <w:contextualSpacing w:val="0"/>
        <w:jc w:val="both"/>
        <w:rPr>
          <w:bCs/>
        </w:rPr>
      </w:pPr>
      <w:r>
        <w:rPr>
          <w:bCs/>
        </w:rPr>
        <w:t xml:space="preserve">Odpowiadałoby to również zasadom </w:t>
      </w:r>
      <w:r w:rsidRPr="004260D7">
        <w:rPr>
          <w:bCs/>
        </w:rPr>
        <w:t>zgodności z prawem, rzetelności i przej</w:t>
      </w:r>
      <w:r>
        <w:rPr>
          <w:bCs/>
        </w:rPr>
        <w:t>rzystości oraz</w:t>
      </w:r>
      <w:r w:rsidR="00792023">
        <w:rPr>
          <w:bCs/>
        </w:rPr>
        <w:t> </w:t>
      </w:r>
      <w:r w:rsidRPr="004260D7">
        <w:rPr>
          <w:bCs/>
        </w:rPr>
        <w:t>ograniczenia celu (art. 5 ust. 1 lit. a) i lit. b) rozporządzenia 2016/679), zgodnie z którymi dane osobowe muszą być przetwarzane zgodnie z prawem, rzetelnie i w sposób przejrzysty dla osoby, której dane dotyczą („zgodność z prawem, rzetelność i przejrzystość”) oraz zbierane w konkretnych, wyraźnych i prawnie uzasadnionych celach i nieprzetwarzane dalej w sposób niezgodny z tymi celami („ograniczenie celu”).</w:t>
      </w:r>
    </w:p>
    <w:p w14:paraId="6EEE986D" w14:textId="77777777" w:rsidR="00763AD1" w:rsidRDefault="00763AD1" w:rsidP="00394978">
      <w:pPr>
        <w:pStyle w:val="Akapitzlist"/>
        <w:spacing w:after="120"/>
        <w:ind w:left="284"/>
        <w:contextualSpacing w:val="0"/>
        <w:jc w:val="both"/>
        <w:rPr>
          <w:bCs/>
        </w:rPr>
      </w:pPr>
      <w:r>
        <w:rPr>
          <w:bCs/>
        </w:rPr>
        <w:t xml:space="preserve">Ta sama uwaga dotyczy również projektowanego art. 50 ust. 11 ustawy o systemie ubezpieczeń społecznych (art. 6 pkt 1 projektu ustawy), który stanowi, że </w:t>
      </w:r>
      <w:r w:rsidRPr="000959A9">
        <w:rPr>
          <w:bCs/>
        </w:rPr>
        <w:t xml:space="preserve">Straż Graniczna i Państwowa Inspekcja Pracy w celu realizacji zadań mogą pozyskiwać z systemu teleinformatycznego Zakładu Ubezpieczeń Społecznych, przy wykorzystaniu własnych lub innych systemów teleinformatycznych, </w:t>
      </w:r>
      <w:r>
        <w:rPr>
          <w:bCs/>
        </w:rPr>
        <w:t xml:space="preserve">określone </w:t>
      </w:r>
      <w:r w:rsidRPr="000959A9">
        <w:rPr>
          <w:bCs/>
        </w:rPr>
        <w:t>informacje</w:t>
      </w:r>
      <w:r>
        <w:rPr>
          <w:bCs/>
        </w:rPr>
        <w:t xml:space="preserve">. </w:t>
      </w:r>
    </w:p>
    <w:p w14:paraId="525A8808" w14:textId="19637A90" w:rsidR="00763AD1" w:rsidRDefault="00763AD1" w:rsidP="00123072">
      <w:pPr>
        <w:pStyle w:val="Akapitzlist"/>
        <w:spacing w:after="120"/>
        <w:ind w:left="284"/>
        <w:contextualSpacing w:val="0"/>
        <w:jc w:val="both"/>
        <w:rPr>
          <w:bCs/>
        </w:rPr>
      </w:pPr>
      <w:r>
        <w:rPr>
          <w:bCs/>
        </w:rPr>
        <w:t>Konkretne wskazanie zadań tych podmiotów w obu przypadkach pozwoliłoby również na</w:t>
      </w:r>
      <w:r w:rsidR="00394978">
        <w:rPr>
          <w:bCs/>
        </w:rPr>
        <w:t> </w:t>
      </w:r>
      <w:r>
        <w:rPr>
          <w:bCs/>
        </w:rPr>
        <w:t>dokonanie pełnej oceny zgodności tych przepisów z art. 6 ust. 4 rozporządzenia 2016/679, który</w:t>
      </w:r>
      <w:r w:rsidR="00394978">
        <w:rPr>
          <w:bCs/>
        </w:rPr>
        <w:t> </w:t>
      </w:r>
      <w:r>
        <w:rPr>
          <w:bCs/>
        </w:rPr>
        <w:t xml:space="preserve">ustanawia zasady przetwarzania </w:t>
      </w:r>
      <w:r w:rsidRPr="004260D7">
        <w:rPr>
          <w:bCs/>
        </w:rPr>
        <w:t xml:space="preserve">danych </w:t>
      </w:r>
      <w:r>
        <w:rPr>
          <w:bCs/>
        </w:rPr>
        <w:t xml:space="preserve">osobowych </w:t>
      </w:r>
      <w:r w:rsidRPr="004260D7">
        <w:rPr>
          <w:bCs/>
        </w:rPr>
        <w:t xml:space="preserve">w innym celu niż </w:t>
      </w:r>
      <w:r w:rsidR="00394978">
        <w:rPr>
          <w:bCs/>
        </w:rPr>
        <w:t xml:space="preserve">cel, w którym dane </w:t>
      </w:r>
      <w:r w:rsidRPr="004260D7">
        <w:rPr>
          <w:bCs/>
        </w:rPr>
        <w:t>zostały pierwotnie zebrane</w:t>
      </w:r>
      <w:r>
        <w:rPr>
          <w:bCs/>
        </w:rPr>
        <w:t xml:space="preserve">. Należy bowiem zauważyć, że zgodnie z tym artykułem, </w:t>
      </w:r>
      <w:r w:rsidRPr="00802B34">
        <w:rPr>
          <w:bCs/>
        </w:rPr>
        <w:t>zmiana celu oparta na przepisach</w:t>
      </w:r>
      <w:r>
        <w:rPr>
          <w:bCs/>
        </w:rPr>
        <w:t xml:space="preserve"> prawa, a zatem taka, jaka będzie odbywać się w omawianych sytuacjach, powinna zostać</w:t>
      </w:r>
      <w:r w:rsidRPr="00802B34">
        <w:rPr>
          <w:bCs/>
        </w:rPr>
        <w:t xml:space="preserve"> ograniczona wyłącznie do przypadków stanowiących w demokratycznym społeczeństwie niezbędny i proporcjonalny środek służący zagwarantowaniu celów, o których mowa w art. 23 ust. 1 rozporządzenia 2016/679 (np. bezpieczeństwo narodowe lub publiczne czy</w:t>
      </w:r>
      <w:r w:rsidR="00394978">
        <w:rPr>
          <w:bCs/>
        </w:rPr>
        <w:t> </w:t>
      </w:r>
      <w:r w:rsidRPr="00802B34">
        <w:rPr>
          <w:bCs/>
        </w:rPr>
        <w:t>zapobieganie przestępczości).</w:t>
      </w:r>
      <w:r>
        <w:rPr>
          <w:bCs/>
        </w:rPr>
        <w:t xml:space="preserve"> Tymczasem przy tak ogólnie określonych zadaniach wskazanych organów nie można w pełnić ocenić, czy wszystkie z nich wpisują się w cele określone w art. 23 ust. 1 rozporządzenia 2016/679. </w:t>
      </w:r>
    </w:p>
    <w:p w14:paraId="7B6921FD" w14:textId="2847759D" w:rsidR="00D22654" w:rsidRPr="00394978" w:rsidRDefault="00D22654" w:rsidP="00394978">
      <w:pPr>
        <w:pStyle w:val="Akapitzlist"/>
        <w:numPr>
          <w:ilvl w:val="0"/>
          <w:numId w:val="11"/>
        </w:numPr>
        <w:spacing w:after="120"/>
        <w:ind w:left="283" w:hanging="357"/>
        <w:contextualSpacing w:val="0"/>
        <w:jc w:val="both"/>
        <w:rPr>
          <w:bCs/>
        </w:rPr>
      </w:pPr>
      <w:r>
        <w:rPr>
          <w:bCs/>
        </w:rPr>
        <w:t>Ponadto w</w:t>
      </w:r>
      <w:r w:rsidRPr="00344FE0">
        <w:rPr>
          <w:bCs/>
        </w:rPr>
        <w:t xml:space="preserve">yjaśnienia wymaga kwestia tego, czy wskazane organy </w:t>
      </w:r>
      <w:r>
        <w:rPr>
          <w:bCs/>
        </w:rPr>
        <w:t xml:space="preserve">do tak określonych zadań </w:t>
      </w:r>
      <w:r w:rsidRPr="00344FE0">
        <w:rPr>
          <w:bCs/>
        </w:rPr>
        <w:t>muszą mieć zapewni</w:t>
      </w:r>
      <w:r>
        <w:rPr>
          <w:bCs/>
        </w:rPr>
        <w:t xml:space="preserve">ony dostęp do wszystkich informacji </w:t>
      </w:r>
      <w:r w:rsidRPr="00344FE0">
        <w:rPr>
          <w:bCs/>
        </w:rPr>
        <w:t xml:space="preserve">wynikających z </w:t>
      </w:r>
      <w:r>
        <w:rPr>
          <w:bCs/>
        </w:rPr>
        <w:t xml:space="preserve">projektowanego </w:t>
      </w:r>
      <w:r w:rsidRPr="00344FE0">
        <w:rPr>
          <w:bCs/>
        </w:rPr>
        <w:t>art. 15b ustawy o cudzoziemcach (art.</w:t>
      </w:r>
      <w:r>
        <w:rPr>
          <w:bCs/>
        </w:rPr>
        <w:t xml:space="preserve"> 1 pkt 5 projektu ustawy)</w:t>
      </w:r>
      <w:r w:rsidRPr="00344FE0">
        <w:rPr>
          <w:bCs/>
        </w:rPr>
        <w:t xml:space="preserve">. Wydaje się bowiem, że dostęp do </w:t>
      </w:r>
      <w:r>
        <w:rPr>
          <w:bCs/>
        </w:rPr>
        <w:t>omawianych informacji powinien zostać</w:t>
      </w:r>
      <w:r w:rsidRPr="00344FE0">
        <w:rPr>
          <w:bCs/>
        </w:rPr>
        <w:t xml:space="preserve"> zawężony do </w:t>
      </w:r>
      <w:r w:rsidRPr="00123072">
        <w:rPr>
          <w:bCs/>
        </w:rPr>
        <w:t>danych niezbędnych dla realizacji</w:t>
      </w:r>
      <w:r w:rsidRPr="002E208C">
        <w:rPr>
          <w:bCs/>
        </w:rPr>
        <w:t xml:space="preserve"> przez dany podmiot określonych zadań</w:t>
      </w:r>
      <w:r>
        <w:rPr>
          <w:bCs/>
        </w:rPr>
        <w:t xml:space="preserve">, w projektowanym przepisie takiego zastrzeżenia jednak nie ma. </w:t>
      </w:r>
      <w:r w:rsidRPr="00394978">
        <w:rPr>
          <w:bCs/>
        </w:rPr>
        <w:t>Takie</w:t>
      </w:r>
      <w:r w:rsidR="00394978">
        <w:rPr>
          <w:bCs/>
        </w:rPr>
        <w:t> </w:t>
      </w:r>
      <w:r w:rsidRPr="00394978">
        <w:rPr>
          <w:bCs/>
        </w:rPr>
        <w:t xml:space="preserve">doprecyzowanie odpowiadałoby wspomnianej zasadzie minimalizacji danych, jak też zasadom zgodności z prawem, rzetelności i przejrzystości oraz ograniczenia celu (art. 5 ust. 1 lit. a) i lit. b) rozporządzenia 2016/679). </w:t>
      </w:r>
    </w:p>
    <w:p w14:paraId="0B49DCED" w14:textId="77777777" w:rsidR="00D22654" w:rsidRPr="002D58F5" w:rsidRDefault="00D22654" w:rsidP="00123072">
      <w:pPr>
        <w:pStyle w:val="Akapitzlist"/>
        <w:spacing w:after="120"/>
        <w:ind w:left="284"/>
        <w:jc w:val="both"/>
        <w:rPr>
          <w:bCs/>
        </w:rPr>
      </w:pPr>
      <w:r>
        <w:rPr>
          <w:bCs/>
        </w:rPr>
        <w:lastRenderedPageBreak/>
        <w:t xml:space="preserve">Ta sama uwaga dotyczy również projektowanego </w:t>
      </w:r>
      <w:r w:rsidRPr="00CC7ECE">
        <w:rPr>
          <w:bCs/>
        </w:rPr>
        <w:t>art. 50 ust. 11 ustawy o systemie ubezpieczeń społecznych (art. 6</w:t>
      </w:r>
      <w:r>
        <w:rPr>
          <w:bCs/>
        </w:rPr>
        <w:t xml:space="preserve"> pkt 1</w:t>
      </w:r>
      <w:r w:rsidRPr="00CC7ECE">
        <w:rPr>
          <w:bCs/>
        </w:rPr>
        <w:t xml:space="preserve"> projektu ustawy),</w:t>
      </w:r>
      <w:r>
        <w:rPr>
          <w:bCs/>
        </w:rPr>
        <w:t xml:space="preserve"> który również nie zawiera zawężenia w powyższym zakresie. </w:t>
      </w:r>
    </w:p>
    <w:p w14:paraId="2CB90A63" w14:textId="0FC6E423" w:rsidR="007F1748" w:rsidRPr="00394978" w:rsidRDefault="00D22654" w:rsidP="00394978">
      <w:pPr>
        <w:numPr>
          <w:ilvl w:val="0"/>
          <w:numId w:val="11"/>
        </w:numPr>
        <w:spacing w:after="120"/>
        <w:ind w:left="283" w:hanging="357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>
        <w:rPr>
          <w:rFonts w:asciiTheme="minorHAnsi" w:eastAsiaTheme="minorHAnsi" w:hAnsiTheme="minorHAnsi" w:cstheme="minorBidi"/>
          <w:color w:val="auto"/>
          <w:lang w:eastAsia="en-US"/>
        </w:rPr>
        <w:t xml:space="preserve">W </w:t>
      </w:r>
      <w:r w:rsidR="007F1748">
        <w:rPr>
          <w:rFonts w:asciiTheme="minorHAnsi" w:eastAsiaTheme="minorHAnsi" w:hAnsiTheme="minorHAnsi" w:cstheme="minorBidi"/>
          <w:color w:val="auto"/>
          <w:lang w:eastAsia="en-US"/>
        </w:rPr>
        <w:t>art. 1 pkt 24 lit. c</w:t>
      </w:r>
      <w:r w:rsidR="00394978">
        <w:rPr>
          <w:rFonts w:asciiTheme="minorHAnsi" w:eastAsiaTheme="minorHAnsi" w:hAnsiTheme="minorHAnsi" w:cstheme="minorBidi"/>
          <w:color w:val="auto"/>
          <w:lang w:eastAsia="en-US"/>
        </w:rPr>
        <w:t>)</w:t>
      </w:r>
      <w:r w:rsidR="007F1748">
        <w:rPr>
          <w:rFonts w:asciiTheme="minorHAnsi" w:eastAsiaTheme="minorHAnsi" w:hAnsiTheme="minorHAnsi" w:cstheme="minorBidi"/>
          <w:color w:val="auto"/>
          <w:lang w:eastAsia="en-US"/>
        </w:rPr>
        <w:t xml:space="preserve"> </w:t>
      </w:r>
      <w:r w:rsidR="007F1748" w:rsidRPr="000B1E0A">
        <w:rPr>
          <w:rFonts w:asciiTheme="minorHAnsi" w:eastAsia="Times New Roman" w:hAnsiTheme="minorHAnsi" w:cstheme="minorHAnsi"/>
          <w:color w:val="auto"/>
        </w:rPr>
        <w:t>projek</w:t>
      </w:r>
      <w:r w:rsidR="007F1748">
        <w:rPr>
          <w:rFonts w:asciiTheme="minorHAnsi" w:eastAsia="Times New Roman" w:hAnsiTheme="minorHAnsi" w:cstheme="minorHAnsi"/>
          <w:color w:val="auto"/>
        </w:rPr>
        <w:t>tu</w:t>
      </w:r>
      <w:r w:rsidR="007F1748" w:rsidRPr="000B1E0A">
        <w:rPr>
          <w:rFonts w:asciiTheme="minorHAnsi" w:eastAsia="Times New Roman" w:hAnsiTheme="minorHAnsi" w:cstheme="minorHAnsi"/>
          <w:color w:val="auto"/>
        </w:rPr>
        <w:t xml:space="preserve"> przewiduje się dodanie w ustawie z dnia 12 grudnia 2013 r. o</w:t>
      </w:r>
      <w:r w:rsidR="00394978">
        <w:rPr>
          <w:rFonts w:asciiTheme="minorHAnsi" w:eastAsia="Times New Roman" w:hAnsiTheme="minorHAnsi" w:cstheme="minorHAnsi"/>
          <w:color w:val="auto"/>
        </w:rPr>
        <w:t> </w:t>
      </w:r>
      <w:r w:rsidR="007F1748" w:rsidRPr="000B1E0A">
        <w:rPr>
          <w:rFonts w:asciiTheme="minorHAnsi" w:eastAsia="Times New Roman" w:hAnsiTheme="minorHAnsi" w:cstheme="minorHAnsi"/>
          <w:color w:val="auto"/>
        </w:rPr>
        <w:t>cudzoziemcach nowego art. 299 ust. 9 pkt 4.</w:t>
      </w:r>
      <w:r w:rsidR="00394978">
        <w:rPr>
          <w:rFonts w:asciiTheme="minorHAnsi" w:eastAsiaTheme="minorHAnsi" w:hAnsiTheme="minorHAnsi" w:cstheme="minorBidi"/>
          <w:color w:val="auto"/>
          <w:lang w:eastAsia="en-US"/>
        </w:rPr>
        <w:t xml:space="preserve"> </w:t>
      </w:r>
      <w:r w:rsidR="007F1748" w:rsidRPr="00394978">
        <w:rPr>
          <w:rFonts w:asciiTheme="minorHAnsi" w:eastAsiaTheme="minorHAnsi" w:hAnsiTheme="minorHAnsi" w:cstheme="minorBidi"/>
          <w:color w:val="auto"/>
          <w:lang w:eastAsia="en-US"/>
        </w:rPr>
        <w:t xml:space="preserve">Projektowany </w:t>
      </w:r>
      <w:r w:rsidR="007F1748" w:rsidRPr="00394978">
        <w:rPr>
          <w:rFonts w:asciiTheme="minorHAnsi" w:eastAsia="Times New Roman" w:hAnsiTheme="minorHAnsi" w:cstheme="minorHAnsi"/>
          <w:color w:val="auto"/>
        </w:rPr>
        <w:t>przepis stanowi, że przepisów art. 299 ust. 6 pkt 1 lit. b</w:t>
      </w:r>
      <w:r w:rsidR="00394978">
        <w:rPr>
          <w:rFonts w:asciiTheme="minorHAnsi" w:eastAsia="Times New Roman" w:hAnsiTheme="minorHAnsi" w:cstheme="minorHAnsi"/>
          <w:color w:val="auto"/>
        </w:rPr>
        <w:t>)</w:t>
      </w:r>
      <w:r w:rsidR="007F1748" w:rsidRPr="00394978">
        <w:rPr>
          <w:rFonts w:asciiTheme="minorHAnsi" w:eastAsia="Times New Roman" w:hAnsiTheme="minorHAnsi" w:cstheme="minorHAnsi"/>
          <w:color w:val="auto"/>
        </w:rPr>
        <w:t xml:space="preserve"> i ust.</w:t>
      </w:r>
      <w:r w:rsidR="00A9290E" w:rsidRPr="00394978">
        <w:rPr>
          <w:rFonts w:asciiTheme="minorHAnsi" w:eastAsia="Times New Roman" w:hAnsiTheme="minorHAnsi" w:cstheme="minorHAnsi"/>
          <w:color w:val="auto"/>
        </w:rPr>
        <w:t xml:space="preserve"> </w:t>
      </w:r>
      <w:r w:rsidR="007F1748" w:rsidRPr="00394978">
        <w:rPr>
          <w:rFonts w:asciiTheme="minorHAnsi" w:eastAsia="Times New Roman" w:hAnsiTheme="minorHAnsi" w:cstheme="minorHAnsi"/>
          <w:color w:val="auto"/>
        </w:rPr>
        <w:t>7 ustawy o cudzoziemcach nie stosuje się w przypadku, gdy decyzji o</w:t>
      </w:r>
      <w:r w:rsidR="00394978">
        <w:rPr>
          <w:rFonts w:asciiTheme="minorHAnsi" w:eastAsia="Times New Roman" w:hAnsiTheme="minorHAnsi" w:cstheme="minorHAnsi"/>
          <w:color w:val="auto"/>
        </w:rPr>
        <w:t> </w:t>
      </w:r>
      <w:r w:rsidR="007F1748" w:rsidRPr="00394978">
        <w:rPr>
          <w:rFonts w:asciiTheme="minorHAnsi" w:eastAsia="Times New Roman" w:hAnsiTheme="minorHAnsi" w:cstheme="minorHAnsi"/>
          <w:color w:val="auto"/>
        </w:rPr>
        <w:t>pozbawieniu cudzoziemca statusu uchodźcy lub ochrony uzupełniającej nadano rygor natychmiastowej wykonalności i cudzoziemiec stanowi zagrożenie dla obronności lub</w:t>
      </w:r>
      <w:r w:rsidR="00394978">
        <w:rPr>
          <w:rFonts w:asciiTheme="minorHAnsi" w:eastAsia="Times New Roman" w:hAnsiTheme="minorHAnsi" w:cstheme="minorHAnsi"/>
          <w:color w:val="auto"/>
        </w:rPr>
        <w:t> </w:t>
      </w:r>
      <w:r w:rsidR="007F1748" w:rsidRPr="00394978">
        <w:rPr>
          <w:rFonts w:asciiTheme="minorHAnsi" w:eastAsia="Times New Roman" w:hAnsiTheme="minorHAnsi" w:cstheme="minorHAnsi"/>
          <w:color w:val="auto"/>
        </w:rPr>
        <w:t xml:space="preserve">bezpieczeństwa państwa lub popełnił poważne przestępstwo lub został skazany prawomocnym wyrokiem za szczególnie poważne przestępstwo i stanowi zagrożenie dla ochrony bezpieczeństwa i porządku publicznego. </w:t>
      </w:r>
    </w:p>
    <w:p w14:paraId="51D0357B" w14:textId="5CB7A799" w:rsidR="007F1748" w:rsidRDefault="007F1748" w:rsidP="00123072">
      <w:pPr>
        <w:spacing w:after="120"/>
        <w:ind w:left="284"/>
        <w:jc w:val="both"/>
        <w:rPr>
          <w:rFonts w:asciiTheme="minorHAnsi" w:eastAsia="Times New Roman" w:hAnsiTheme="minorHAnsi" w:cstheme="minorHAnsi"/>
          <w:color w:val="auto"/>
        </w:rPr>
      </w:pPr>
      <w:r>
        <w:rPr>
          <w:rFonts w:asciiTheme="minorHAnsi" w:eastAsia="Times New Roman" w:hAnsiTheme="minorHAnsi" w:cstheme="minorHAnsi"/>
          <w:color w:val="auto"/>
        </w:rPr>
        <w:t xml:space="preserve">Zgodnie </w:t>
      </w:r>
      <w:r w:rsidRPr="000B1E0A">
        <w:rPr>
          <w:rFonts w:asciiTheme="minorHAnsi" w:eastAsia="Times New Roman" w:hAnsiTheme="minorHAnsi" w:cstheme="minorHAnsi"/>
          <w:color w:val="auto"/>
        </w:rPr>
        <w:t>z art. 299 ust. 6 pkt 1 lit. b</w:t>
      </w:r>
      <w:r w:rsidR="00394978">
        <w:rPr>
          <w:rFonts w:asciiTheme="minorHAnsi" w:eastAsia="Times New Roman" w:hAnsiTheme="minorHAnsi" w:cstheme="minorHAnsi"/>
          <w:color w:val="auto"/>
        </w:rPr>
        <w:t>)</w:t>
      </w:r>
      <w:r w:rsidRPr="000B1E0A">
        <w:rPr>
          <w:rFonts w:asciiTheme="minorHAnsi" w:eastAsia="Times New Roman" w:hAnsiTheme="minorHAnsi" w:cstheme="minorHAnsi"/>
          <w:color w:val="auto"/>
        </w:rPr>
        <w:t xml:space="preserve"> ustawy o cudzoziemcach, cudzoziemiec jest obowiązany opuścić terytorium Rzeczypospolitej Polskiej w terminie 30 dni od dnia, w którym decyzja o pozbawieniu go statusu uchodźcy lub</w:t>
      </w:r>
      <w:r w:rsidR="00394978">
        <w:rPr>
          <w:rFonts w:asciiTheme="minorHAnsi" w:eastAsia="Times New Roman" w:hAnsiTheme="minorHAnsi" w:cstheme="minorHAnsi"/>
          <w:color w:val="auto"/>
        </w:rPr>
        <w:t> </w:t>
      </w:r>
      <w:r w:rsidRPr="000B1E0A">
        <w:rPr>
          <w:rFonts w:asciiTheme="minorHAnsi" w:eastAsia="Times New Roman" w:hAnsiTheme="minorHAnsi" w:cstheme="minorHAnsi"/>
          <w:color w:val="auto"/>
        </w:rPr>
        <w:t>ochrony uzupełniającej stała się ostateczna, a w przypadku wydania decyzji przez organ wyższego stopnia – od dnia, w którym decyzja została cudzoziemcowi doręczona. Z kolei art. 299 ust. 7 tej ustawy stanowi, że pobyt cudzoziemca na terytorium Rzeczypospolitej Polskiej w okresie, o którym mowa w ust. 6 uważa się za legalny (…).</w:t>
      </w:r>
    </w:p>
    <w:p w14:paraId="198382F3" w14:textId="09CBEFE7" w:rsidR="007F1748" w:rsidRDefault="007F1748" w:rsidP="00123072">
      <w:pPr>
        <w:spacing w:after="120"/>
        <w:ind w:left="284"/>
        <w:jc w:val="both"/>
        <w:rPr>
          <w:rFonts w:asciiTheme="minorHAnsi" w:eastAsia="Times New Roman" w:hAnsiTheme="minorHAnsi" w:cstheme="minorHAnsi"/>
          <w:color w:val="auto"/>
        </w:rPr>
      </w:pPr>
      <w:r>
        <w:rPr>
          <w:rFonts w:asciiTheme="minorHAnsi" w:eastAsia="Times New Roman" w:hAnsiTheme="minorHAnsi" w:cstheme="minorHAnsi"/>
          <w:color w:val="auto"/>
        </w:rPr>
        <w:t xml:space="preserve">Projektowany </w:t>
      </w:r>
      <w:r w:rsidRPr="000B1E0A">
        <w:rPr>
          <w:rFonts w:asciiTheme="minorHAnsi" w:hAnsiTheme="minorHAnsi" w:cstheme="minorHAnsi"/>
          <w:bCs/>
        </w:rPr>
        <w:t xml:space="preserve">przepis </w:t>
      </w:r>
      <w:r w:rsidRPr="000B1E0A">
        <w:rPr>
          <w:rFonts w:asciiTheme="minorHAnsi" w:eastAsia="Times New Roman" w:hAnsiTheme="minorHAnsi" w:cstheme="minorHAnsi"/>
          <w:color w:val="auto"/>
        </w:rPr>
        <w:t xml:space="preserve">art. 299 ust.9 pkt 4 zakłada zatem, że </w:t>
      </w:r>
      <w:r w:rsidRPr="000B1E0A">
        <w:rPr>
          <w:rFonts w:asciiTheme="minorHAnsi" w:hAnsiTheme="minorHAnsi" w:cstheme="minorHAnsi"/>
          <w:bCs/>
        </w:rPr>
        <w:t xml:space="preserve">decyzja o zobowiązaniu cudzoziemca do powrotu wydana cudzoziemcowi, który został pozbawiony statusu uchodźcy lub ochrony uzupełniającej będzie podlegała - we wskazanych w tym przepisie okolicznościach - bezzwłocznemu wykonaniu, niezależnie od tego, czy upłynął termin do wniesienia przez cudzoziemca środka odwoławczego od decyzji </w:t>
      </w:r>
      <w:r w:rsidRPr="000B1E0A">
        <w:rPr>
          <w:rFonts w:asciiTheme="minorHAnsi" w:eastAsia="Times New Roman" w:hAnsiTheme="minorHAnsi" w:cstheme="minorHAnsi"/>
          <w:color w:val="auto"/>
        </w:rPr>
        <w:t>o pozbawieniu go statusu uchodźcy lub ochrony uzupełniającej, i</w:t>
      </w:r>
      <w:r w:rsidR="00394978">
        <w:rPr>
          <w:rFonts w:asciiTheme="minorHAnsi" w:eastAsia="Times New Roman" w:hAnsiTheme="minorHAnsi" w:cstheme="minorHAnsi"/>
          <w:color w:val="auto"/>
        </w:rPr>
        <w:t> </w:t>
      </w:r>
      <w:r w:rsidRPr="000B1E0A">
        <w:rPr>
          <w:rFonts w:asciiTheme="minorHAnsi" w:eastAsia="Times New Roman" w:hAnsiTheme="minorHAnsi" w:cstheme="minorHAnsi"/>
          <w:color w:val="auto"/>
        </w:rPr>
        <w:t>czy</w:t>
      </w:r>
      <w:r w:rsidR="00394978">
        <w:rPr>
          <w:rFonts w:asciiTheme="minorHAnsi" w:eastAsia="Times New Roman" w:hAnsiTheme="minorHAnsi" w:cstheme="minorHAnsi"/>
          <w:color w:val="auto"/>
        </w:rPr>
        <w:t> </w:t>
      </w:r>
      <w:r w:rsidRPr="000B1E0A">
        <w:rPr>
          <w:rFonts w:asciiTheme="minorHAnsi" w:eastAsia="Times New Roman" w:hAnsiTheme="minorHAnsi" w:cstheme="minorHAnsi"/>
          <w:color w:val="auto"/>
        </w:rPr>
        <w:t>cudzoziemiec skorzystał z prawa do wniesienia takiego środka.</w:t>
      </w:r>
    </w:p>
    <w:p w14:paraId="654357FA" w14:textId="77777777" w:rsidR="007F1748" w:rsidRDefault="007F1748" w:rsidP="00123072">
      <w:pPr>
        <w:spacing w:after="120"/>
        <w:ind w:left="284"/>
        <w:jc w:val="both"/>
        <w:rPr>
          <w:rFonts w:asciiTheme="minorHAnsi" w:eastAsia="Times New Roman" w:hAnsiTheme="minorHAnsi" w:cstheme="minorHAnsi"/>
          <w:color w:val="auto"/>
        </w:rPr>
      </w:pPr>
      <w:r>
        <w:rPr>
          <w:rFonts w:asciiTheme="minorHAnsi" w:eastAsia="Times New Roman" w:hAnsiTheme="minorHAnsi" w:cstheme="minorHAnsi"/>
          <w:color w:val="auto"/>
        </w:rPr>
        <w:t xml:space="preserve">Oznacza to, że </w:t>
      </w:r>
      <w:r w:rsidRPr="000B1E0A">
        <w:rPr>
          <w:rFonts w:asciiTheme="minorHAnsi" w:eastAsia="Times New Roman" w:hAnsiTheme="minorHAnsi" w:cstheme="minorHAnsi"/>
          <w:color w:val="auto"/>
        </w:rPr>
        <w:t>bezzwłoczne wykonanie decyzji o zobowiązaniu do powrotu będzie w opisanych przypadkach dopuszczalne w sytuacji, kiedy decyzja o pozbawieniu cudzoziemca statusu uchodźcy lub ochrony uzupełniającej nie stała się jeszcze ostateczna (czego nie zmienia nadanie takiej decyzji rygoru natychmiastowej wykonalności).</w:t>
      </w:r>
    </w:p>
    <w:p w14:paraId="6392F865" w14:textId="4CA980E3" w:rsidR="00FD7CE3" w:rsidRDefault="00FD7CE3" w:rsidP="00FD7CE3">
      <w:pPr>
        <w:spacing w:after="120"/>
        <w:ind w:left="284"/>
        <w:jc w:val="both"/>
        <w:rPr>
          <w:rFonts w:asciiTheme="minorHAnsi" w:hAnsiTheme="minorHAnsi" w:cstheme="minorHAnsi"/>
          <w:bCs/>
        </w:rPr>
      </w:pPr>
      <w:r>
        <w:rPr>
          <w:rFonts w:asciiTheme="minorHAnsi" w:eastAsia="Times New Roman" w:hAnsiTheme="minorHAnsi" w:cstheme="minorHAnsi"/>
          <w:color w:val="auto"/>
        </w:rPr>
        <w:t xml:space="preserve">W </w:t>
      </w:r>
      <w:r w:rsidRPr="000B1E0A">
        <w:rPr>
          <w:rFonts w:asciiTheme="minorHAnsi" w:eastAsia="Times New Roman" w:hAnsiTheme="minorHAnsi" w:cstheme="minorHAnsi"/>
          <w:color w:val="auto"/>
        </w:rPr>
        <w:t xml:space="preserve">ocenie projektodawcy takie rozwiązanie pozwoli na właściwe reagowanie organów Straży Granicznej poprzez </w:t>
      </w:r>
      <w:r w:rsidRPr="000B1E0A">
        <w:rPr>
          <w:rFonts w:asciiTheme="minorHAnsi" w:hAnsiTheme="minorHAnsi" w:cstheme="minorHAnsi"/>
        </w:rPr>
        <w:t>bezzwłoczne wydanie i wykonanie decyzji o zobowiązaniu cudzoziemca do</w:t>
      </w:r>
      <w:r w:rsidR="00394978">
        <w:rPr>
          <w:rFonts w:asciiTheme="minorHAnsi" w:hAnsiTheme="minorHAnsi" w:cstheme="minorHAnsi"/>
        </w:rPr>
        <w:t> </w:t>
      </w:r>
      <w:r w:rsidRPr="000B1E0A">
        <w:rPr>
          <w:rFonts w:asciiTheme="minorHAnsi" w:hAnsiTheme="minorHAnsi" w:cstheme="minorHAnsi"/>
        </w:rPr>
        <w:t xml:space="preserve">powrotu, </w:t>
      </w:r>
      <w:r w:rsidRPr="000B1E0A">
        <w:rPr>
          <w:rFonts w:asciiTheme="minorHAnsi" w:hAnsiTheme="minorHAnsi" w:cstheme="minorHAnsi"/>
          <w:bCs/>
        </w:rPr>
        <w:t>ze względu na potrzebę ochrony wskazanych w projektowanej regulacji wartości, tj.</w:t>
      </w:r>
      <w:r w:rsidR="007E4960">
        <w:rPr>
          <w:rFonts w:asciiTheme="minorHAnsi" w:hAnsiTheme="minorHAnsi" w:cstheme="minorHAnsi"/>
          <w:bCs/>
        </w:rPr>
        <w:t> </w:t>
      </w:r>
      <w:r w:rsidRPr="000B1E0A">
        <w:rPr>
          <w:rFonts w:asciiTheme="minorHAnsi" w:hAnsiTheme="minorHAnsi" w:cstheme="minorHAnsi"/>
          <w:bCs/>
        </w:rPr>
        <w:t>obronności i bezpieczeństwa państwa oraz bezpieczeństwa i porządku publicznego.</w:t>
      </w:r>
    </w:p>
    <w:p w14:paraId="18502E15" w14:textId="0CE23BD7" w:rsidR="007F1748" w:rsidRDefault="007F1748" w:rsidP="00123072">
      <w:pPr>
        <w:spacing w:after="120"/>
        <w:ind w:left="284"/>
        <w:jc w:val="both"/>
        <w:rPr>
          <w:rFonts w:asciiTheme="minorHAnsi" w:eastAsia="Times New Roman" w:hAnsiTheme="minorHAnsi" w:cstheme="minorHAnsi"/>
          <w:color w:val="auto"/>
        </w:rPr>
      </w:pPr>
      <w:r>
        <w:rPr>
          <w:rFonts w:asciiTheme="minorHAnsi" w:eastAsia="Times New Roman" w:hAnsiTheme="minorHAnsi" w:cstheme="minorHAnsi"/>
          <w:color w:val="auto"/>
        </w:rPr>
        <w:t xml:space="preserve">W </w:t>
      </w:r>
      <w:r w:rsidRPr="000B1E0A">
        <w:rPr>
          <w:rFonts w:asciiTheme="minorHAnsi" w:eastAsia="Times New Roman" w:hAnsiTheme="minorHAnsi" w:cstheme="minorHAnsi"/>
          <w:color w:val="auto"/>
        </w:rPr>
        <w:t>tym miejscu należy wskazać, że zgodnie z art. 46 ust. 1 lit. c) i ust.</w:t>
      </w:r>
      <w:r w:rsidR="00FD7CE3">
        <w:rPr>
          <w:rFonts w:asciiTheme="minorHAnsi" w:eastAsia="Times New Roman" w:hAnsiTheme="minorHAnsi" w:cstheme="minorHAnsi"/>
          <w:color w:val="auto"/>
        </w:rPr>
        <w:t xml:space="preserve"> </w:t>
      </w:r>
      <w:r w:rsidRPr="000B1E0A">
        <w:rPr>
          <w:rFonts w:asciiTheme="minorHAnsi" w:eastAsia="Times New Roman" w:hAnsiTheme="minorHAnsi" w:cstheme="minorHAnsi"/>
          <w:color w:val="auto"/>
        </w:rPr>
        <w:t xml:space="preserve">5 </w:t>
      </w:r>
      <w:r w:rsidRPr="000B1E0A">
        <w:rPr>
          <w:rFonts w:asciiTheme="minorHAnsi" w:eastAsia="Times New Roman" w:hAnsiTheme="minorHAnsi" w:cstheme="minorHAnsi"/>
          <w:i/>
          <w:color w:val="auto"/>
        </w:rPr>
        <w:t>dyrektywy Parlamentu Europejskiego i Rady 2013/32/UE z dnia 26 czerwca 2013 r. w sprawie wspólnych procedur udzielania i cofania ochrony międzynarodowej (wersja przekształcona)</w:t>
      </w:r>
      <w:r w:rsidRPr="000B1E0A">
        <w:rPr>
          <w:rFonts w:asciiTheme="minorHAnsi" w:eastAsia="Times New Roman" w:hAnsiTheme="minorHAnsi" w:cstheme="minorHAnsi"/>
          <w:color w:val="auto"/>
        </w:rPr>
        <w:t xml:space="preserve"> państwa członkowskie zapewniają, aby wnioskodawcy mieli prawo do skutecznego środka zaskarżenia przed sądem od</w:t>
      </w:r>
      <w:r w:rsidR="00394978">
        <w:rPr>
          <w:rFonts w:asciiTheme="minorHAnsi" w:eastAsia="Times New Roman" w:hAnsiTheme="minorHAnsi" w:cstheme="minorHAnsi"/>
          <w:color w:val="auto"/>
        </w:rPr>
        <w:t> </w:t>
      </w:r>
      <w:r w:rsidRPr="000B1E0A">
        <w:rPr>
          <w:rFonts w:asciiTheme="minorHAnsi" w:eastAsia="Times New Roman" w:hAnsiTheme="minorHAnsi" w:cstheme="minorHAnsi"/>
          <w:color w:val="auto"/>
        </w:rPr>
        <w:t>decyzji o cofnięciu statusu ochrony międzynarodowej (…), państwa członkowskie zezwalają wnioskodawcom na pozostawanie na terytorium do upływu terminu, w jakim mogą oni skorzystać z prawa do skutecznego środka zaskarżenia, a jeśli z tego prawa skorzystano w przewidzianym terminie, do czasu rozpatrzenia środka zaskarżenia.</w:t>
      </w:r>
    </w:p>
    <w:p w14:paraId="5704AAFA" w14:textId="3511A9C1" w:rsidR="007F1748" w:rsidRDefault="00086DB0" w:rsidP="00123072">
      <w:pPr>
        <w:spacing w:after="120"/>
        <w:ind w:left="284"/>
        <w:jc w:val="both"/>
        <w:rPr>
          <w:rFonts w:asciiTheme="minorHAnsi" w:eastAsia="Times New Roman" w:hAnsiTheme="minorHAnsi" w:cstheme="minorHAnsi"/>
          <w:color w:val="auto"/>
        </w:rPr>
      </w:pPr>
      <w:r>
        <w:rPr>
          <w:rFonts w:asciiTheme="minorHAnsi" w:eastAsia="Times New Roman" w:hAnsiTheme="minorHAnsi" w:cstheme="minorHAnsi"/>
          <w:color w:val="auto"/>
        </w:rPr>
        <w:t>Z</w:t>
      </w:r>
      <w:r w:rsidR="00ED35B5" w:rsidRPr="000B1E0A">
        <w:rPr>
          <w:rFonts w:asciiTheme="minorHAnsi" w:eastAsia="Times New Roman" w:hAnsiTheme="minorHAnsi" w:cstheme="minorHAnsi"/>
          <w:color w:val="auto"/>
        </w:rPr>
        <w:t>godnie z art. 46 ust. 5 dyrektywy 2013/32/UE prawo do pozostania na terytorium przyjmującego państwa członkowskiego przysługuje zasadach w nim określonych każdemu cudzoziemcowi, który</w:t>
      </w:r>
      <w:r w:rsidR="00394978">
        <w:rPr>
          <w:rFonts w:asciiTheme="minorHAnsi" w:eastAsia="Times New Roman" w:hAnsiTheme="minorHAnsi" w:cstheme="minorHAnsi"/>
          <w:color w:val="auto"/>
        </w:rPr>
        <w:t> </w:t>
      </w:r>
      <w:r w:rsidR="00ED35B5" w:rsidRPr="000B1E0A">
        <w:rPr>
          <w:rFonts w:asciiTheme="minorHAnsi" w:eastAsia="Times New Roman" w:hAnsiTheme="minorHAnsi" w:cstheme="minorHAnsi"/>
          <w:color w:val="auto"/>
        </w:rPr>
        <w:t>został pozbawiony ochrony międzynarodowej. Ustawodawca unijny nie przewidział w</w:t>
      </w:r>
      <w:r w:rsidR="00394978">
        <w:rPr>
          <w:rFonts w:asciiTheme="minorHAnsi" w:eastAsia="Times New Roman" w:hAnsiTheme="minorHAnsi" w:cstheme="minorHAnsi"/>
          <w:color w:val="auto"/>
        </w:rPr>
        <w:t> </w:t>
      </w:r>
      <w:r w:rsidR="00ED35B5" w:rsidRPr="000B1E0A">
        <w:rPr>
          <w:rFonts w:asciiTheme="minorHAnsi" w:eastAsia="Times New Roman" w:hAnsiTheme="minorHAnsi" w:cstheme="minorHAnsi"/>
          <w:color w:val="auto"/>
        </w:rPr>
        <w:t>zakresie stosowania tego przepisu żadnych odstępstw.</w:t>
      </w:r>
    </w:p>
    <w:p w14:paraId="6920205E" w14:textId="6318CF44" w:rsidR="00ED35B5" w:rsidRDefault="00ED35B5" w:rsidP="00123072">
      <w:pPr>
        <w:spacing w:after="120"/>
        <w:ind w:left="284"/>
        <w:jc w:val="both"/>
        <w:rPr>
          <w:rFonts w:asciiTheme="minorHAnsi" w:eastAsia="Times New Roman" w:hAnsiTheme="minorHAnsi" w:cstheme="minorHAnsi"/>
          <w:color w:val="auto"/>
        </w:rPr>
      </w:pPr>
      <w:r>
        <w:rPr>
          <w:rFonts w:asciiTheme="minorHAnsi" w:eastAsia="Times New Roman" w:hAnsiTheme="minorHAnsi" w:cstheme="minorHAnsi"/>
          <w:color w:val="auto"/>
        </w:rPr>
        <w:t xml:space="preserve">W </w:t>
      </w:r>
      <w:r w:rsidRPr="000B1E0A">
        <w:rPr>
          <w:rFonts w:asciiTheme="minorHAnsi" w:hAnsiTheme="minorHAnsi" w:cstheme="minorHAnsi"/>
        </w:rPr>
        <w:t xml:space="preserve">związku z powyższym projektowany </w:t>
      </w:r>
      <w:r w:rsidRPr="000B1E0A">
        <w:rPr>
          <w:rFonts w:asciiTheme="minorHAnsi" w:eastAsia="Times New Roman" w:hAnsiTheme="minorHAnsi" w:cstheme="minorHAnsi"/>
          <w:color w:val="auto"/>
        </w:rPr>
        <w:t>art. 299 ust. 9 pkt 4 nasuwa zasadnicze wątpliwości co</w:t>
      </w:r>
      <w:r w:rsidR="00394978">
        <w:rPr>
          <w:rFonts w:asciiTheme="minorHAnsi" w:eastAsia="Times New Roman" w:hAnsiTheme="minorHAnsi" w:cstheme="minorHAnsi"/>
          <w:color w:val="auto"/>
        </w:rPr>
        <w:t> </w:t>
      </w:r>
      <w:r w:rsidRPr="000B1E0A">
        <w:rPr>
          <w:rFonts w:asciiTheme="minorHAnsi" w:eastAsia="Times New Roman" w:hAnsiTheme="minorHAnsi" w:cstheme="minorHAnsi"/>
          <w:color w:val="auto"/>
        </w:rPr>
        <w:t>do</w:t>
      </w:r>
      <w:r w:rsidR="00394978">
        <w:rPr>
          <w:rFonts w:asciiTheme="minorHAnsi" w:eastAsia="Times New Roman" w:hAnsiTheme="minorHAnsi" w:cstheme="minorHAnsi"/>
          <w:color w:val="auto"/>
        </w:rPr>
        <w:t> </w:t>
      </w:r>
      <w:r w:rsidRPr="000B1E0A">
        <w:rPr>
          <w:rFonts w:asciiTheme="minorHAnsi" w:eastAsia="Times New Roman" w:hAnsiTheme="minorHAnsi" w:cstheme="minorHAnsi"/>
          <w:color w:val="auto"/>
        </w:rPr>
        <w:t>jego zgodności z prawem UE. Co wymaga w tym miejscu podkreślenia, z tabeli zbieżności do</w:t>
      </w:r>
      <w:r w:rsidR="00394978">
        <w:rPr>
          <w:rFonts w:asciiTheme="minorHAnsi" w:eastAsia="Times New Roman" w:hAnsiTheme="minorHAnsi" w:cstheme="minorHAnsi"/>
          <w:color w:val="auto"/>
        </w:rPr>
        <w:t> </w:t>
      </w:r>
      <w:r w:rsidRPr="000B1E0A">
        <w:rPr>
          <w:rFonts w:asciiTheme="minorHAnsi" w:eastAsia="Times New Roman" w:hAnsiTheme="minorHAnsi" w:cstheme="minorHAnsi"/>
          <w:color w:val="auto"/>
        </w:rPr>
        <w:t xml:space="preserve">przedmiotowej dyrektywy wynika, </w:t>
      </w:r>
      <w:r w:rsidR="00394978">
        <w:rPr>
          <w:rFonts w:asciiTheme="minorHAnsi" w:eastAsia="Times New Roman" w:hAnsiTheme="minorHAnsi" w:cstheme="minorHAnsi"/>
          <w:color w:val="auto"/>
        </w:rPr>
        <w:t>że</w:t>
      </w:r>
      <w:r w:rsidRPr="000B1E0A">
        <w:rPr>
          <w:rFonts w:asciiTheme="minorHAnsi" w:eastAsia="Times New Roman" w:hAnsiTheme="minorHAnsi" w:cstheme="minorHAnsi"/>
          <w:color w:val="auto"/>
        </w:rPr>
        <w:t xml:space="preserve"> jako przepisy zapewniające transpozycję art. 46 ust.</w:t>
      </w:r>
      <w:r w:rsidR="00FD7CE3">
        <w:rPr>
          <w:rFonts w:asciiTheme="minorHAnsi" w:eastAsia="Times New Roman" w:hAnsiTheme="minorHAnsi" w:cstheme="minorHAnsi"/>
          <w:color w:val="auto"/>
        </w:rPr>
        <w:t xml:space="preserve"> </w:t>
      </w:r>
      <w:r w:rsidRPr="000B1E0A">
        <w:rPr>
          <w:rFonts w:asciiTheme="minorHAnsi" w:eastAsia="Times New Roman" w:hAnsiTheme="minorHAnsi" w:cstheme="minorHAnsi"/>
          <w:color w:val="auto"/>
        </w:rPr>
        <w:t>5 dyrektywy 2013/32/UE wskazano właśnie art. 299 ust.</w:t>
      </w:r>
      <w:r w:rsidR="00FD7CE3">
        <w:rPr>
          <w:rFonts w:asciiTheme="minorHAnsi" w:eastAsia="Times New Roman" w:hAnsiTheme="minorHAnsi" w:cstheme="minorHAnsi"/>
          <w:color w:val="auto"/>
        </w:rPr>
        <w:t xml:space="preserve"> </w:t>
      </w:r>
      <w:r w:rsidRPr="000B1E0A">
        <w:rPr>
          <w:rFonts w:asciiTheme="minorHAnsi" w:eastAsia="Times New Roman" w:hAnsiTheme="minorHAnsi" w:cstheme="minorHAnsi"/>
          <w:color w:val="auto"/>
        </w:rPr>
        <w:t xml:space="preserve">6 ustawy o cudzoziemcach oraz art. 130 </w:t>
      </w:r>
      <w:r w:rsidRPr="000B1E0A">
        <w:rPr>
          <w:rFonts w:asciiTheme="minorHAnsi" w:eastAsia="Times New Roman" w:hAnsiTheme="minorHAnsi" w:cstheme="minorHAnsi"/>
          <w:color w:val="auto"/>
        </w:rPr>
        <w:lastRenderedPageBreak/>
        <w:t>Kodeksu postępowania administracyjnego, który przewiduje, że przed upływem terminu do</w:t>
      </w:r>
      <w:r w:rsidR="00394978">
        <w:rPr>
          <w:rFonts w:asciiTheme="minorHAnsi" w:eastAsia="Times New Roman" w:hAnsiTheme="minorHAnsi" w:cstheme="minorHAnsi"/>
          <w:color w:val="auto"/>
        </w:rPr>
        <w:t> </w:t>
      </w:r>
      <w:r w:rsidRPr="000B1E0A">
        <w:rPr>
          <w:rFonts w:asciiTheme="minorHAnsi" w:eastAsia="Times New Roman" w:hAnsiTheme="minorHAnsi" w:cstheme="minorHAnsi"/>
          <w:color w:val="auto"/>
        </w:rPr>
        <w:t>wniesienia odwołania decyzja nie ulega wykonaniu, a wniesienie odwołania w terminie wstrzymuje wykonanie decyzji. Projektowane rozwiązanie może więc doprowadzić do wtórnej niekompletności wdrożenia dyrektywy 2013/32/UE.</w:t>
      </w:r>
    </w:p>
    <w:p w14:paraId="1B36AA8F" w14:textId="2FBC9042" w:rsidR="00456E6F" w:rsidRDefault="00ED35B5" w:rsidP="00394978">
      <w:pPr>
        <w:spacing w:after="120"/>
        <w:ind w:left="284"/>
        <w:jc w:val="both"/>
        <w:rPr>
          <w:rFonts w:asciiTheme="minorHAnsi" w:hAnsiTheme="minorHAnsi" w:cstheme="minorHAnsi"/>
          <w:bCs/>
        </w:rPr>
      </w:pPr>
      <w:r>
        <w:rPr>
          <w:rFonts w:asciiTheme="minorHAnsi" w:eastAsia="Times New Roman" w:hAnsiTheme="minorHAnsi" w:cstheme="minorHAnsi"/>
          <w:color w:val="auto"/>
        </w:rPr>
        <w:t xml:space="preserve">Takiej oceny </w:t>
      </w:r>
      <w:r w:rsidRPr="000B1E0A">
        <w:rPr>
          <w:rFonts w:asciiTheme="minorHAnsi" w:eastAsia="Times New Roman" w:hAnsiTheme="minorHAnsi" w:cstheme="minorHAnsi"/>
          <w:color w:val="auto"/>
        </w:rPr>
        <w:t>projektowanego przepisu art. 299 ust.</w:t>
      </w:r>
      <w:r w:rsidR="00456E6F">
        <w:rPr>
          <w:rFonts w:asciiTheme="minorHAnsi" w:eastAsia="Times New Roman" w:hAnsiTheme="minorHAnsi" w:cstheme="minorHAnsi"/>
          <w:color w:val="auto"/>
        </w:rPr>
        <w:t xml:space="preserve"> </w:t>
      </w:r>
      <w:r w:rsidRPr="000B1E0A">
        <w:rPr>
          <w:rFonts w:asciiTheme="minorHAnsi" w:eastAsia="Times New Roman" w:hAnsiTheme="minorHAnsi" w:cstheme="minorHAnsi"/>
          <w:color w:val="auto"/>
        </w:rPr>
        <w:t xml:space="preserve">9 pkt 4 nie zmienia fakt, że – jak projektodawca wskazał w uzasadnieniu - natychmiastowe wykonanie decyzji o pozbawieniu cudzoziemca statusu uchodźcy lub ochrony uzupełniającej może </w:t>
      </w:r>
      <w:r w:rsidRPr="000B1E0A">
        <w:rPr>
          <w:rFonts w:asciiTheme="minorHAnsi" w:hAnsiTheme="minorHAnsi" w:cstheme="minorHAnsi"/>
          <w:bCs/>
        </w:rPr>
        <w:t xml:space="preserve">na podstawie art. 135 Kodeksu postępowania administracyjnego wstrzymać organ odwoławczy, tj. Rada do Spraw Uchodźców. Przepis art. 135 K.p.a dopuszcza </w:t>
      </w:r>
      <w:r w:rsidR="00456E6F">
        <w:rPr>
          <w:rFonts w:asciiTheme="minorHAnsi" w:hAnsiTheme="minorHAnsi" w:cstheme="minorHAnsi"/>
          <w:bCs/>
        </w:rPr>
        <w:t xml:space="preserve">bowiem </w:t>
      </w:r>
      <w:r w:rsidRPr="000B1E0A">
        <w:rPr>
          <w:rFonts w:asciiTheme="minorHAnsi" w:hAnsiTheme="minorHAnsi" w:cstheme="minorHAnsi"/>
          <w:bCs/>
        </w:rPr>
        <w:t>wstrzymanie natychmiastowego wykonania decyzji jedynie w</w:t>
      </w:r>
      <w:r w:rsidR="00394978">
        <w:rPr>
          <w:rFonts w:asciiTheme="minorHAnsi" w:hAnsiTheme="minorHAnsi" w:cstheme="minorHAnsi"/>
          <w:bCs/>
        </w:rPr>
        <w:t> </w:t>
      </w:r>
      <w:r w:rsidRPr="000B1E0A">
        <w:rPr>
          <w:rFonts w:asciiTheme="minorHAnsi" w:hAnsiTheme="minorHAnsi" w:cstheme="minorHAnsi"/>
          <w:bCs/>
        </w:rPr>
        <w:t xml:space="preserve">przypadkach zakwalifikowanych przez organ odwoławczy jako uzasadnione. Zgodnie z </w:t>
      </w:r>
      <w:r w:rsidRPr="000B1E0A">
        <w:rPr>
          <w:rFonts w:asciiTheme="minorHAnsi" w:eastAsia="Times New Roman" w:hAnsiTheme="minorHAnsi" w:cstheme="minorHAnsi"/>
          <w:color w:val="auto"/>
        </w:rPr>
        <w:t>46 ust. 5 dyrektywy 2013/32/UE</w:t>
      </w:r>
      <w:r w:rsidRPr="000B1E0A">
        <w:rPr>
          <w:rFonts w:asciiTheme="minorHAnsi" w:hAnsiTheme="minorHAnsi" w:cstheme="minorHAnsi"/>
          <w:bCs/>
        </w:rPr>
        <w:t xml:space="preserve"> prawo do pozostania na terytorium państwa członkowskiego przysługuje natomiast każdemu cudzoziemcowi, któremu cofnięto status ochrony międzynarodowej, do</w:t>
      </w:r>
      <w:r w:rsidR="00394978">
        <w:rPr>
          <w:rFonts w:asciiTheme="minorHAnsi" w:hAnsiTheme="minorHAnsi" w:cstheme="minorHAnsi"/>
          <w:bCs/>
        </w:rPr>
        <w:t> </w:t>
      </w:r>
      <w:r w:rsidRPr="000B1E0A">
        <w:rPr>
          <w:rFonts w:asciiTheme="minorHAnsi" w:eastAsia="Times New Roman" w:hAnsiTheme="minorHAnsi" w:cstheme="minorHAnsi"/>
          <w:color w:val="auto"/>
        </w:rPr>
        <w:t>upływu terminu, w jakim mógł skorzystać z prawa do wniesienia środka odwoławczego, a</w:t>
      </w:r>
      <w:r w:rsidR="007E4960">
        <w:rPr>
          <w:rFonts w:asciiTheme="minorHAnsi" w:eastAsia="Times New Roman" w:hAnsiTheme="minorHAnsi" w:cstheme="minorHAnsi"/>
          <w:color w:val="auto"/>
        </w:rPr>
        <w:t> </w:t>
      </w:r>
      <w:r w:rsidRPr="000B1E0A">
        <w:rPr>
          <w:rFonts w:asciiTheme="minorHAnsi" w:eastAsia="Times New Roman" w:hAnsiTheme="minorHAnsi" w:cstheme="minorHAnsi"/>
          <w:color w:val="auto"/>
        </w:rPr>
        <w:t>jeśli</w:t>
      </w:r>
      <w:r w:rsidR="007E4960">
        <w:rPr>
          <w:rFonts w:asciiTheme="minorHAnsi" w:eastAsia="Times New Roman" w:hAnsiTheme="minorHAnsi" w:cstheme="minorHAnsi"/>
          <w:color w:val="auto"/>
        </w:rPr>
        <w:t> </w:t>
      </w:r>
      <w:r w:rsidRPr="000B1E0A">
        <w:rPr>
          <w:rFonts w:asciiTheme="minorHAnsi" w:eastAsia="Times New Roman" w:hAnsiTheme="minorHAnsi" w:cstheme="minorHAnsi"/>
          <w:color w:val="auto"/>
        </w:rPr>
        <w:t>z</w:t>
      </w:r>
      <w:r w:rsidR="00394978">
        <w:rPr>
          <w:rFonts w:asciiTheme="minorHAnsi" w:eastAsia="Times New Roman" w:hAnsiTheme="minorHAnsi" w:cstheme="minorHAnsi"/>
          <w:color w:val="auto"/>
        </w:rPr>
        <w:t> </w:t>
      </w:r>
      <w:r w:rsidRPr="000B1E0A">
        <w:rPr>
          <w:rFonts w:asciiTheme="minorHAnsi" w:eastAsia="Times New Roman" w:hAnsiTheme="minorHAnsi" w:cstheme="minorHAnsi"/>
          <w:color w:val="auto"/>
        </w:rPr>
        <w:t>tego prawa skorzystał w terminie, do czasu rozpatrzenia</w:t>
      </w:r>
      <w:r>
        <w:rPr>
          <w:rFonts w:asciiTheme="minorHAnsi" w:eastAsia="Times New Roman" w:hAnsiTheme="minorHAnsi" w:cstheme="minorHAnsi"/>
          <w:color w:val="auto"/>
        </w:rPr>
        <w:t xml:space="preserve"> środka zaskarżenia. </w:t>
      </w:r>
      <w:r w:rsidR="00456E6F">
        <w:rPr>
          <w:rFonts w:asciiTheme="minorHAnsi" w:eastAsia="Times New Roman" w:hAnsiTheme="minorHAnsi" w:cstheme="minorHAnsi"/>
          <w:color w:val="auto"/>
        </w:rPr>
        <w:t xml:space="preserve">Korzystanie </w:t>
      </w:r>
      <w:r w:rsidR="00456E6F" w:rsidRPr="000B1E0A">
        <w:rPr>
          <w:rFonts w:asciiTheme="minorHAnsi" w:hAnsiTheme="minorHAnsi" w:cstheme="minorHAnsi"/>
          <w:bCs/>
        </w:rPr>
        <w:t>z</w:t>
      </w:r>
      <w:r w:rsidR="007E4960">
        <w:rPr>
          <w:rFonts w:asciiTheme="minorHAnsi" w:hAnsiTheme="minorHAnsi" w:cstheme="minorHAnsi"/>
          <w:bCs/>
        </w:rPr>
        <w:t> </w:t>
      </w:r>
      <w:r w:rsidR="00456E6F" w:rsidRPr="000B1E0A">
        <w:rPr>
          <w:rFonts w:asciiTheme="minorHAnsi" w:hAnsiTheme="minorHAnsi" w:cstheme="minorHAnsi"/>
          <w:bCs/>
        </w:rPr>
        <w:t>tego uprawnienia nie powinno być więc na gruncie prawa krajowego uzależnione od oceny organu drugiej instancji, czy w przypadku danego cudzoziemca jest to</w:t>
      </w:r>
      <w:r w:rsidR="00456E6F">
        <w:rPr>
          <w:rFonts w:asciiTheme="minorHAnsi" w:hAnsiTheme="minorHAnsi" w:cstheme="minorHAnsi"/>
          <w:bCs/>
        </w:rPr>
        <w:t xml:space="preserve"> uzasadnione. </w:t>
      </w:r>
    </w:p>
    <w:p w14:paraId="199F7E33" w14:textId="19B92FEF" w:rsidR="00ED35B5" w:rsidRDefault="00ED35B5" w:rsidP="00123072">
      <w:pPr>
        <w:spacing w:after="120"/>
        <w:ind w:left="284"/>
        <w:jc w:val="both"/>
        <w:rPr>
          <w:rFonts w:asciiTheme="minorHAnsi" w:hAnsiTheme="minorHAnsi" w:cstheme="minorHAnsi"/>
          <w:bCs/>
          <w:color w:val="auto"/>
          <w:lang w:eastAsia="en-US"/>
        </w:rPr>
      </w:pPr>
      <w:r>
        <w:rPr>
          <w:rFonts w:asciiTheme="minorHAnsi" w:hAnsiTheme="minorHAnsi" w:cstheme="minorHAnsi"/>
          <w:bCs/>
        </w:rPr>
        <w:t xml:space="preserve">Projektodawca </w:t>
      </w:r>
      <w:r w:rsidRPr="000B1E0A">
        <w:rPr>
          <w:rFonts w:asciiTheme="minorHAnsi" w:hAnsiTheme="minorHAnsi" w:cstheme="minorHAnsi"/>
          <w:bCs/>
        </w:rPr>
        <w:t xml:space="preserve">wskazał także w uzasadnieniu, że projektowana zmiana w </w:t>
      </w:r>
      <w:r w:rsidRPr="000B1E0A">
        <w:rPr>
          <w:rFonts w:asciiTheme="minorHAnsi" w:hAnsiTheme="minorHAnsi" w:cstheme="minorHAnsi"/>
          <w:bCs/>
          <w:color w:val="auto"/>
          <w:lang w:eastAsia="en-US"/>
        </w:rPr>
        <w:t>pełni wpisuje się</w:t>
      </w:r>
      <w:r w:rsidR="00394978">
        <w:rPr>
          <w:rFonts w:asciiTheme="minorHAnsi" w:hAnsiTheme="minorHAnsi" w:cstheme="minorHAnsi"/>
          <w:bCs/>
          <w:color w:val="auto"/>
          <w:lang w:eastAsia="en-US"/>
        </w:rPr>
        <w:t> </w:t>
      </w:r>
      <w:r w:rsidRPr="000B1E0A">
        <w:rPr>
          <w:rFonts w:asciiTheme="minorHAnsi" w:hAnsiTheme="minorHAnsi" w:cstheme="minorHAnsi"/>
          <w:bCs/>
          <w:color w:val="auto"/>
          <w:lang w:eastAsia="en-US"/>
        </w:rPr>
        <w:t>w</w:t>
      </w:r>
      <w:r w:rsidR="00394978">
        <w:rPr>
          <w:rFonts w:asciiTheme="minorHAnsi" w:hAnsiTheme="minorHAnsi" w:cstheme="minorHAnsi"/>
          <w:bCs/>
          <w:color w:val="auto"/>
          <w:lang w:eastAsia="en-US"/>
        </w:rPr>
        <w:t> </w:t>
      </w:r>
      <w:r w:rsidRPr="000B1E0A">
        <w:rPr>
          <w:rFonts w:asciiTheme="minorHAnsi" w:hAnsiTheme="minorHAnsi" w:cstheme="minorHAnsi"/>
          <w:bCs/>
          <w:color w:val="auto"/>
          <w:lang w:eastAsia="en-US"/>
        </w:rPr>
        <w:t>aktualną konstrukcję ustawową podlegania przez cudzoziemca, którego pozbawiono statusu uchodźcy lub ochrony uzupełniającej, przepisom o zobowiązaniu cudzoziemca do powrotu. Trzeba jednak zauważyć, że z art. 46 ust. 5 dyrektywy 2013/32/UE wynika, jaka</w:t>
      </w:r>
      <w:r w:rsidR="00394978">
        <w:rPr>
          <w:rFonts w:asciiTheme="minorHAnsi" w:hAnsiTheme="minorHAnsi" w:cstheme="minorHAnsi"/>
          <w:bCs/>
          <w:color w:val="auto"/>
          <w:lang w:eastAsia="en-US"/>
        </w:rPr>
        <w:t> </w:t>
      </w:r>
      <w:r w:rsidRPr="000B1E0A">
        <w:rPr>
          <w:rFonts w:asciiTheme="minorHAnsi" w:hAnsiTheme="minorHAnsi" w:cstheme="minorHAnsi"/>
          <w:bCs/>
          <w:color w:val="auto"/>
          <w:lang w:eastAsia="en-US"/>
        </w:rPr>
        <w:t>powinna być  kolejność w</w:t>
      </w:r>
      <w:r w:rsidR="000F6A44">
        <w:rPr>
          <w:rFonts w:asciiTheme="minorHAnsi" w:hAnsiTheme="minorHAnsi" w:cstheme="minorHAnsi"/>
          <w:bCs/>
          <w:color w:val="auto"/>
          <w:lang w:eastAsia="en-US"/>
        </w:rPr>
        <w:t> </w:t>
      </w:r>
      <w:r w:rsidRPr="000B1E0A">
        <w:rPr>
          <w:rFonts w:asciiTheme="minorHAnsi" w:hAnsiTheme="minorHAnsi" w:cstheme="minorHAnsi"/>
          <w:bCs/>
          <w:color w:val="auto"/>
          <w:lang w:eastAsia="en-US"/>
        </w:rPr>
        <w:t>stosowaniu obu procedur, tj. decyzja o zobowiązaniu do powrotu nie może być wykonana do</w:t>
      </w:r>
      <w:r w:rsidR="000F6A44">
        <w:rPr>
          <w:rFonts w:asciiTheme="minorHAnsi" w:hAnsiTheme="minorHAnsi" w:cstheme="minorHAnsi"/>
          <w:bCs/>
          <w:color w:val="auto"/>
          <w:lang w:eastAsia="en-US"/>
        </w:rPr>
        <w:t> </w:t>
      </w:r>
      <w:r w:rsidRPr="000B1E0A">
        <w:rPr>
          <w:rFonts w:asciiTheme="minorHAnsi" w:hAnsiTheme="minorHAnsi" w:cstheme="minorHAnsi"/>
          <w:bCs/>
          <w:color w:val="auto"/>
          <w:lang w:eastAsia="en-US"/>
        </w:rPr>
        <w:t>czasu rozpatrzenia środka zaskarżenia od decyzji o cofnięciu statusu</w:t>
      </w:r>
      <w:r w:rsidR="00394978">
        <w:rPr>
          <w:rFonts w:asciiTheme="minorHAnsi" w:hAnsiTheme="minorHAnsi" w:cstheme="minorHAnsi"/>
          <w:bCs/>
          <w:color w:val="auto"/>
          <w:lang w:eastAsia="en-US"/>
        </w:rPr>
        <w:t> </w:t>
      </w:r>
      <w:r w:rsidRPr="000B1E0A">
        <w:rPr>
          <w:rFonts w:asciiTheme="minorHAnsi" w:hAnsiTheme="minorHAnsi" w:cstheme="minorHAnsi"/>
          <w:bCs/>
          <w:color w:val="auto"/>
          <w:lang w:eastAsia="en-US"/>
        </w:rPr>
        <w:t>ochron</w:t>
      </w:r>
      <w:r>
        <w:rPr>
          <w:rFonts w:asciiTheme="minorHAnsi" w:hAnsiTheme="minorHAnsi" w:cstheme="minorHAnsi"/>
          <w:bCs/>
          <w:color w:val="auto"/>
          <w:lang w:eastAsia="en-US"/>
        </w:rPr>
        <w:t xml:space="preserve">y międzynarodowej. </w:t>
      </w:r>
    </w:p>
    <w:p w14:paraId="16B92B58" w14:textId="138FD963" w:rsidR="00ED35B5" w:rsidRPr="007F1748" w:rsidRDefault="00ED35B5" w:rsidP="00123072">
      <w:pPr>
        <w:spacing w:after="120"/>
        <w:ind w:left="284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>
        <w:rPr>
          <w:rFonts w:asciiTheme="minorHAnsi" w:hAnsiTheme="minorHAnsi" w:cstheme="minorHAnsi"/>
          <w:bCs/>
          <w:color w:val="auto"/>
          <w:lang w:eastAsia="en-US"/>
        </w:rPr>
        <w:t xml:space="preserve">W tym </w:t>
      </w:r>
      <w:r w:rsidRPr="000B1E0A">
        <w:rPr>
          <w:rFonts w:asciiTheme="minorHAnsi" w:hAnsiTheme="minorHAnsi" w:cstheme="minorHAnsi"/>
          <w:bCs/>
        </w:rPr>
        <w:t xml:space="preserve">kontekście projektowane rozwiązanie może prowadzić do naruszenia zasady </w:t>
      </w:r>
      <w:r w:rsidRPr="000B1E0A">
        <w:rPr>
          <w:rFonts w:asciiTheme="minorHAnsi" w:hAnsiTheme="minorHAnsi" w:cstheme="minorHAnsi"/>
          <w:bCs/>
          <w:i/>
        </w:rPr>
        <w:t>non-refoulement</w:t>
      </w:r>
      <w:r w:rsidRPr="000B1E0A">
        <w:rPr>
          <w:rFonts w:asciiTheme="minorHAnsi" w:hAnsiTheme="minorHAnsi" w:cstheme="minorHAnsi"/>
          <w:bCs/>
        </w:rPr>
        <w:t xml:space="preserve">, do przestrzegania której państwa członkowskie są obowiązane także przy stosowaniu przepisów </w:t>
      </w:r>
      <w:r w:rsidRPr="000B1E0A">
        <w:rPr>
          <w:rFonts w:asciiTheme="minorHAnsi" w:hAnsiTheme="minorHAnsi" w:cstheme="minorHAnsi"/>
          <w:bCs/>
          <w:i/>
        </w:rPr>
        <w:t>dyrektywy Parlamentu Europejskiego i Rady 2008/115/WE z dnia 16 grudnia 2008 r. w</w:t>
      </w:r>
      <w:r w:rsidR="00394978">
        <w:rPr>
          <w:rFonts w:asciiTheme="minorHAnsi" w:hAnsiTheme="minorHAnsi" w:cstheme="minorHAnsi"/>
          <w:bCs/>
          <w:i/>
        </w:rPr>
        <w:t> </w:t>
      </w:r>
      <w:r w:rsidRPr="000B1E0A">
        <w:rPr>
          <w:rFonts w:asciiTheme="minorHAnsi" w:hAnsiTheme="minorHAnsi" w:cstheme="minorHAnsi"/>
          <w:bCs/>
          <w:i/>
        </w:rPr>
        <w:t>sprawie wspólnych norm i procedur stosowanych przez państwa członkowskie w odniesieniu do</w:t>
      </w:r>
      <w:r w:rsidR="00A47082">
        <w:rPr>
          <w:rFonts w:asciiTheme="minorHAnsi" w:hAnsiTheme="minorHAnsi" w:cstheme="minorHAnsi"/>
          <w:bCs/>
          <w:i/>
        </w:rPr>
        <w:t> </w:t>
      </w:r>
      <w:r w:rsidRPr="000B1E0A">
        <w:rPr>
          <w:rFonts w:asciiTheme="minorHAnsi" w:hAnsiTheme="minorHAnsi" w:cstheme="minorHAnsi"/>
          <w:bCs/>
          <w:i/>
        </w:rPr>
        <w:t>powrotów nielegalnie przebywających obywateli państw trzecich</w:t>
      </w:r>
      <w:r w:rsidRPr="000B1E0A">
        <w:rPr>
          <w:rFonts w:asciiTheme="minorHAnsi" w:hAnsiTheme="minorHAnsi" w:cstheme="minorHAnsi"/>
          <w:bCs/>
        </w:rPr>
        <w:t>. Należy również zaznaczyć, że</w:t>
      </w:r>
      <w:r w:rsidR="00A47082">
        <w:rPr>
          <w:rFonts w:asciiTheme="minorHAnsi" w:hAnsiTheme="minorHAnsi" w:cstheme="minorHAnsi"/>
          <w:bCs/>
        </w:rPr>
        <w:t> </w:t>
      </w:r>
      <w:r w:rsidRPr="000B1E0A">
        <w:rPr>
          <w:rFonts w:asciiTheme="minorHAnsi" w:hAnsiTheme="minorHAnsi" w:cstheme="minorHAnsi"/>
          <w:bCs/>
        </w:rPr>
        <w:t xml:space="preserve">zgodnie z art. 13 lit. c) </w:t>
      </w:r>
      <w:r w:rsidRPr="00A94CB9">
        <w:rPr>
          <w:rFonts w:asciiTheme="minorHAnsi" w:hAnsiTheme="minorHAnsi" w:cstheme="minorHAnsi"/>
          <w:bCs/>
          <w:i/>
        </w:rPr>
        <w:t xml:space="preserve">zalecenia </w:t>
      </w:r>
      <w:r w:rsidRPr="00A94CB9">
        <w:rPr>
          <w:rFonts w:asciiTheme="minorHAnsi" w:hAnsiTheme="minorHAnsi" w:cstheme="minorHAnsi"/>
          <w:i/>
        </w:rPr>
        <w:t>Komisji (UE) 2017/432 z dnia 7 marca 2017 r. w sprawie zapewnienia większej skuteczności powrotów przy wdrożeniu dyrektywy Parlamentu Europejskiego i Rady 2008/115/WE</w:t>
      </w:r>
      <w:r>
        <w:rPr>
          <w:rFonts w:asciiTheme="minorHAnsi" w:hAnsiTheme="minorHAnsi" w:cstheme="minorHAnsi"/>
        </w:rPr>
        <w:t>,</w:t>
      </w:r>
      <w:r w:rsidRPr="000B1E0A">
        <w:rPr>
          <w:rFonts w:asciiTheme="minorHAnsi" w:hAnsiTheme="minorHAnsi" w:cstheme="minorHAnsi"/>
        </w:rPr>
        <w:t xml:space="preserve"> decyzje nakazujące powrót powinny mieć automatyczny skutek zawieszający, jeżeli jest to </w:t>
      </w:r>
      <w:r w:rsidRPr="000B1E0A">
        <w:rPr>
          <w:rFonts w:asciiTheme="minorHAnsi" w:eastAsia="Times New Roman" w:hAnsiTheme="minorHAnsi" w:cstheme="minorHAnsi"/>
        </w:rPr>
        <w:t>niezbędne dla uzyskania zgodności z art. 19 ust. 2 Karty Praw Podstawowych, który stanowi, że n</w:t>
      </w:r>
      <w:r w:rsidRPr="000B1E0A">
        <w:rPr>
          <w:rFonts w:asciiTheme="minorHAnsi" w:hAnsiTheme="minorHAnsi" w:cstheme="minorHAnsi"/>
        </w:rPr>
        <w:t xml:space="preserve">ikt nie może być usunięty z terytorium państwa, wydalony lub wydany w drodze ekstradycji do państwa, w którym istnieje poważne ryzyko, iż może być poddany karze śmierci, torturom lub innemu nieludzkiemu lub poniżającemu traktowaniu albo karaniu, oraz </w:t>
      </w:r>
      <w:r w:rsidRPr="000B1E0A">
        <w:rPr>
          <w:rFonts w:asciiTheme="minorHAnsi" w:eastAsia="Times New Roman" w:hAnsiTheme="minorHAnsi" w:cstheme="minorHAnsi"/>
        </w:rPr>
        <w:t xml:space="preserve"> art. 47 Karty, gwarantującym prawo do skutecznego środka</w:t>
      </w:r>
      <w:r>
        <w:rPr>
          <w:rFonts w:asciiTheme="minorHAnsi" w:eastAsia="Times New Roman" w:hAnsiTheme="minorHAnsi" w:cstheme="minorHAnsi"/>
        </w:rPr>
        <w:t xml:space="preserve"> prawnego. </w:t>
      </w:r>
    </w:p>
    <w:p w14:paraId="6D087932" w14:textId="45D70408" w:rsidR="00AE6CA9" w:rsidRPr="00A47082" w:rsidRDefault="00ED35B5" w:rsidP="00A47082">
      <w:pPr>
        <w:numPr>
          <w:ilvl w:val="0"/>
          <w:numId w:val="11"/>
        </w:numPr>
        <w:spacing w:after="120"/>
        <w:ind w:left="283" w:hanging="357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A47082">
        <w:rPr>
          <w:rFonts w:asciiTheme="minorHAnsi" w:eastAsiaTheme="minorHAnsi" w:hAnsiTheme="minorHAnsi" w:cstheme="minorBidi"/>
          <w:color w:val="auto"/>
          <w:lang w:eastAsia="en-US"/>
        </w:rPr>
        <w:t xml:space="preserve">Ta </w:t>
      </w:r>
      <w:r w:rsidRPr="00A47082">
        <w:rPr>
          <w:rFonts w:asciiTheme="minorHAnsi" w:hAnsiTheme="minorHAnsi" w:cstheme="minorHAnsi"/>
          <w:bCs/>
        </w:rPr>
        <w:t>sama uwaga</w:t>
      </w:r>
      <w:r w:rsidR="00A47082" w:rsidRPr="00A47082">
        <w:rPr>
          <w:rFonts w:asciiTheme="minorHAnsi" w:hAnsiTheme="minorHAnsi" w:cstheme="minorHAnsi"/>
          <w:bCs/>
        </w:rPr>
        <w:t>,</w:t>
      </w:r>
      <w:r w:rsidRPr="00A47082">
        <w:rPr>
          <w:rFonts w:asciiTheme="minorHAnsi" w:hAnsiTheme="minorHAnsi" w:cstheme="minorHAnsi"/>
          <w:bCs/>
        </w:rPr>
        <w:t xml:space="preserve"> dot</w:t>
      </w:r>
      <w:r w:rsidR="007010CE" w:rsidRPr="00A47082">
        <w:rPr>
          <w:rFonts w:asciiTheme="minorHAnsi" w:hAnsiTheme="minorHAnsi" w:cstheme="minorHAnsi"/>
          <w:bCs/>
        </w:rPr>
        <w:t xml:space="preserve">ycząca </w:t>
      </w:r>
      <w:r w:rsidR="00A47082" w:rsidRPr="00A47082">
        <w:rPr>
          <w:rFonts w:asciiTheme="minorHAnsi" w:hAnsiTheme="minorHAnsi" w:cstheme="minorHAnsi"/>
          <w:bCs/>
        </w:rPr>
        <w:t xml:space="preserve">wątpliwości w świetle </w:t>
      </w:r>
      <w:r w:rsidRPr="00A47082">
        <w:rPr>
          <w:rFonts w:asciiTheme="minorHAnsi" w:hAnsiTheme="minorHAnsi" w:cstheme="minorHAnsi"/>
          <w:bCs/>
        </w:rPr>
        <w:t>art. 46 ust.</w:t>
      </w:r>
      <w:r w:rsidR="007010CE" w:rsidRPr="00A47082">
        <w:rPr>
          <w:rFonts w:asciiTheme="minorHAnsi" w:hAnsiTheme="minorHAnsi" w:cstheme="minorHAnsi"/>
          <w:bCs/>
        </w:rPr>
        <w:t xml:space="preserve"> </w:t>
      </w:r>
      <w:r w:rsidRPr="00A47082">
        <w:rPr>
          <w:rFonts w:asciiTheme="minorHAnsi" w:hAnsiTheme="minorHAnsi" w:cstheme="minorHAnsi"/>
          <w:bCs/>
        </w:rPr>
        <w:t xml:space="preserve">5 dyrektywy </w:t>
      </w:r>
      <w:r w:rsidRPr="00A47082">
        <w:rPr>
          <w:rFonts w:asciiTheme="minorHAnsi" w:eastAsia="Times New Roman" w:hAnsiTheme="minorHAnsi" w:cstheme="minorHAnsi"/>
          <w:color w:val="auto"/>
        </w:rPr>
        <w:t>2013/32/UE</w:t>
      </w:r>
      <w:r w:rsidR="00A47082" w:rsidRPr="00A47082">
        <w:rPr>
          <w:rFonts w:asciiTheme="minorHAnsi" w:eastAsia="Times New Roman" w:hAnsiTheme="minorHAnsi" w:cstheme="minorHAnsi"/>
          <w:color w:val="auto"/>
        </w:rPr>
        <w:t>,</w:t>
      </w:r>
      <w:r w:rsidRPr="00A47082">
        <w:rPr>
          <w:rFonts w:asciiTheme="minorHAnsi" w:hAnsiTheme="minorHAnsi" w:cstheme="minorHAnsi"/>
          <w:bCs/>
        </w:rPr>
        <w:t xml:space="preserve"> odnosi się</w:t>
      </w:r>
      <w:r w:rsidR="00A47082" w:rsidRPr="00A47082">
        <w:rPr>
          <w:rFonts w:asciiTheme="minorHAnsi" w:hAnsiTheme="minorHAnsi" w:cstheme="minorHAnsi"/>
          <w:bCs/>
        </w:rPr>
        <w:t> </w:t>
      </w:r>
      <w:r w:rsidRPr="00A47082">
        <w:rPr>
          <w:rFonts w:asciiTheme="minorHAnsi" w:hAnsiTheme="minorHAnsi" w:cstheme="minorHAnsi"/>
          <w:bCs/>
        </w:rPr>
        <w:t>do art. 1 pkt 27 projektu, zgodnie z którym w art. 315 ustawy o cudzoziemcach uchyla się ust.</w:t>
      </w:r>
      <w:r w:rsidR="001A0511" w:rsidRPr="00A47082">
        <w:rPr>
          <w:rFonts w:asciiTheme="minorHAnsi" w:hAnsiTheme="minorHAnsi" w:cstheme="minorHAnsi"/>
          <w:bCs/>
        </w:rPr>
        <w:t xml:space="preserve"> </w:t>
      </w:r>
      <w:r w:rsidRPr="00A47082">
        <w:rPr>
          <w:rFonts w:asciiTheme="minorHAnsi" w:hAnsiTheme="minorHAnsi" w:cstheme="minorHAnsi"/>
          <w:bCs/>
        </w:rPr>
        <w:t>4a. Przepis ten stanowi</w:t>
      </w:r>
      <w:r w:rsidR="00E85163" w:rsidRPr="00A47082">
        <w:rPr>
          <w:rFonts w:asciiTheme="minorHAnsi" w:hAnsiTheme="minorHAnsi" w:cstheme="minorHAnsi"/>
          <w:bCs/>
        </w:rPr>
        <w:t xml:space="preserve"> w </w:t>
      </w:r>
      <w:r w:rsidR="00A47082" w:rsidRPr="00A47082">
        <w:rPr>
          <w:rFonts w:asciiTheme="minorHAnsi" w:hAnsiTheme="minorHAnsi" w:cstheme="minorHAnsi"/>
          <w:bCs/>
        </w:rPr>
        <w:t>pkt</w:t>
      </w:r>
      <w:r w:rsidR="00E85163" w:rsidRPr="00A47082">
        <w:rPr>
          <w:rFonts w:asciiTheme="minorHAnsi" w:hAnsiTheme="minorHAnsi" w:cstheme="minorHAnsi"/>
          <w:bCs/>
        </w:rPr>
        <w:t xml:space="preserve">. 3 i 4, </w:t>
      </w:r>
      <w:r w:rsidRPr="00A47082">
        <w:rPr>
          <w:rFonts w:asciiTheme="minorHAnsi" w:hAnsiTheme="minorHAnsi" w:cstheme="minorHAnsi"/>
          <w:bCs/>
        </w:rPr>
        <w:t>że w przypadku gdy cudzoziemcowi została wydana decyzja o</w:t>
      </w:r>
      <w:r w:rsidR="00A47082" w:rsidRPr="00A47082">
        <w:rPr>
          <w:rFonts w:asciiTheme="minorHAnsi" w:hAnsiTheme="minorHAnsi" w:cstheme="minorHAnsi"/>
          <w:bCs/>
        </w:rPr>
        <w:t> </w:t>
      </w:r>
      <w:r w:rsidRPr="00A47082">
        <w:rPr>
          <w:rFonts w:asciiTheme="minorHAnsi" w:hAnsiTheme="minorHAnsi" w:cstheme="minorHAnsi"/>
          <w:bCs/>
        </w:rPr>
        <w:t xml:space="preserve">zobowiązaniu cudzoziemca do powrotu, w której określono termin dobrowolnego powrotu, </w:t>
      </w:r>
      <w:r w:rsidRPr="00A47082">
        <w:rPr>
          <w:rFonts w:asciiTheme="minorHAnsi" w:eastAsiaTheme="minorEastAsia" w:hAnsiTheme="minorHAnsi" w:cstheme="minorHAnsi"/>
        </w:rPr>
        <w:t xml:space="preserve">przed wydaniem mu decyzji o odmowie nadania statusu uchodźcy lub udzielenia ochrony międzynarodowej lub decyzji o umorzeniu postępowania w sprawie udzielenia ochrony międzynarodowej, termin dobrowolnego powrotu jest liczony od dnia, w którym decyzja, o której mowa w pkt 1-4, stała się ostateczna, a w przypadku decyzji wydanej przez organ wyższego stopnia - od dnia, w którym decyzja ostateczna została cudzoziemcowi doręczona. </w:t>
      </w:r>
    </w:p>
    <w:p w14:paraId="791E5DB5" w14:textId="65FC1A9C" w:rsidR="00ED35B5" w:rsidRPr="00ED35B5" w:rsidRDefault="00ED35B5" w:rsidP="00123072">
      <w:pPr>
        <w:spacing w:after="120"/>
        <w:ind w:left="284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>
        <w:rPr>
          <w:rFonts w:asciiTheme="minorHAnsi" w:eastAsiaTheme="minorEastAsia" w:hAnsiTheme="minorHAnsi" w:cstheme="minorHAnsi"/>
        </w:rPr>
        <w:t xml:space="preserve">Projektodawca </w:t>
      </w:r>
      <w:r w:rsidRPr="000B1E0A">
        <w:rPr>
          <w:rFonts w:asciiTheme="minorHAnsi" w:eastAsiaTheme="minorEastAsia" w:hAnsiTheme="minorHAnsi" w:cstheme="minorHAnsi"/>
        </w:rPr>
        <w:t xml:space="preserve">wyjaśnił w uzasadnieniu, że projektowana zmiana </w:t>
      </w:r>
      <w:r w:rsidRPr="000B1E0A">
        <w:rPr>
          <w:rFonts w:asciiTheme="minorHAnsi" w:hAnsiTheme="minorHAnsi" w:cstheme="minorHAnsi"/>
          <w:bCs/>
        </w:rPr>
        <w:t>wynika z dotychczasowych doświadczeń w stosowaniu aktualnie obowiązującej regulacji, i ma na celu uniknięcie sytuacji, kiedy cudzoziemiec wszczynając procedurę odwoławczą od takiej decyzji w sposób nieuzasadniony przedłuża swój pobyt na terytorium Rzeczypospolitej Polskiej w przypadku</w:t>
      </w:r>
      <w:r w:rsidR="007E4960">
        <w:rPr>
          <w:rFonts w:asciiTheme="minorHAnsi" w:hAnsiTheme="minorHAnsi" w:cstheme="minorHAnsi"/>
          <w:bCs/>
        </w:rPr>
        <w:t>,</w:t>
      </w:r>
      <w:r w:rsidRPr="000B1E0A">
        <w:rPr>
          <w:rFonts w:asciiTheme="minorHAnsi" w:hAnsiTheme="minorHAnsi" w:cstheme="minorHAnsi"/>
          <w:bCs/>
        </w:rPr>
        <w:t xml:space="preserve"> w którym decyzja </w:t>
      </w:r>
      <w:r w:rsidRPr="000B1E0A">
        <w:rPr>
          <w:rFonts w:asciiTheme="minorHAnsi" w:hAnsiTheme="minorHAnsi" w:cstheme="minorHAnsi"/>
          <w:bCs/>
        </w:rPr>
        <w:lastRenderedPageBreak/>
        <w:t>o</w:t>
      </w:r>
      <w:r w:rsidR="00A47082">
        <w:rPr>
          <w:rFonts w:asciiTheme="minorHAnsi" w:hAnsiTheme="minorHAnsi" w:cstheme="minorHAnsi"/>
          <w:bCs/>
        </w:rPr>
        <w:t> </w:t>
      </w:r>
      <w:r w:rsidRPr="000B1E0A">
        <w:rPr>
          <w:rFonts w:asciiTheme="minorHAnsi" w:hAnsiTheme="minorHAnsi" w:cstheme="minorHAnsi"/>
          <w:bCs/>
        </w:rPr>
        <w:t>zobowiązaniu go do powrotu mogłaby podlegać wykonaniu.  W świetle wskazanego wyżej art. 46 ust.</w:t>
      </w:r>
      <w:r w:rsidR="007010CE">
        <w:rPr>
          <w:rFonts w:asciiTheme="minorHAnsi" w:hAnsiTheme="minorHAnsi" w:cstheme="minorHAnsi"/>
          <w:bCs/>
        </w:rPr>
        <w:t xml:space="preserve"> </w:t>
      </w:r>
      <w:r w:rsidRPr="000B1E0A">
        <w:rPr>
          <w:rFonts w:asciiTheme="minorHAnsi" w:hAnsiTheme="minorHAnsi" w:cstheme="minorHAnsi"/>
          <w:bCs/>
        </w:rPr>
        <w:t xml:space="preserve">5 dyrektywy  </w:t>
      </w:r>
      <w:r w:rsidRPr="000B1E0A">
        <w:rPr>
          <w:rFonts w:asciiTheme="minorHAnsi" w:eastAsia="Times New Roman" w:hAnsiTheme="minorHAnsi" w:cstheme="minorHAnsi"/>
          <w:color w:val="auto"/>
        </w:rPr>
        <w:t>2013/32/UE</w:t>
      </w:r>
      <w:r w:rsidRPr="000B1E0A">
        <w:rPr>
          <w:rFonts w:asciiTheme="minorHAnsi" w:hAnsiTheme="minorHAnsi" w:cstheme="minorHAnsi"/>
          <w:bCs/>
        </w:rPr>
        <w:t xml:space="preserve"> projektowane rozwiązanie nie może jednak obejmować sytuacji, o</w:t>
      </w:r>
      <w:r w:rsidR="00A47082">
        <w:rPr>
          <w:rFonts w:asciiTheme="minorHAnsi" w:hAnsiTheme="minorHAnsi" w:cstheme="minorHAnsi"/>
          <w:bCs/>
        </w:rPr>
        <w:t> </w:t>
      </w:r>
      <w:r w:rsidRPr="000B1E0A">
        <w:rPr>
          <w:rFonts w:asciiTheme="minorHAnsi" w:hAnsiTheme="minorHAnsi" w:cstheme="minorHAnsi"/>
          <w:bCs/>
        </w:rPr>
        <w:t>których mowa w ust.</w:t>
      </w:r>
      <w:r w:rsidR="007010CE">
        <w:rPr>
          <w:rFonts w:asciiTheme="minorHAnsi" w:hAnsiTheme="minorHAnsi" w:cstheme="minorHAnsi"/>
          <w:bCs/>
        </w:rPr>
        <w:t xml:space="preserve"> </w:t>
      </w:r>
      <w:r w:rsidRPr="000B1E0A">
        <w:rPr>
          <w:rFonts w:asciiTheme="minorHAnsi" w:hAnsiTheme="minorHAnsi" w:cstheme="minorHAnsi"/>
          <w:bCs/>
        </w:rPr>
        <w:t>3 i ust.</w:t>
      </w:r>
      <w:r w:rsidR="001A0511">
        <w:rPr>
          <w:rFonts w:asciiTheme="minorHAnsi" w:hAnsiTheme="minorHAnsi" w:cstheme="minorHAnsi"/>
          <w:bCs/>
        </w:rPr>
        <w:t xml:space="preserve"> </w:t>
      </w:r>
      <w:r w:rsidRPr="000B1E0A">
        <w:rPr>
          <w:rFonts w:asciiTheme="minorHAnsi" w:hAnsiTheme="minorHAnsi" w:cstheme="minorHAnsi"/>
          <w:bCs/>
        </w:rPr>
        <w:t xml:space="preserve">4 uchylanego art. 315 4a ustawy o cudzoziemcach, </w:t>
      </w:r>
      <w:r w:rsidRPr="000D134F">
        <w:rPr>
          <w:rFonts w:asciiTheme="minorHAnsi" w:hAnsiTheme="minorHAnsi" w:cstheme="minorHAnsi"/>
          <w:bCs/>
        </w:rPr>
        <w:t>ponieważ cudzoziemiec nie może być zobowiązany do wykonania decyzji, w której określono termin dobrowolnego powrotu, do czasu zakończenia postępowania w sprawach dot</w:t>
      </w:r>
      <w:r w:rsidR="007010CE" w:rsidRPr="000D134F">
        <w:rPr>
          <w:rFonts w:asciiTheme="minorHAnsi" w:hAnsiTheme="minorHAnsi" w:cstheme="minorHAnsi"/>
          <w:bCs/>
        </w:rPr>
        <w:t xml:space="preserve">yczących </w:t>
      </w:r>
      <w:r w:rsidRPr="000D134F">
        <w:rPr>
          <w:rFonts w:asciiTheme="minorHAnsi" w:hAnsiTheme="minorHAnsi" w:cstheme="minorHAnsi"/>
          <w:bCs/>
        </w:rPr>
        <w:t>wniosków o udzielenie ochrony międzynarodowej.</w:t>
      </w:r>
      <w:r>
        <w:rPr>
          <w:rFonts w:asciiTheme="minorHAnsi" w:hAnsiTheme="minorHAnsi" w:cstheme="minorHAnsi"/>
          <w:bCs/>
        </w:rPr>
        <w:t xml:space="preserve"> </w:t>
      </w:r>
    </w:p>
    <w:p w14:paraId="1CFDF459" w14:textId="640C2B95" w:rsidR="00AE6CA9" w:rsidRPr="00ED35B5" w:rsidRDefault="00ED35B5" w:rsidP="00123072">
      <w:pPr>
        <w:numPr>
          <w:ilvl w:val="0"/>
          <w:numId w:val="11"/>
        </w:numPr>
        <w:spacing w:after="120"/>
        <w:ind w:left="283" w:hanging="357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>
        <w:rPr>
          <w:rFonts w:asciiTheme="minorHAnsi" w:eastAsiaTheme="minorHAnsi" w:hAnsiTheme="minorHAnsi" w:cstheme="minorBidi"/>
          <w:color w:val="auto"/>
          <w:lang w:eastAsia="en-US"/>
        </w:rPr>
        <w:t xml:space="preserve">Stosownie </w:t>
      </w:r>
      <w:r w:rsidRPr="000B1E0A">
        <w:rPr>
          <w:rFonts w:asciiTheme="minorHAnsi" w:hAnsiTheme="minorHAnsi" w:cstheme="minorHAnsi"/>
          <w:bCs/>
        </w:rPr>
        <w:t>do art. 1 pkt 30 projektu, do art. 319 pkt 4 ustawy o cudzoziemcach ma zostać wprowadzona zmiana, zgodnie z którą zakaz ponownego wjazdu na terytorium Rzeczypospolitej Polskiej i innych państw obszaru Schengen</w:t>
      </w:r>
      <w:r w:rsidR="00A47082">
        <w:rPr>
          <w:rFonts w:asciiTheme="minorHAnsi" w:hAnsiTheme="minorHAnsi" w:cstheme="minorHAnsi"/>
          <w:bCs/>
        </w:rPr>
        <w:t>,</w:t>
      </w:r>
      <w:r w:rsidRPr="000B1E0A">
        <w:rPr>
          <w:rFonts w:asciiTheme="minorHAnsi" w:hAnsiTheme="minorHAnsi" w:cstheme="minorHAnsi"/>
          <w:bCs/>
        </w:rPr>
        <w:t xml:space="preserve"> orzekany w decyzji o zobowiązaniu cudzoziemca do</w:t>
      </w:r>
      <w:r w:rsidR="00A47082">
        <w:rPr>
          <w:rFonts w:asciiTheme="minorHAnsi" w:hAnsiTheme="minorHAnsi" w:cstheme="minorHAnsi"/>
          <w:bCs/>
        </w:rPr>
        <w:t> </w:t>
      </w:r>
      <w:r w:rsidRPr="000B1E0A">
        <w:rPr>
          <w:rFonts w:asciiTheme="minorHAnsi" w:hAnsiTheme="minorHAnsi" w:cstheme="minorHAnsi"/>
          <w:bCs/>
        </w:rPr>
        <w:t>powrotu</w:t>
      </w:r>
      <w:r w:rsidR="00A47082">
        <w:rPr>
          <w:rFonts w:asciiTheme="minorHAnsi" w:hAnsiTheme="minorHAnsi" w:cstheme="minorHAnsi"/>
          <w:bCs/>
        </w:rPr>
        <w:t>,</w:t>
      </w:r>
      <w:r w:rsidRPr="000B1E0A">
        <w:rPr>
          <w:rFonts w:asciiTheme="minorHAnsi" w:hAnsiTheme="minorHAnsi" w:cstheme="minorHAnsi"/>
          <w:bCs/>
        </w:rPr>
        <w:t xml:space="preserve"> będzie określany na okres </w:t>
      </w:r>
      <w:r w:rsidRPr="000B1E0A">
        <w:rPr>
          <w:rFonts w:asciiTheme="minorHAnsi" w:hAnsiTheme="minorHAnsi" w:cstheme="minorHAnsi"/>
        </w:rPr>
        <w:t>od 5 do 10 lat – w przypadkach, o których mowa w art. 302 ust. 1 pkt 9 lub art. 329a ust. 1, tj. wtedy, kiedy decyzja o zobowiązaniu cudzoziemca do powrotu została wydana</w:t>
      </w:r>
      <w:r w:rsidR="00A47082">
        <w:rPr>
          <w:rFonts w:asciiTheme="minorHAnsi" w:hAnsiTheme="minorHAnsi" w:cstheme="minorHAnsi"/>
        </w:rPr>
        <w:t>,</w:t>
      </w:r>
      <w:r w:rsidRPr="000B1E0A">
        <w:rPr>
          <w:rFonts w:asciiTheme="minorHAnsi" w:hAnsiTheme="minorHAnsi" w:cstheme="minorHAnsi"/>
        </w:rPr>
        <w:t xml:space="preserve"> ponieważ wymagały tego względy obronności lub bezpieczeństwa państwa lub</w:t>
      </w:r>
      <w:r w:rsidR="00A47082">
        <w:rPr>
          <w:rFonts w:asciiTheme="minorHAnsi" w:hAnsiTheme="minorHAnsi" w:cstheme="minorHAnsi"/>
        </w:rPr>
        <w:t> </w:t>
      </w:r>
      <w:r w:rsidRPr="000B1E0A">
        <w:rPr>
          <w:rFonts w:asciiTheme="minorHAnsi" w:hAnsiTheme="minorHAnsi" w:cstheme="minorHAnsi"/>
        </w:rPr>
        <w:t>ochrony bezpieczeństwa i porządku publicznego lub interes Rzeczypospolitej Polskiej lub</w:t>
      </w:r>
      <w:r w:rsidR="00A47082">
        <w:rPr>
          <w:rFonts w:asciiTheme="minorHAnsi" w:hAnsiTheme="minorHAnsi" w:cstheme="minorHAnsi"/>
        </w:rPr>
        <w:t> </w:t>
      </w:r>
      <w:r w:rsidRPr="000B1E0A">
        <w:rPr>
          <w:rFonts w:asciiTheme="minorHAnsi" w:hAnsiTheme="minorHAnsi" w:cstheme="minorHAnsi"/>
        </w:rPr>
        <w:t>też</w:t>
      </w:r>
      <w:r w:rsidR="00A47082">
        <w:rPr>
          <w:rFonts w:asciiTheme="minorHAnsi" w:hAnsiTheme="minorHAnsi" w:cstheme="minorHAnsi"/>
        </w:rPr>
        <w:t> </w:t>
      </w:r>
      <w:r w:rsidRPr="000B1E0A">
        <w:rPr>
          <w:rFonts w:asciiTheme="minorHAnsi" w:hAnsiTheme="minorHAnsi" w:cstheme="minorHAnsi"/>
        </w:rPr>
        <w:t xml:space="preserve">kiedy minister właściwy do spraw wewnętrznych wydał decyzję o zobowiązaniu do powrotu dotyczącą cudzoziemca, </w:t>
      </w:r>
      <w:r w:rsidRPr="000B1E0A">
        <w:rPr>
          <w:rFonts w:asciiTheme="minorHAnsi" w:eastAsiaTheme="minorEastAsia" w:hAnsiTheme="minorHAnsi" w:cstheme="minorHAnsi"/>
        </w:rPr>
        <w:t>co do którego istnieje obawa, że może prowadzić działalność terrorystyczną lub szpiegowską, albo podejrzewanego o popełnienie jednego z tych przestępstw.</w:t>
      </w:r>
    </w:p>
    <w:p w14:paraId="5593BD18" w14:textId="11E3C79E" w:rsidR="00ED35B5" w:rsidRDefault="00ED35B5" w:rsidP="00A47082">
      <w:pPr>
        <w:spacing w:after="120"/>
        <w:ind w:left="284"/>
        <w:jc w:val="both"/>
        <w:rPr>
          <w:rFonts w:asciiTheme="minorHAnsi" w:hAnsiTheme="minorHAnsi" w:cstheme="minorHAnsi"/>
          <w:bCs/>
        </w:rPr>
      </w:pPr>
      <w:r>
        <w:rPr>
          <w:rFonts w:asciiTheme="minorHAnsi" w:eastAsiaTheme="minorEastAsia" w:hAnsiTheme="minorHAnsi" w:cstheme="minorHAnsi"/>
        </w:rPr>
        <w:t xml:space="preserve">Projektodawca </w:t>
      </w:r>
      <w:r w:rsidRPr="000B1E0A">
        <w:rPr>
          <w:rFonts w:asciiTheme="minorHAnsi" w:eastAsiaTheme="minorEastAsia" w:hAnsiTheme="minorHAnsi" w:cstheme="minorHAnsi"/>
        </w:rPr>
        <w:t xml:space="preserve">jako podstawę do </w:t>
      </w:r>
      <w:r w:rsidR="00421847">
        <w:rPr>
          <w:rFonts w:asciiTheme="minorHAnsi" w:eastAsiaTheme="minorEastAsia" w:hAnsiTheme="minorHAnsi" w:cstheme="minorHAnsi"/>
        </w:rPr>
        <w:t>w</w:t>
      </w:r>
      <w:r w:rsidRPr="000B1E0A">
        <w:rPr>
          <w:rFonts w:asciiTheme="minorHAnsi" w:eastAsiaTheme="minorEastAsia" w:hAnsiTheme="minorHAnsi" w:cstheme="minorHAnsi"/>
        </w:rPr>
        <w:t>prowadzenia takiego rozwiązania wskazał art. 11 ust.</w:t>
      </w:r>
      <w:r w:rsidR="00421847">
        <w:rPr>
          <w:rFonts w:asciiTheme="minorHAnsi" w:eastAsiaTheme="minorEastAsia" w:hAnsiTheme="minorHAnsi" w:cstheme="minorHAnsi"/>
        </w:rPr>
        <w:t xml:space="preserve"> </w:t>
      </w:r>
      <w:r w:rsidRPr="000B1E0A">
        <w:rPr>
          <w:rFonts w:asciiTheme="minorHAnsi" w:eastAsiaTheme="minorEastAsia" w:hAnsiTheme="minorHAnsi" w:cstheme="minorHAnsi"/>
        </w:rPr>
        <w:t xml:space="preserve">2 dyrektywy 2008/115/WE i wyjaśnił, że obecnie dopuszczalny na mocy tego przepisu sztywny okres </w:t>
      </w:r>
      <w:r w:rsidR="00A47082">
        <w:rPr>
          <w:rFonts w:asciiTheme="minorHAnsi" w:eastAsiaTheme="minorEastAsia" w:hAnsiTheme="minorHAnsi" w:cstheme="minorHAnsi"/>
        </w:rPr>
        <w:t>pięciu</w:t>
      </w:r>
      <w:r w:rsidRPr="000B1E0A">
        <w:rPr>
          <w:rFonts w:asciiTheme="minorHAnsi" w:eastAsiaTheme="minorEastAsia" w:hAnsiTheme="minorHAnsi" w:cstheme="minorHAnsi"/>
        </w:rPr>
        <w:t xml:space="preserve"> lat może być w </w:t>
      </w:r>
      <w:r w:rsidRPr="000B1E0A">
        <w:rPr>
          <w:rFonts w:asciiTheme="minorHAnsi" w:hAnsiTheme="minorHAnsi" w:cstheme="minorHAnsi"/>
          <w:bCs/>
        </w:rPr>
        <w:t xml:space="preserve">pewnych przypadkach niewystarczający do skutecznej ochrony pewnych wartości, z którymi związane było wydanie danej decyzji, przy czym organ wydający decyzję będzie obowiązany każdorazowo uzasadnić skorzystanie z możliwości określenia </w:t>
      </w:r>
      <w:r w:rsidR="007E4960" w:rsidRPr="000B1E0A">
        <w:rPr>
          <w:rFonts w:asciiTheme="minorHAnsi" w:hAnsiTheme="minorHAnsi" w:cstheme="minorHAnsi"/>
          <w:bCs/>
        </w:rPr>
        <w:t xml:space="preserve">dłuższego </w:t>
      </w:r>
      <w:r w:rsidRPr="000B1E0A">
        <w:rPr>
          <w:rFonts w:asciiTheme="minorHAnsi" w:hAnsiTheme="minorHAnsi" w:cstheme="minorHAnsi"/>
          <w:bCs/>
        </w:rPr>
        <w:t>okresu</w:t>
      </w:r>
      <w:r>
        <w:rPr>
          <w:rFonts w:asciiTheme="minorHAnsi" w:hAnsiTheme="minorHAnsi" w:cstheme="minorHAnsi"/>
          <w:bCs/>
        </w:rPr>
        <w:t xml:space="preserve"> zakazu. </w:t>
      </w:r>
    </w:p>
    <w:p w14:paraId="1FCA157E" w14:textId="367CBECF" w:rsidR="00ED35B5" w:rsidRDefault="00ED35B5" w:rsidP="00123072">
      <w:pPr>
        <w:spacing w:after="120"/>
        <w:ind w:left="284"/>
        <w:jc w:val="both"/>
        <w:rPr>
          <w:rFonts w:asciiTheme="minorHAnsi" w:eastAsiaTheme="minorEastAsia" w:hAnsiTheme="minorHAnsi" w:cstheme="minorHAnsi"/>
        </w:rPr>
      </w:pPr>
      <w:r>
        <w:rPr>
          <w:rFonts w:asciiTheme="minorHAnsi" w:hAnsiTheme="minorHAnsi" w:cstheme="minorHAnsi"/>
          <w:bCs/>
        </w:rPr>
        <w:t xml:space="preserve">Zgodnie z </w:t>
      </w:r>
      <w:r w:rsidRPr="000B1E0A">
        <w:rPr>
          <w:rFonts w:asciiTheme="minorHAnsi" w:eastAsiaTheme="minorEastAsia" w:hAnsiTheme="minorHAnsi" w:cstheme="minorHAnsi"/>
        </w:rPr>
        <w:t>art. 11 ust.</w:t>
      </w:r>
      <w:r w:rsidR="00421847">
        <w:rPr>
          <w:rFonts w:asciiTheme="minorHAnsi" w:eastAsiaTheme="minorEastAsia" w:hAnsiTheme="minorHAnsi" w:cstheme="minorHAnsi"/>
        </w:rPr>
        <w:t xml:space="preserve"> </w:t>
      </w:r>
      <w:r w:rsidRPr="000B1E0A">
        <w:rPr>
          <w:rFonts w:asciiTheme="minorHAnsi" w:eastAsiaTheme="minorEastAsia" w:hAnsiTheme="minorHAnsi" w:cstheme="minorHAnsi"/>
        </w:rPr>
        <w:t>2 dyrektywy 2008/115/WE czas trwania zakazu wjazdu jest określany z</w:t>
      </w:r>
      <w:r w:rsidR="00A47082">
        <w:rPr>
          <w:rFonts w:asciiTheme="minorHAnsi" w:eastAsiaTheme="minorEastAsia" w:hAnsiTheme="minorHAnsi" w:cstheme="minorHAnsi"/>
        </w:rPr>
        <w:t> </w:t>
      </w:r>
      <w:r w:rsidRPr="000B1E0A">
        <w:rPr>
          <w:rFonts w:asciiTheme="minorHAnsi" w:eastAsiaTheme="minorEastAsia" w:hAnsiTheme="minorHAnsi" w:cstheme="minorHAnsi"/>
        </w:rPr>
        <w:t>należytym uwzględnieniem wszystkich istotnych dla danego przypadku okoliczności i co do zasady nie przekracza pięciu lat. Może on być jednak dłuższy niż pięć lat, jeżeli obywatel państwa trzeciego stanowi poważne zagrożenie dla porządku publicznego, bezpieczeństwa publicznego lub</w:t>
      </w:r>
      <w:r w:rsidR="00A47082">
        <w:rPr>
          <w:rFonts w:asciiTheme="minorHAnsi" w:eastAsiaTheme="minorEastAsia" w:hAnsiTheme="minorHAnsi" w:cstheme="minorHAnsi"/>
        </w:rPr>
        <w:t> </w:t>
      </w:r>
      <w:r w:rsidRPr="000B1E0A">
        <w:rPr>
          <w:rFonts w:asciiTheme="minorHAnsi" w:eastAsiaTheme="minorEastAsia" w:hAnsiTheme="minorHAnsi" w:cstheme="minorHAnsi"/>
        </w:rPr>
        <w:t>bezpieczeństwa narodowego.</w:t>
      </w:r>
    </w:p>
    <w:p w14:paraId="78464201" w14:textId="5F2C2A8C" w:rsidR="00ED35B5" w:rsidRPr="00ED35B5" w:rsidRDefault="00421847" w:rsidP="00123072">
      <w:pPr>
        <w:spacing w:after="120"/>
        <w:ind w:left="284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>
        <w:rPr>
          <w:rFonts w:asciiTheme="minorHAnsi" w:hAnsiTheme="minorHAnsi" w:cstheme="minorHAnsi"/>
          <w:bCs/>
        </w:rPr>
        <w:t>W</w:t>
      </w:r>
      <w:r w:rsidRPr="000B1E0A">
        <w:rPr>
          <w:rFonts w:asciiTheme="minorHAnsi" w:hAnsiTheme="minorHAnsi" w:cstheme="minorHAnsi"/>
          <w:bCs/>
        </w:rPr>
        <w:t xml:space="preserve"> </w:t>
      </w:r>
      <w:r w:rsidR="00ED35B5" w:rsidRPr="000B1E0A">
        <w:rPr>
          <w:rFonts w:asciiTheme="minorHAnsi" w:hAnsiTheme="minorHAnsi" w:cstheme="minorHAnsi"/>
          <w:bCs/>
        </w:rPr>
        <w:t xml:space="preserve">świetle wskazanego wyżej przepisu dopuszczalne jest </w:t>
      </w:r>
      <w:r>
        <w:rPr>
          <w:rFonts w:asciiTheme="minorHAnsi" w:hAnsiTheme="minorHAnsi" w:cstheme="minorHAnsi"/>
          <w:bCs/>
        </w:rPr>
        <w:t xml:space="preserve">zatem </w:t>
      </w:r>
      <w:r w:rsidR="00ED35B5" w:rsidRPr="000B1E0A">
        <w:rPr>
          <w:rFonts w:asciiTheme="minorHAnsi" w:hAnsiTheme="minorHAnsi" w:cstheme="minorHAnsi"/>
          <w:bCs/>
        </w:rPr>
        <w:t>wydłużenie możliwego okresu zakazu wjazdu na okres powyżej pięciu lat,</w:t>
      </w:r>
      <w:r w:rsidR="00E55E55">
        <w:rPr>
          <w:rFonts w:asciiTheme="minorHAnsi" w:hAnsiTheme="minorHAnsi" w:cstheme="minorHAnsi"/>
          <w:bCs/>
        </w:rPr>
        <w:t xml:space="preserve"> art. 11</w:t>
      </w:r>
      <w:r w:rsidR="00E55E55" w:rsidRPr="00F42B61">
        <w:rPr>
          <w:rFonts w:asciiTheme="minorHAnsi" w:hAnsiTheme="minorHAnsi" w:cstheme="minorHAnsi"/>
          <w:bCs/>
        </w:rPr>
        <w:t xml:space="preserve"> </w:t>
      </w:r>
      <w:r w:rsidR="00E55E55" w:rsidRPr="000B1E0A">
        <w:rPr>
          <w:rFonts w:asciiTheme="minorHAnsi" w:hAnsiTheme="minorHAnsi" w:cstheme="minorHAnsi"/>
          <w:bCs/>
        </w:rPr>
        <w:t>ust.</w:t>
      </w:r>
      <w:r w:rsidR="00E55E55">
        <w:rPr>
          <w:rFonts w:asciiTheme="minorHAnsi" w:hAnsiTheme="minorHAnsi" w:cstheme="minorHAnsi"/>
          <w:bCs/>
        </w:rPr>
        <w:t xml:space="preserve"> </w:t>
      </w:r>
      <w:r w:rsidR="00E55E55" w:rsidRPr="000B1E0A">
        <w:rPr>
          <w:rFonts w:asciiTheme="minorHAnsi" w:hAnsiTheme="minorHAnsi" w:cstheme="minorHAnsi"/>
          <w:bCs/>
        </w:rPr>
        <w:t xml:space="preserve">2 dyrektywy 2008/115/WE dopuszcza jednak wydłużenie czasu trwania zakazu wjazdu na okres dłuższy niż pięć lat w ściśle określonych okolicznościach, tj. jeżeli </w:t>
      </w:r>
      <w:r w:rsidR="00E55E55" w:rsidRPr="000B1E0A">
        <w:rPr>
          <w:rFonts w:asciiTheme="minorHAnsi" w:eastAsiaTheme="minorEastAsia" w:hAnsiTheme="minorHAnsi" w:cstheme="minorHAnsi"/>
        </w:rPr>
        <w:t>obywatel państwa trzeciego stanowi poważne zagrożenie dla porządku publicznego, bezpieczeństwa publicznego lub bezpieczeństwa narodowego. Nasuwa to</w:t>
      </w:r>
      <w:r w:rsidR="00A47082">
        <w:rPr>
          <w:rFonts w:asciiTheme="minorHAnsi" w:eastAsiaTheme="minorEastAsia" w:hAnsiTheme="minorHAnsi" w:cstheme="minorHAnsi"/>
        </w:rPr>
        <w:t> </w:t>
      </w:r>
      <w:r w:rsidR="00E55E55" w:rsidRPr="000B1E0A">
        <w:rPr>
          <w:rFonts w:asciiTheme="minorHAnsi" w:eastAsiaTheme="minorEastAsia" w:hAnsiTheme="minorHAnsi" w:cstheme="minorHAnsi"/>
        </w:rPr>
        <w:t>wątpliwości, czy katalog przesłanek, które zgodnie z projektowanym art. 319 pkt 4 ustawy o</w:t>
      </w:r>
      <w:r w:rsidR="00A47082">
        <w:rPr>
          <w:rFonts w:asciiTheme="minorHAnsi" w:eastAsiaTheme="minorEastAsia" w:hAnsiTheme="minorHAnsi" w:cstheme="minorHAnsi"/>
        </w:rPr>
        <w:t> </w:t>
      </w:r>
      <w:r w:rsidR="00E55E55" w:rsidRPr="000B1E0A">
        <w:rPr>
          <w:rFonts w:asciiTheme="minorHAnsi" w:eastAsiaTheme="minorEastAsia" w:hAnsiTheme="minorHAnsi" w:cstheme="minorHAnsi"/>
        </w:rPr>
        <w:t xml:space="preserve">cudzoziemcach mają uzasadniać orzeczenie zakazu wjazdu na okres powyżej </w:t>
      </w:r>
      <w:r w:rsidR="00A47082">
        <w:rPr>
          <w:rFonts w:asciiTheme="minorHAnsi" w:eastAsiaTheme="minorEastAsia" w:hAnsiTheme="minorHAnsi" w:cstheme="minorHAnsi"/>
        </w:rPr>
        <w:t>pięciu</w:t>
      </w:r>
      <w:r w:rsidR="00E55E55" w:rsidRPr="000B1E0A">
        <w:rPr>
          <w:rFonts w:asciiTheme="minorHAnsi" w:eastAsiaTheme="minorEastAsia" w:hAnsiTheme="minorHAnsi" w:cstheme="minorHAnsi"/>
        </w:rPr>
        <w:t xml:space="preserve"> lat</w:t>
      </w:r>
      <w:r w:rsidR="00A47082">
        <w:rPr>
          <w:rFonts w:asciiTheme="minorHAnsi" w:eastAsiaTheme="minorEastAsia" w:hAnsiTheme="minorHAnsi" w:cstheme="minorHAnsi"/>
        </w:rPr>
        <w:t>,</w:t>
      </w:r>
      <w:r w:rsidR="00E55E55" w:rsidRPr="000B1E0A">
        <w:rPr>
          <w:rFonts w:asciiTheme="minorHAnsi" w:eastAsiaTheme="minorEastAsia" w:hAnsiTheme="minorHAnsi" w:cstheme="minorHAnsi"/>
        </w:rPr>
        <w:t xml:space="preserve"> nie</w:t>
      </w:r>
      <w:r w:rsidR="00A47082">
        <w:rPr>
          <w:rFonts w:asciiTheme="minorHAnsi" w:eastAsiaTheme="minorEastAsia" w:hAnsiTheme="minorHAnsi" w:cstheme="minorHAnsi"/>
        </w:rPr>
        <w:t> </w:t>
      </w:r>
      <w:r w:rsidR="00E55E55" w:rsidRPr="000B1E0A">
        <w:rPr>
          <w:rFonts w:asciiTheme="minorHAnsi" w:eastAsiaTheme="minorEastAsia" w:hAnsiTheme="minorHAnsi" w:cstheme="minorHAnsi"/>
        </w:rPr>
        <w:t>jest</w:t>
      </w:r>
      <w:r w:rsidR="00A47082">
        <w:rPr>
          <w:rFonts w:asciiTheme="minorHAnsi" w:eastAsiaTheme="minorEastAsia" w:hAnsiTheme="minorHAnsi" w:cstheme="minorHAnsi"/>
        </w:rPr>
        <w:t> </w:t>
      </w:r>
      <w:r w:rsidR="00E55E55" w:rsidRPr="000B1E0A">
        <w:rPr>
          <w:rFonts w:asciiTheme="minorHAnsi" w:eastAsiaTheme="minorEastAsia" w:hAnsiTheme="minorHAnsi" w:cstheme="minorHAnsi"/>
        </w:rPr>
        <w:t>uregulowaniem o szerszym zakresie. W tym kontekście wskazane jest wyjaśnienie przez</w:t>
      </w:r>
      <w:r w:rsidR="00A47082">
        <w:rPr>
          <w:rFonts w:asciiTheme="minorHAnsi" w:eastAsiaTheme="minorEastAsia" w:hAnsiTheme="minorHAnsi" w:cstheme="minorHAnsi"/>
        </w:rPr>
        <w:t> </w:t>
      </w:r>
      <w:r w:rsidR="00E55E55" w:rsidRPr="000B1E0A">
        <w:rPr>
          <w:rFonts w:asciiTheme="minorHAnsi" w:eastAsiaTheme="minorEastAsia" w:hAnsiTheme="minorHAnsi" w:cstheme="minorHAnsi"/>
        </w:rPr>
        <w:t>projektodawcę tej kwestii</w:t>
      </w:r>
      <w:r w:rsidR="00A47082">
        <w:rPr>
          <w:rFonts w:asciiTheme="minorHAnsi" w:eastAsiaTheme="minorEastAsia" w:hAnsiTheme="minorHAnsi" w:cstheme="minorHAnsi"/>
        </w:rPr>
        <w:t xml:space="preserve"> </w:t>
      </w:r>
      <w:r w:rsidR="00ED35B5" w:rsidRPr="000B1E0A">
        <w:rPr>
          <w:rFonts w:asciiTheme="minorHAnsi" w:eastAsiaTheme="minorEastAsia" w:hAnsiTheme="minorHAnsi" w:cstheme="minorHAnsi"/>
        </w:rPr>
        <w:t xml:space="preserve">lub też zmiana redakcji projektowanego przepisu </w:t>
      </w:r>
      <w:r w:rsidR="003B4EB9">
        <w:rPr>
          <w:rFonts w:asciiTheme="minorHAnsi" w:eastAsiaTheme="minorEastAsia" w:hAnsiTheme="minorHAnsi" w:cstheme="minorHAnsi"/>
        </w:rPr>
        <w:t>w taki sposób,</w:t>
      </w:r>
      <w:r w:rsidR="00ED35B5" w:rsidRPr="000B1E0A">
        <w:rPr>
          <w:rFonts w:asciiTheme="minorHAnsi" w:eastAsiaTheme="minorEastAsia" w:hAnsiTheme="minorHAnsi" w:cstheme="minorHAnsi"/>
        </w:rPr>
        <w:t xml:space="preserve"> aby odzwierciedlał on </w:t>
      </w:r>
      <w:r>
        <w:rPr>
          <w:rFonts w:asciiTheme="minorHAnsi" w:eastAsiaTheme="minorEastAsia" w:hAnsiTheme="minorHAnsi" w:cstheme="minorHAnsi"/>
        </w:rPr>
        <w:t xml:space="preserve">przepisy </w:t>
      </w:r>
      <w:r w:rsidR="00ED35B5" w:rsidRPr="000B1E0A">
        <w:rPr>
          <w:rFonts w:asciiTheme="minorHAnsi" w:eastAsiaTheme="minorEastAsia" w:hAnsiTheme="minorHAnsi" w:cstheme="minorHAnsi"/>
        </w:rPr>
        <w:t xml:space="preserve">art. </w:t>
      </w:r>
      <w:r w:rsidR="00ED35B5">
        <w:rPr>
          <w:rFonts w:asciiTheme="minorHAnsi" w:eastAsiaTheme="minorEastAsia" w:hAnsiTheme="minorHAnsi" w:cstheme="minorHAnsi"/>
        </w:rPr>
        <w:t>11 ust.</w:t>
      </w:r>
      <w:r>
        <w:rPr>
          <w:rFonts w:asciiTheme="minorHAnsi" w:eastAsiaTheme="minorEastAsia" w:hAnsiTheme="minorHAnsi" w:cstheme="minorHAnsi"/>
        </w:rPr>
        <w:t xml:space="preserve"> </w:t>
      </w:r>
      <w:r w:rsidR="00ED35B5">
        <w:rPr>
          <w:rFonts w:asciiTheme="minorHAnsi" w:eastAsiaTheme="minorEastAsia" w:hAnsiTheme="minorHAnsi" w:cstheme="minorHAnsi"/>
        </w:rPr>
        <w:t>2 dyrektywy 2008/115/WE.</w:t>
      </w:r>
    </w:p>
    <w:p w14:paraId="3A5F1CF8" w14:textId="30AAF5F8" w:rsidR="00AE6CA9" w:rsidRPr="00FC6FBA" w:rsidRDefault="00FC6FBA" w:rsidP="00123072">
      <w:pPr>
        <w:numPr>
          <w:ilvl w:val="0"/>
          <w:numId w:val="11"/>
        </w:numPr>
        <w:spacing w:after="120"/>
        <w:ind w:left="283" w:hanging="357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>
        <w:rPr>
          <w:rFonts w:asciiTheme="minorHAnsi" w:eastAsiaTheme="minorHAnsi" w:hAnsiTheme="minorHAnsi" w:cstheme="minorBidi"/>
          <w:color w:val="auto"/>
          <w:lang w:eastAsia="en-US"/>
        </w:rPr>
        <w:t xml:space="preserve">Zgodnie </w:t>
      </w:r>
      <w:r w:rsidRPr="000B1E0A">
        <w:rPr>
          <w:rFonts w:asciiTheme="minorHAnsi" w:eastAsia="Times New Roman" w:hAnsiTheme="minorHAnsi" w:cstheme="minorHAnsi"/>
          <w:color w:val="auto"/>
        </w:rPr>
        <w:t xml:space="preserve">z art. 1 pkt 46 projektu, </w:t>
      </w:r>
      <w:r w:rsidRPr="000B1E0A">
        <w:rPr>
          <w:rFonts w:asciiTheme="minorHAnsi" w:hAnsiTheme="minorHAnsi" w:cstheme="minorHAnsi"/>
        </w:rPr>
        <w:t>w art. 356 ustawy o cudzoziemcach po ust. 1 dodaje się ust. 1a</w:t>
      </w:r>
      <w:r w:rsidR="003B4EB9">
        <w:rPr>
          <w:rFonts w:asciiTheme="minorHAnsi" w:hAnsiTheme="minorHAnsi" w:cstheme="minorHAnsi"/>
        </w:rPr>
        <w:t>,</w:t>
      </w:r>
      <w:r w:rsidRPr="000B1E0A">
        <w:rPr>
          <w:rFonts w:asciiTheme="minorHAnsi" w:hAnsiTheme="minorHAnsi" w:cstheme="minorHAnsi"/>
        </w:rPr>
        <w:t xml:space="preserve"> który stanowi, że organ prowadzący postępowanie w sprawie zobowiązania cudzoziemca do</w:t>
      </w:r>
      <w:r w:rsidR="003B4EB9">
        <w:rPr>
          <w:rFonts w:asciiTheme="minorHAnsi" w:hAnsiTheme="minorHAnsi" w:cstheme="minorHAnsi"/>
        </w:rPr>
        <w:t> </w:t>
      </w:r>
      <w:r w:rsidRPr="000B1E0A">
        <w:rPr>
          <w:rFonts w:asciiTheme="minorHAnsi" w:hAnsiTheme="minorHAnsi" w:cstheme="minorHAnsi"/>
        </w:rPr>
        <w:t>powrotu nie ustala, czy zachodzą okoliczności, o których mowa w art. 348 (skutkujące udzieleniem zgody na pobyt ze względów humanitarnych) i art. 351 pkt 1 (skutkujące udzieleniem zgody na pobyt tolerowany), w przypadku gdy cudzoziemiec dobrowolnie zgłosi się do organu Straży Granicznej (pkt</w:t>
      </w:r>
      <w:r w:rsidR="003B4EB9">
        <w:rPr>
          <w:rFonts w:asciiTheme="minorHAnsi" w:hAnsiTheme="minorHAnsi" w:cstheme="minorHAnsi"/>
        </w:rPr>
        <w:t xml:space="preserve"> </w:t>
      </w:r>
      <w:r w:rsidRPr="000B1E0A">
        <w:rPr>
          <w:rFonts w:asciiTheme="minorHAnsi" w:hAnsiTheme="minorHAnsi" w:cstheme="minorHAnsi"/>
        </w:rPr>
        <w:t>1) lub przekracza granicę opuszczając terytorium państw obszaru Schengen (</w:t>
      </w:r>
      <w:r w:rsidR="003B4EB9">
        <w:rPr>
          <w:rFonts w:asciiTheme="minorHAnsi" w:hAnsiTheme="minorHAnsi" w:cstheme="minorHAnsi"/>
        </w:rPr>
        <w:t xml:space="preserve">pkt </w:t>
      </w:r>
      <w:r w:rsidRPr="000B1E0A">
        <w:rPr>
          <w:rFonts w:asciiTheme="minorHAnsi" w:hAnsiTheme="minorHAnsi" w:cstheme="minorHAnsi"/>
        </w:rPr>
        <w:t xml:space="preserve">2). Projektodawca nie przedstawił żadnego uzasadnienia do projektowanej zmiany, nie jest zatem wiadome, jakie jest </w:t>
      </w:r>
      <w:r w:rsidRPr="000B1E0A">
        <w:rPr>
          <w:rFonts w:asciiTheme="minorHAnsi" w:hAnsiTheme="minorHAnsi" w:cstheme="minorHAnsi"/>
          <w:i/>
        </w:rPr>
        <w:t>ratio legis</w:t>
      </w:r>
      <w:r w:rsidRPr="000B1E0A">
        <w:rPr>
          <w:rFonts w:asciiTheme="minorHAnsi" w:hAnsiTheme="minorHAnsi" w:cstheme="minorHAnsi"/>
        </w:rPr>
        <w:t xml:space="preserve"> jej wprowadzenia.</w:t>
      </w:r>
    </w:p>
    <w:p w14:paraId="6DE732A1" w14:textId="638D63B5" w:rsidR="00FC6FBA" w:rsidRDefault="00FC6FBA" w:rsidP="00123072">
      <w:pPr>
        <w:spacing w:after="120"/>
        <w:ind w:left="284"/>
        <w:jc w:val="both"/>
        <w:rPr>
          <w:rFonts w:asciiTheme="minorHAnsi" w:hAnsiTheme="minorHAnsi" w:cstheme="minorHAnsi"/>
          <w:shd w:val="clear" w:color="auto" w:fill="FFFFFF"/>
        </w:rPr>
      </w:pPr>
      <w:r>
        <w:rPr>
          <w:rFonts w:asciiTheme="minorHAnsi" w:hAnsiTheme="minorHAnsi" w:cstheme="minorHAnsi"/>
        </w:rPr>
        <w:t xml:space="preserve">Powszechnie </w:t>
      </w:r>
      <w:r w:rsidRPr="000B1E0A">
        <w:rPr>
          <w:rFonts w:asciiTheme="minorHAnsi" w:hAnsiTheme="minorHAnsi" w:cstheme="minorHAnsi"/>
        </w:rPr>
        <w:t>uznaną normą prawa międzynarodowego publicznego jest prawo do opuszczenia każdego kraju, włącznie z własnym, wywodzone z art. 12 ust.</w:t>
      </w:r>
      <w:r w:rsidR="000E0035">
        <w:rPr>
          <w:rFonts w:asciiTheme="minorHAnsi" w:hAnsiTheme="minorHAnsi" w:cstheme="minorHAnsi"/>
        </w:rPr>
        <w:t xml:space="preserve"> </w:t>
      </w:r>
      <w:r w:rsidRPr="000B1E0A">
        <w:rPr>
          <w:rFonts w:asciiTheme="minorHAnsi" w:hAnsiTheme="minorHAnsi" w:cstheme="minorHAnsi"/>
        </w:rPr>
        <w:t xml:space="preserve">2 </w:t>
      </w:r>
      <w:r w:rsidRPr="000B1E0A">
        <w:rPr>
          <w:rFonts w:asciiTheme="minorHAnsi" w:hAnsiTheme="minorHAnsi" w:cstheme="minorHAnsi"/>
          <w:i/>
        </w:rPr>
        <w:t>Międzynarodowego Paktu Praw Obywatelskich i Politycznych</w:t>
      </w:r>
      <w:r w:rsidRPr="000B1E0A">
        <w:rPr>
          <w:rFonts w:asciiTheme="minorHAnsi" w:hAnsiTheme="minorHAnsi" w:cstheme="minorHAnsi"/>
        </w:rPr>
        <w:t xml:space="preserve"> oraz art. 2 ust.</w:t>
      </w:r>
      <w:r w:rsidR="007B34AE">
        <w:rPr>
          <w:rFonts w:asciiTheme="minorHAnsi" w:hAnsiTheme="minorHAnsi" w:cstheme="minorHAnsi"/>
        </w:rPr>
        <w:t xml:space="preserve"> </w:t>
      </w:r>
      <w:r w:rsidRPr="000B1E0A">
        <w:rPr>
          <w:rFonts w:asciiTheme="minorHAnsi" w:hAnsiTheme="minorHAnsi" w:cstheme="minorHAnsi"/>
        </w:rPr>
        <w:t xml:space="preserve">2 i </w:t>
      </w:r>
      <w:r w:rsidR="007B34AE">
        <w:rPr>
          <w:rFonts w:asciiTheme="minorHAnsi" w:hAnsiTheme="minorHAnsi" w:cstheme="minorHAnsi"/>
        </w:rPr>
        <w:t xml:space="preserve">ust. </w:t>
      </w:r>
      <w:r w:rsidRPr="000B1E0A">
        <w:rPr>
          <w:rFonts w:asciiTheme="minorHAnsi" w:hAnsiTheme="minorHAnsi" w:cstheme="minorHAnsi"/>
        </w:rPr>
        <w:t xml:space="preserve">3 </w:t>
      </w:r>
      <w:r w:rsidRPr="000B1E0A">
        <w:rPr>
          <w:rFonts w:asciiTheme="minorHAnsi" w:hAnsiTheme="minorHAnsi" w:cstheme="minorHAnsi"/>
          <w:i/>
        </w:rPr>
        <w:t>Protokołu nr 4 do Konwencji o Ochronie Praw Człowieka i Podstawowych Wolności</w:t>
      </w:r>
      <w:r w:rsidRPr="000B1E0A">
        <w:rPr>
          <w:rFonts w:asciiTheme="minorHAnsi" w:hAnsiTheme="minorHAnsi" w:cstheme="minorHAnsi"/>
        </w:rPr>
        <w:t xml:space="preserve">, które, zgodnie z tym ostatnim przepisem nie </w:t>
      </w:r>
      <w:r w:rsidRPr="000B1E0A">
        <w:rPr>
          <w:rFonts w:asciiTheme="minorHAnsi" w:hAnsiTheme="minorHAnsi" w:cstheme="minorHAnsi"/>
          <w:shd w:val="clear" w:color="auto" w:fill="FFFFFF"/>
        </w:rPr>
        <w:t xml:space="preserve">może podlegać </w:t>
      </w:r>
      <w:r w:rsidRPr="000B1E0A">
        <w:rPr>
          <w:rFonts w:asciiTheme="minorHAnsi" w:hAnsiTheme="minorHAnsi" w:cstheme="minorHAnsi"/>
          <w:shd w:val="clear" w:color="auto" w:fill="FFFFFF"/>
        </w:rPr>
        <w:lastRenderedPageBreak/>
        <w:t>innym ograniczeniom niż te, które określa ustawa i które są konieczne w społeczeństwie demokratycznym z uwagi na bezpieczeństwo państwowe i publiczne, utrzymanie porządku publicznego, zapobieganie przestępczości, ochronę zdrowia lub moralności lub ochronę praw i</w:t>
      </w:r>
      <w:r w:rsidR="003B4EB9">
        <w:rPr>
          <w:rFonts w:asciiTheme="minorHAnsi" w:hAnsiTheme="minorHAnsi" w:cstheme="minorHAnsi"/>
          <w:shd w:val="clear" w:color="auto" w:fill="FFFFFF"/>
        </w:rPr>
        <w:t> </w:t>
      </w:r>
      <w:r w:rsidRPr="000B1E0A">
        <w:rPr>
          <w:rFonts w:asciiTheme="minorHAnsi" w:hAnsiTheme="minorHAnsi" w:cstheme="minorHAnsi"/>
          <w:shd w:val="clear" w:color="auto" w:fill="FFFFFF"/>
        </w:rPr>
        <w:t>wolności innych osób. W tym kontekście należy zgodzić się ze stanowiskiem, że w sytuacji, kiedy cudzoziemiec sam zdecydował się na przekroczenie granicy zewnętrznej, nie ma obowiązku ustalenia, czy zachodzą okoliczności o których mowa w art. 348 i art. 351 pkt 1 ustawy o</w:t>
      </w:r>
      <w:r w:rsidR="003B4EB9">
        <w:rPr>
          <w:rFonts w:asciiTheme="minorHAnsi" w:hAnsiTheme="minorHAnsi" w:cstheme="minorHAnsi"/>
          <w:shd w:val="clear" w:color="auto" w:fill="FFFFFF"/>
        </w:rPr>
        <w:t> </w:t>
      </w:r>
      <w:r w:rsidRPr="000B1E0A">
        <w:rPr>
          <w:rFonts w:asciiTheme="minorHAnsi" w:hAnsiTheme="minorHAnsi" w:cstheme="minorHAnsi"/>
          <w:shd w:val="clear" w:color="auto" w:fill="FFFFFF"/>
        </w:rPr>
        <w:t xml:space="preserve">cudzoziemcach, ponieważ państwo członkowskie, z którego terytorium on wyjeżdża, nie jest uprawnione do uniemożliwienia wyjazdu (poza przesłankami określonymi w ustawie), a ponadto nie organizuje fizycznego przewozu danej osoby poza terytorium państwa członkowskiego. </w:t>
      </w:r>
    </w:p>
    <w:p w14:paraId="598E30D7" w14:textId="519D8652" w:rsidR="00FC6FBA" w:rsidRPr="00FC6FBA" w:rsidRDefault="00FC6FBA" w:rsidP="00123072">
      <w:pPr>
        <w:spacing w:after="120"/>
        <w:ind w:left="284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>
        <w:rPr>
          <w:rFonts w:asciiTheme="minorHAnsi" w:hAnsiTheme="minorHAnsi" w:cstheme="minorHAnsi"/>
          <w:shd w:val="clear" w:color="auto" w:fill="FFFFFF"/>
        </w:rPr>
        <w:t xml:space="preserve">Wątpliwości </w:t>
      </w:r>
      <w:r w:rsidRPr="000B1E0A">
        <w:rPr>
          <w:rFonts w:asciiTheme="minorHAnsi" w:hAnsiTheme="minorHAnsi" w:cstheme="minorHAnsi"/>
          <w:shd w:val="clear" w:color="auto" w:fill="FFFFFF"/>
        </w:rPr>
        <w:t xml:space="preserve">budzi jednak odstąpienie od obowiązku ustalenia, czy w sprawie nie zachodzą okoliczności uzasadniające udzielenie zgody na pobyt ze względów humanitarnych lub udzielenie zgody na pobyt tolerowany w sytuacji, kiedy cudzoziemiec dobrowolnie zgłosi się do organu Straży Granicznej z prośbą o zorganizowanie powrotu. Organ państwa członkowskiego nie może bowiem w żadnych okolicznościach działać z naruszeniem </w:t>
      </w:r>
      <w:r w:rsidR="00AB1C21">
        <w:rPr>
          <w:rFonts w:asciiTheme="minorHAnsi" w:hAnsiTheme="minorHAnsi" w:cstheme="minorHAnsi"/>
          <w:shd w:val="clear" w:color="auto" w:fill="FFFFFF"/>
        </w:rPr>
        <w:t>przepisów</w:t>
      </w:r>
      <w:r w:rsidR="00AB1C21" w:rsidRPr="000B1E0A">
        <w:rPr>
          <w:rFonts w:asciiTheme="minorHAnsi" w:hAnsiTheme="minorHAnsi" w:cstheme="minorHAnsi"/>
          <w:shd w:val="clear" w:color="auto" w:fill="FFFFFF"/>
        </w:rPr>
        <w:t xml:space="preserve"> </w:t>
      </w:r>
      <w:r w:rsidRPr="000B1E0A">
        <w:rPr>
          <w:rFonts w:asciiTheme="minorHAnsi" w:hAnsiTheme="minorHAnsi" w:cstheme="minorHAnsi"/>
          <w:shd w:val="clear" w:color="auto" w:fill="FFFFFF"/>
        </w:rPr>
        <w:t xml:space="preserve">dyrektywy </w:t>
      </w:r>
      <w:r w:rsidRPr="000B1E0A">
        <w:rPr>
          <w:rFonts w:asciiTheme="minorHAnsi" w:hAnsiTheme="minorHAnsi" w:cstheme="minorHAnsi"/>
          <w:bCs/>
        </w:rPr>
        <w:t>2008/115/WE, która, jak</w:t>
      </w:r>
      <w:r w:rsidR="003B4EB9">
        <w:rPr>
          <w:rFonts w:asciiTheme="minorHAnsi" w:hAnsiTheme="minorHAnsi" w:cstheme="minorHAnsi"/>
          <w:bCs/>
        </w:rPr>
        <w:t> </w:t>
      </w:r>
      <w:r w:rsidRPr="000B1E0A">
        <w:rPr>
          <w:rFonts w:asciiTheme="minorHAnsi" w:hAnsiTheme="minorHAnsi" w:cstheme="minorHAnsi"/>
          <w:bCs/>
        </w:rPr>
        <w:t xml:space="preserve">już wskazano wcześniej, nakłada obowiązek poszanowania m.in. Karty Praw Podstawowych i zasady </w:t>
      </w:r>
      <w:r w:rsidRPr="000B1E0A">
        <w:rPr>
          <w:rFonts w:asciiTheme="minorHAnsi" w:hAnsiTheme="minorHAnsi" w:cstheme="minorHAnsi"/>
          <w:bCs/>
          <w:i/>
        </w:rPr>
        <w:t>non-refoulement</w:t>
      </w:r>
      <w:r w:rsidRPr="000B1E0A">
        <w:rPr>
          <w:rFonts w:asciiTheme="minorHAnsi" w:hAnsiTheme="minorHAnsi" w:cstheme="minorHAnsi"/>
          <w:bCs/>
        </w:rPr>
        <w:t>.</w:t>
      </w:r>
    </w:p>
    <w:p w14:paraId="3EF486BE" w14:textId="2366AA10" w:rsidR="00ED35B5" w:rsidRPr="00F035EF" w:rsidRDefault="00F035EF" w:rsidP="00123072">
      <w:pPr>
        <w:numPr>
          <w:ilvl w:val="0"/>
          <w:numId w:val="11"/>
        </w:numPr>
        <w:spacing w:after="120"/>
        <w:ind w:left="283" w:hanging="357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>
        <w:rPr>
          <w:rFonts w:asciiTheme="minorHAnsi" w:eastAsiaTheme="minorHAnsi" w:hAnsiTheme="minorHAnsi" w:cstheme="minorBidi"/>
          <w:color w:val="auto"/>
          <w:lang w:eastAsia="en-US"/>
        </w:rPr>
        <w:t xml:space="preserve">Projektowany </w:t>
      </w:r>
      <w:r>
        <w:rPr>
          <w:bCs/>
        </w:rPr>
        <w:t>art. 359 ust. 4a ustawy o cudzoziemcach przewiduje, że w</w:t>
      </w:r>
      <w:r w:rsidRPr="009E682B">
        <w:rPr>
          <w:bCs/>
        </w:rPr>
        <w:t>ymiana informacji pomi</w:t>
      </w:r>
      <w:r w:rsidRPr="009E682B">
        <w:rPr>
          <w:rFonts w:hint="eastAsia"/>
          <w:bCs/>
        </w:rPr>
        <w:t>ę</w:t>
      </w:r>
      <w:r w:rsidRPr="009E682B">
        <w:rPr>
          <w:bCs/>
        </w:rPr>
        <w:t>dzy  komendantem oddzia</w:t>
      </w:r>
      <w:r w:rsidRPr="009E682B">
        <w:rPr>
          <w:rFonts w:hint="eastAsia"/>
          <w:bCs/>
        </w:rPr>
        <w:t>ł</w:t>
      </w:r>
      <w:r w:rsidRPr="009E682B">
        <w:rPr>
          <w:bCs/>
        </w:rPr>
        <w:t>u Stra</w:t>
      </w:r>
      <w:r w:rsidRPr="009E682B">
        <w:rPr>
          <w:rFonts w:hint="eastAsia"/>
          <w:bCs/>
        </w:rPr>
        <w:t>ż</w:t>
      </w:r>
      <w:r w:rsidRPr="009E682B">
        <w:rPr>
          <w:bCs/>
        </w:rPr>
        <w:t>y Granicznej lub komendantem placówki Stra</w:t>
      </w:r>
      <w:r w:rsidRPr="009E682B">
        <w:rPr>
          <w:rFonts w:hint="eastAsia"/>
          <w:bCs/>
        </w:rPr>
        <w:t>ż</w:t>
      </w:r>
      <w:r>
        <w:rPr>
          <w:bCs/>
        </w:rPr>
        <w:t>y Granicznej a komendantem wojewódzkim Policji i Szefem</w:t>
      </w:r>
      <w:r w:rsidRPr="009E682B">
        <w:rPr>
          <w:bCs/>
        </w:rPr>
        <w:t xml:space="preserve"> Agencji Bezpieczeństwa Wewnętrznego, a w razie potrzeby </w:t>
      </w:r>
      <w:r>
        <w:rPr>
          <w:bCs/>
        </w:rPr>
        <w:t>z innymi organami (art. 1 pkt 48 lit. a) projektu ustawy)</w:t>
      </w:r>
      <w:r w:rsidRPr="009E682B">
        <w:rPr>
          <w:bCs/>
        </w:rPr>
        <w:t xml:space="preserve"> mo</w:t>
      </w:r>
      <w:r w:rsidRPr="009E682B">
        <w:rPr>
          <w:rFonts w:hint="eastAsia"/>
          <w:bCs/>
        </w:rPr>
        <w:t>ż</w:t>
      </w:r>
      <w:r w:rsidRPr="009E682B">
        <w:rPr>
          <w:bCs/>
        </w:rPr>
        <w:t>e odbywa</w:t>
      </w:r>
      <w:r w:rsidRPr="009E682B">
        <w:rPr>
          <w:rFonts w:hint="eastAsia"/>
          <w:bCs/>
        </w:rPr>
        <w:t>ć</w:t>
      </w:r>
      <w:r w:rsidRPr="009E682B">
        <w:rPr>
          <w:bCs/>
        </w:rPr>
        <w:t xml:space="preserve"> si</w:t>
      </w:r>
      <w:r w:rsidRPr="009E682B">
        <w:rPr>
          <w:rFonts w:hint="eastAsia"/>
          <w:bCs/>
        </w:rPr>
        <w:t>ę</w:t>
      </w:r>
      <w:r w:rsidRPr="009E682B">
        <w:rPr>
          <w:bCs/>
        </w:rPr>
        <w:t xml:space="preserve"> za pomoc</w:t>
      </w:r>
      <w:r w:rsidRPr="009E682B">
        <w:rPr>
          <w:rFonts w:hint="eastAsia"/>
          <w:bCs/>
        </w:rPr>
        <w:t>ą</w:t>
      </w:r>
      <w:r w:rsidRPr="009E682B">
        <w:rPr>
          <w:bCs/>
        </w:rPr>
        <w:t xml:space="preserve"> </w:t>
      </w:r>
      <w:r w:rsidRPr="009E682B">
        <w:rPr>
          <w:rFonts w:hint="eastAsia"/>
          <w:bCs/>
        </w:rPr>
        <w:t>ś</w:t>
      </w:r>
      <w:r w:rsidRPr="009E682B">
        <w:rPr>
          <w:bCs/>
        </w:rPr>
        <w:t>rodków komunikacji elektronicznej</w:t>
      </w:r>
      <w:r>
        <w:rPr>
          <w:bCs/>
        </w:rPr>
        <w:t xml:space="preserve">. Z kolei </w:t>
      </w:r>
      <w:r w:rsidRPr="009E682B">
        <w:rPr>
          <w:bCs/>
        </w:rPr>
        <w:t xml:space="preserve">środki komunikacji elektronicznej </w:t>
      </w:r>
      <w:r>
        <w:rPr>
          <w:bCs/>
        </w:rPr>
        <w:t xml:space="preserve">mają zostać zdefiniowane w art. 3 pkt 18a </w:t>
      </w:r>
      <w:r w:rsidR="00AB1C21">
        <w:rPr>
          <w:bCs/>
        </w:rPr>
        <w:t>tej</w:t>
      </w:r>
      <w:r>
        <w:rPr>
          <w:bCs/>
        </w:rPr>
        <w:t xml:space="preserve"> ustawy (art. 1 pkt 1 lit. a) projektu ustawy) – mają to być </w:t>
      </w:r>
      <w:r w:rsidRPr="009E682B">
        <w:rPr>
          <w:bCs/>
        </w:rPr>
        <w:t>środki w rozumieniu art. 2 pkt 5 ustawy o świadczeniu usług drogą elektroniczną</w:t>
      </w:r>
      <w:r>
        <w:rPr>
          <w:bCs/>
        </w:rPr>
        <w:t>. Chodzi zatem o</w:t>
      </w:r>
      <w:r w:rsidR="003B4EB9">
        <w:rPr>
          <w:bCs/>
        </w:rPr>
        <w:t> </w:t>
      </w:r>
      <w:r>
        <w:rPr>
          <w:bCs/>
        </w:rPr>
        <w:t xml:space="preserve">wszystkie szeroko pojęte </w:t>
      </w:r>
      <w:r w:rsidRPr="00D3747A">
        <w:rPr>
          <w:bCs/>
        </w:rPr>
        <w:t>rozwiązania techniczne, w tym urządzenia teleinformatyczne i</w:t>
      </w:r>
      <w:r w:rsidR="003B4EB9">
        <w:rPr>
          <w:bCs/>
        </w:rPr>
        <w:t> </w:t>
      </w:r>
      <w:r w:rsidRPr="00D3747A">
        <w:rPr>
          <w:bCs/>
        </w:rPr>
        <w:t>współpracujące z nimi narzędzia programowe, umożliwiające indywidualne porozumiewanie się</w:t>
      </w:r>
      <w:r w:rsidR="003B4EB9">
        <w:rPr>
          <w:bCs/>
        </w:rPr>
        <w:t> </w:t>
      </w:r>
      <w:r w:rsidRPr="00D3747A">
        <w:rPr>
          <w:bCs/>
        </w:rPr>
        <w:t>na odległość przy wykorzystaniu transmisji danych między systemami teleinformatycznymi, a</w:t>
      </w:r>
      <w:r w:rsidR="003B4EB9">
        <w:rPr>
          <w:bCs/>
        </w:rPr>
        <w:t> </w:t>
      </w:r>
      <w:r w:rsidRPr="00D3747A">
        <w:rPr>
          <w:bCs/>
        </w:rPr>
        <w:t>w</w:t>
      </w:r>
      <w:r w:rsidR="003B4EB9">
        <w:rPr>
          <w:bCs/>
        </w:rPr>
        <w:t> </w:t>
      </w:r>
      <w:r w:rsidRPr="00D3747A">
        <w:rPr>
          <w:bCs/>
        </w:rPr>
        <w:t xml:space="preserve">szczególności pocztę </w:t>
      </w:r>
      <w:bookmarkStart w:id="1" w:name="highlightHit_30"/>
      <w:bookmarkEnd w:id="1"/>
      <w:r w:rsidRPr="00D3747A">
        <w:rPr>
          <w:bCs/>
        </w:rPr>
        <w:t>elektroniczną</w:t>
      </w:r>
      <w:r>
        <w:rPr>
          <w:bCs/>
        </w:rPr>
        <w:t>.</w:t>
      </w:r>
    </w:p>
    <w:p w14:paraId="45E1EA4F" w14:textId="4D049E75" w:rsidR="00F035EF" w:rsidRDefault="00F035EF" w:rsidP="00123072">
      <w:pPr>
        <w:spacing w:after="120"/>
        <w:ind w:left="284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>
        <w:rPr>
          <w:bCs/>
        </w:rPr>
        <w:t>Mając na uwadze wymogi określone w art. 5 ust. 1 lit. f</w:t>
      </w:r>
      <w:r w:rsidR="003B4EB9">
        <w:rPr>
          <w:bCs/>
        </w:rPr>
        <w:t>)</w:t>
      </w:r>
      <w:r>
        <w:rPr>
          <w:bCs/>
        </w:rPr>
        <w:t xml:space="preserve"> rozporządzenia 2016/679, zgodnie z</w:t>
      </w:r>
      <w:r w:rsidR="003B4EB9">
        <w:rPr>
          <w:bCs/>
        </w:rPr>
        <w:t> </w:t>
      </w:r>
      <w:r>
        <w:rPr>
          <w:bCs/>
        </w:rPr>
        <w:t xml:space="preserve">którymi dane osobowe muszą być </w:t>
      </w:r>
      <w:r w:rsidRPr="00D3747A">
        <w:rPr>
          <w:bCs/>
        </w:rPr>
        <w:t>przetwarzane w sposób zapewniający odpowiednie bezpieczeństwo danych osobowych, w tym ochronę przed niedozwolonym lub niezgodnym z prawem przetwarzaniem oraz przypadkową utratą, zniszczeniem lub uszkodzeniem, za pomocą odpowiednich środków technicznych lub organizacyjn</w:t>
      </w:r>
      <w:r>
        <w:rPr>
          <w:bCs/>
        </w:rPr>
        <w:t xml:space="preserve">ych („integralność i poufność”), ponownej analizy wymaga kwestia dopuszczenia do wymiany informacji w powyższym zakresie wszystkich </w:t>
      </w:r>
      <w:r w:rsidRPr="00E75BDE">
        <w:rPr>
          <w:rFonts w:hint="eastAsia"/>
          <w:bCs/>
        </w:rPr>
        <w:t>ś</w:t>
      </w:r>
      <w:r w:rsidRPr="00E75BDE">
        <w:rPr>
          <w:bCs/>
        </w:rPr>
        <w:t>rodków komunikacji elektronicznej</w:t>
      </w:r>
      <w:r>
        <w:rPr>
          <w:bCs/>
        </w:rPr>
        <w:t>, bez zawężenia tych możliwości do kanałów, które są</w:t>
      </w:r>
      <w:r w:rsidR="003B4EB9">
        <w:rPr>
          <w:bCs/>
        </w:rPr>
        <w:t> </w:t>
      </w:r>
      <w:r>
        <w:rPr>
          <w:bCs/>
        </w:rPr>
        <w:t>bezpiecznie i odpowiednie do przesyłania tego typu informacji.</w:t>
      </w:r>
    </w:p>
    <w:p w14:paraId="75B09AE2" w14:textId="6E47F79A" w:rsidR="00B54C2B" w:rsidRDefault="00B54C2B" w:rsidP="00123072">
      <w:pPr>
        <w:pStyle w:val="Akapitzlist"/>
        <w:numPr>
          <w:ilvl w:val="0"/>
          <w:numId w:val="11"/>
        </w:numPr>
        <w:spacing w:after="120"/>
        <w:ind w:left="283" w:hanging="357"/>
        <w:contextualSpacing w:val="0"/>
        <w:jc w:val="both"/>
        <w:rPr>
          <w:rFonts w:asciiTheme="minorHAnsi" w:eastAsiaTheme="minorHAnsi" w:hAnsiTheme="minorHAnsi" w:cstheme="minorBidi"/>
          <w:bCs/>
          <w:color w:val="auto"/>
          <w:lang w:eastAsia="en-US"/>
        </w:rPr>
      </w:pPr>
      <w:r>
        <w:rPr>
          <w:rFonts w:asciiTheme="minorHAnsi" w:eastAsiaTheme="minorHAnsi" w:hAnsiTheme="minorHAnsi" w:cstheme="minorBidi"/>
          <w:color w:val="auto"/>
          <w:lang w:eastAsia="en-US"/>
        </w:rPr>
        <w:t xml:space="preserve">Na </w:t>
      </w:r>
      <w:r w:rsidRPr="00B54C2B">
        <w:rPr>
          <w:rFonts w:asciiTheme="minorHAnsi" w:eastAsiaTheme="minorHAnsi" w:hAnsiTheme="minorHAnsi" w:cstheme="minorBidi"/>
          <w:bCs/>
          <w:color w:val="auto"/>
          <w:lang w:eastAsia="en-US"/>
        </w:rPr>
        <w:t>podstawie projektowanego art. 449a ustawy o cudzoziemcach (art. 1 pkt 94 projektu ustawy) dane przetwarzane w centralnym rejestrze wizowym przechowuje się na okres ich</w:t>
      </w:r>
      <w:r w:rsidR="003B4EB9">
        <w:rPr>
          <w:rFonts w:asciiTheme="minorHAnsi" w:eastAsiaTheme="minorHAnsi" w:hAnsiTheme="minorHAnsi" w:cstheme="minorBidi"/>
          <w:bCs/>
          <w:color w:val="auto"/>
          <w:lang w:eastAsia="en-US"/>
        </w:rPr>
        <w:t> </w:t>
      </w:r>
      <w:r w:rsidRPr="00B54C2B">
        <w:rPr>
          <w:rFonts w:asciiTheme="minorHAnsi" w:eastAsiaTheme="minorHAnsi" w:hAnsiTheme="minorHAnsi" w:cstheme="minorBidi"/>
          <w:bCs/>
          <w:color w:val="auto"/>
          <w:lang w:eastAsia="en-US"/>
        </w:rPr>
        <w:t xml:space="preserve">przechowywania w rejestrach, o których mowa w ust. 1, a zatem w rejestrach prowadzonych przez ministra właściwego do spraw zagranicznych i konsulów. </w:t>
      </w:r>
    </w:p>
    <w:p w14:paraId="1332B40F" w14:textId="62625DBE" w:rsidR="00B54C2B" w:rsidRDefault="00B54C2B" w:rsidP="00123072">
      <w:pPr>
        <w:pStyle w:val="Akapitzlist"/>
        <w:spacing w:after="120"/>
        <w:ind w:left="284"/>
        <w:contextualSpacing w:val="0"/>
        <w:jc w:val="both"/>
        <w:rPr>
          <w:bCs/>
        </w:rPr>
      </w:pPr>
      <w:r>
        <w:rPr>
          <w:rFonts w:asciiTheme="minorHAnsi" w:eastAsiaTheme="minorHAnsi" w:hAnsiTheme="minorHAnsi" w:cstheme="minorBidi"/>
          <w:bCs/>
          <w:color w:val="auto"/>
          <w:lang w:eastAsia="en-US"/>
        </w:rPr>
        <w:t xml:space="preserve">Zgodnie </w:t>
      </w:r>
      <w:r>
        <w:rPr>
          <w:bCs/>
        </w:rPr>
        <w:t xml:space="preserve">z uzasadnieniem projektu </w:t>
      </w:r>
      <w:r w:rsidRPr="00311A52">
        <w:rPr>
          <w:rFonts w:cstheme="minorHAnsi"/>
          <w:bCs/>
        </w:rPr>
        <w:t>ustawy</w:t>
      </w:r>
      <w:r w:rsidRPr="00311A52">
        <w:rPr>
          <w:rFonts w:cstheme="minorHAnsi"/>
          <w:sz w:val="24"/>
          <w:szCs w:val="24"/>
        </w:rPr>
        <w:t>, w</w:t>
      </w:r>
      <w:r w:rsidRPr="00311A52">
        <w:rPr>
          <w:rFonts w:cstheme="minorHAnsi"/>
          <w:bCs/>
        </w:rPr>
        <w:t xml:space="preserve"> pkt 9 decyzji wykonawczej Rady z dnia 19 grudnia 2019 r. ustanawiającej zalecenie</w:t>
      </w:r>
      <w:r w:rsidRPr="00311A52">
        <w:rPr>
          <w:bCs/>
        </w:rPr>
        <w:t xml:space="preserve"> w sprawie wyeliminowania niedociągnięć stwierdzonych w toku przeprowadzonej w 2019 r. oceny stosowania przez Polskę dorobku Schengen w dziedzinie wspólnej polityki wizowej wskazuje się na potrzebę opracowania polityki zatrzymywania danych w</w:t>
      </w:r>
      <w:r w:rsidR="003B4EB9">
        <w:rPr>
          <w:bCs/>
        </w:rPr>
        <w:t> </w:t>
      </w:r>
      <w:r w:rsidRPr="00311A52">
        <w:rPr>
          <w:bCs/>
        </w:rPr>
        <w:t xml:space="preserve">systemie „Wiza-Konsul” oraz regularnego usuwania danych zgodnie z tą polityką. </w:t>
      </w:r>
      <w:r w:rsidR="00AB1C21">
        <w:rPr>
          <w:bCs/>
        </w:rPr>
        <w:t xml:space="preserve">Wydaje </w:t>
      </w:r>
      <w:r>
        <w:rPr>
          <w:bCs/>
        </w:rPr>
        <w:t>się, że</w:t>
      </w:r>
      <w:r w:rsidR="003B4EB9">
        <w:rPr>
          <w:bCs/>
        </w:rPr>
        <w:t> </w:t>
      </w:r>
      <w:r>
        <w:rPr>
          <w:bCs/>
        </w:rPr>
        <w:t xml:space="preserve">projektodawca tym uzasadnia również projektowaną zmianę art. 449a wspomnianej ustawy.  </w:t>
      </w:r>
    </w:p>
    <w:p w14:paraId="6D49835F" w14:textId="5410E7EA" w:rsidR="00C078C4" w:rsidRDefault="00F553D7" w:rsidP="00123072">
      <w:pPr>
        <w:pStyle w:val="Akapitzlist"/>
        <w:spacing w:after="120"/>
        <w:ind w:left="284"/>
        <w:contextualSpacing w:val="0"/>
        <w:jc w:val="both"/>
        <w:rPr>
          <w:rFonts w:asciiTheme="minorHAnsi" w:eastAsiaTheme="minorHAnsi" w:hAnsiTheme="minorHAnsi" w:cstheme="minorBidi"/>
          <w:bCs/>
          <w:color w:val="auto"/>
          <w:lang w:eastAsia="en-US"/>
        </w:rPr>
      </w:pPr>
      <w:r>
        <w:rPr>
          <w:rFonts w:asciiTheme="minorHAnsi" w:eastAsiaTheme="minorHAnsi" w:hAnsiTheme="minorHAnsi" w:cstheme="minorBidi"/>
          <w:bCs/>
          <w:color w:val="auto"/>
          <w:lang w:eastAsia="en-US"/>
        </w:rPr>
        <w:lastRenderedPageBreak/>
        <w:t>T</w:t>
      </w:r>
      <w:r w:rsidR="00B54C2B" w:rsidRPr="003A51C7">
        <w:rPr>
          <w:rFonts w:asciiTheme="minorHAnsi" w:eastAsiaTheme="minorHAnsi" w:hAnsiTheme="minorHAnsi" w:cstheme="minorBidi"/>
          <w:bCs/>
          <w:color w:val="auto"/>
          <w:lang w:eastAsia="en-US"/>
        </w:rPr>
        <w:t xml:space="preserve">ak ogólne </w:t>
      </w:r>
      <w:r w:rsidR="00C078C4">
        <w:rPr>
          <w:rFonts w:asciiTheme="minorHAnsi" w:eastAsiaTheme="minorHAnsi" w:hAnsiTheme="minorHAnsi" w:cstheme="minorBidi"/>
          <w:bCs/>
          <w:color w:val="auto"/>
          <w:lang w:eastAsia="en-US"/>
        </w:rPr>
        <w:t xml:space="preserve">wskazanie odnoszące się do przechowywania omawianych danych wydaje się jednak nie spełniać szeroko ustanowionego postulatu opracowania polityki zatrzymania danych. Kwestia ta wymaga zatem ponownej analizy. </w:t>
      </w:r>
    </w:p>
    <w:p w14:paraId="425CF476" w14:textId="42545F1D" w:rsidR="00B54C2B" w:rsidRPr="00AB1E22" w:rsidRDefault="00B54C2B" w:rsidP="00AB1E22">
      <w:pPr>
        <w:numPr>
          <w:ilvl w:val="0"/>
          <w:numId w:val="11"/>
        </w:numPr>
        <w:spacing w:after="120"/>
        <w:ind w:left="283" w:hanging="357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>
        <w:rPr>
          <w:rFonts w:asciiTheme="minorHAnsi" w:eastAsiaTheme="minorHAnsi" w:hAnsiTheme="minorHAnsi" w:cstheme="minorBidi"/>
          <w:color w:val="auto"/>
          <w:lang w:eastAsia="en-US"/>
        </w:rPr>
        <w:t xml:space="preserve">W art. 1 pkt 95 i pkt 96 </w:t>
      </w:r>
      <w:r w:rsidRPr="000B1E0A">
        <w:rPr>
          <w:rFonts w:asciiTheme="minorHAnsi" w:eastAsia="Times New Roman" w:hAnsiTheme="minorHAnsi" w:cstheme="minorHAnsi"/>
          <w:color w:val="auto"/>
        </w:rPr>
        <w:t>projektu przewiduje się wprowadzenie nowych</w:t>
      </w:r>
      <w:r w:rsidRPr="000B1E0A">
        <w:rPr>
          <w:rFonts w:asciiTheme="minorHAnsi" w:eastAsia="Times New Roman" w:hAnsiTheme="minorHAnsi" w:cstheme="minorHAnsi"/>
          <w:b/>
          <w:color w:val="auto"/>
        </w:rPr>
        <w:t xml:space="preserve"> </w:t>
      </w:r>
      <w:r w:rsidRPr="000B1E0A">
        <w:rPr>
          <w:rFonts w:asciiTheme="minorHAnsi" w:eastAsia="Times New Roman" w:hAnsiTheme="minorHAnsi" w:cstheme="minorHAnsi"/>
          <w:color w:val="auto"/>
        </w:rPr>
        <w:t>uregulowań w zakresie nakazu przebywania w pomieszczeniach przeznaczonych dla cudzoziemców, którym odmówiono wjazdu na terytorium Rzeczypospolitej Polskiej</w:t>
      </w:r>
      <w:r w:rsidR="00AB1C21">
        <w:rPr>
          <w:rFonts w:asciiTheme="minorHAnsi" w:eastAsia="Times New Roman" w:hAnsiTheme="minorHAnsi" w:cstheme="minorHAnsi"/>
          <w:color w:val="auto"/>
        </w:rPr>
        <w:t>.</w:t>
      </w:r>
      <w:r w:rsidR="00AB1C21" w:rsidRPr="000B1E0A">
        <w:rPr>
          <w:rFonts w:asciiTheme="minorHAnsi" w:eastAsia="Times New Roman" w:hAnsiTheme="minorHAnsi" w:cstheme="minorHAnsi"/>
          <w:color w:val="auto"/>
        </w:rPr>
        <w:t xml:space="preserve"> </w:t>
      </w:r>
      <w:r w:rsidR="00AB1C21">
        <w:rPr>
          <w:rFonts w:asciiTheme="minorHAnsi" w:eastAsia="Times New Roman" w:hAnsiTheme="minorHAnsi" w:cstheme="minorHAnsi"/>
          <w:color w:val="auto"/>
        </w:rPr>
        <w:t>Przepisy te</w:t>
      </w:r>
      <w:r w:rsidR="00AB1C21" w:rsidRPr="000B1E0A">
        <w:rPr>
          <w:rFonts w:asciiTheme="minorHAnsi" w:eastAsia="Times New Roman" w:hAnsiTheme="minorHAnsi" w:cstheme="minorHAnsi"/>
          <w:color w:val="auto"/>
        </w:rPr>
        <w:t xml:space="preserve"> </w:t>
      </w:r>
      <w:r w:rsidRPr="000B1E0A">
        <w:rPr>
          <w:rFonts w:asciiTheme="minorHAnsi" w:eastAsia="Times New Roman" w:hAnsiTheme="minorHAnsi" w:cstheme="minorHAnsi"/>
          <w:color w:val="auto"/>
        </w:rPr>
        <w:t xml:space="preserve">mają na celu </w:t>
      </w:r>
      <w:r w:rsidRPr="000B1E0A">
        <w:rPr>
          <w:rFonts w:asciiTheme="minorHAnsi" w:eastAsia="Times New Roman" w:hAnsiTheme="minorHAnsi" w:cstheme="minorHAnsi"/>
          <w:color w:val="auto"/>
          <w:lang w:eastAsia="en-US"/>
        </w:rPr>
        <w:t>wykonanie zaleceń określonych w decyzji wykonawczej Rady ustanawiającej zalecenia w sprawie wyeliminowania niedociągnięć stwierdzonych w toku przeprowadzonej w 2019 r. oceny stosowania przez Polskę dorobku Schengen w dziedzinie powrotów.</w:t>
      </w:r>
      <w:r w:rsidR="00AB1E22">
        <w:rPr>
          <w:rFonts w:asciiTheme="minorHAnsi" w:eastAsia="Times New Roman" w:hAnsiTheme="minorHAnsi" w:cstheme="minorHAnsi"/>
          <w:color w:val="auto"/>
          <w:lang w:eastAsia="en-US"/>
        </w:rPr>
        <w:t xml:space="preserve"> </w:t>
      </w:r>
      <w:r w:rsidRPr="00AB1E22">
        <w:rPr>
          <w:rFonts w:asciiTheme="minorHAnsi" w:eastAsiaTheme="minorHAnsi" w:hAnsiTheme="minorHAnsi" w:cstheme="minorBidi"/>
          <w:color w:val="auto"/>
          <w:lang w:eastAsia="en-US"/>
        </w:rPr>
        <w:t>Stosownie do</w:t>
      </w:r>
      <w:r w:rsidR="00AB1C21" w:rsidRPr="00AB1E22">
        <w:rPr>
          <w:rFonts w:asciiTheme="minorHAnsi" w:eastAsiaTheme="minorHAnsi" w:hAnsiTheme="minorHAnsi" w:cstheme="minorBidi"/>
          <w:color w:val="auto"/>
          <w:lang w:eastAsia="en-US"/>
        </w:rPr>
        <w:t xml:space="preserve"> </w:t>
      </w:r>
      <w:r w:rsidR="00AB1C21" w:rsidRPr="00AB1E22">
        <w:rPr>
          <w:rFonts w:asciiTheme="minorHAnsi" w:eastAsia="Times New Roman" w:hAnsiTheme="minorHAnsi" w:cstheme="minorHAnsi"/>
          <w:color w:val="auto"/>
        </w:rPr>
        <w:t xml:space="preserve">wskazanych </w:t>
      </w:r>
      <w:r w:rsidRPr="00AB1E22">
        <w:rPr>
          <w:rFonts w:asciiTheme="minorHAnsi" w:eastAsia="Times New Roman" w:hAnsiTheme="minorHAnsi" w:cstheme="minorHAnsi"/>
          <w:color w:val="auto"/>
        </w:rPr>
        <w:t xml:space="preserve">zaleceń należy m.in. </w:t>
      </w:r>
      <w:r w:rsidRPr="00AB1E22">
        <w:rPr>
          <w:rFonts w:asciiTheme="minorHAnsi" w:hAnsiTheme="minorHAnsi" w:cstheme="minorHAnsi"/>
          <w:noProof/>
        </w:rPr>
        <w:t>określić ograniczony okres detencji w obiekcie na</w:t>
      </w:r>
      <w:r w:rsidR="00AB1E22" w:rsidRPr="00AB1E22">
        <w:rPr>
          <w:rFonts w:asciiTheme="minorHAnsi" w:hAnsiTheme="minorHAnsi" w:cstheme="minorHAnsi"/>
          <w:noProof/>
        </w:rPr>
        <w:t> </w:t>
      </w:r>
      <w:r w:rsidRPr="00AB1E22">
        <w:rPr>
          <w:rFonts w:asciiTheme="minorHAnsi" w:hAnsiTheme="minorHAnsi" w:cstheme="minorHAnsi"/>
          <w:noProof/>
        </w:rPr>
        <w:t>terenie portu lotniczego w Warszawie, zgodnie z art. 15 ust. 5 dyrektywy 2008/115/WE.</w:t>
      </w:r>
    </w:p>
    <w:p w14:paraId="031B36C0" w14:textId="089FC334" w:rsidR="00B54C2B" w:rsidRDefault="00B54C2B" w:rsidP="00123072">
      <w:pPr>
        <w:spacing w:after="120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t xml:space="preserve">W </w:t>
      </w:r>
      <w:r w:rsidRPr="000B1E0A">
        <w:rPr>
          <w:rFonts w:asciiTheme="minorHAnsi" w:hAnsiTheme="minorHAnsi" w:cstheme="minorHAnsi"/>
          <w:noProof/>
        </w:rPr>
        <w:t xml:space="preserve">projekcie przewidziano, że okres </w:t>
      </w:r>
      <w:r w:rsidRPr="000B1E0A">
        <w:rPr>
          <w:rFonts w:asciiTheme="minorHAnsi" w:hAnsiTheme="minorHAnsi" w:cstheme="minorHAnsi"/>
        </w:rPr>
        <w:t>pobytu w pomieszczeniach przeznaczonych dla cudzoziemców, którym odmówiono wjazdu na terytorium Rzeczypospolitej Polskiej, nie może przekroczyć 30 dni (w tym zakresie w uzasadnieniu wskazano  jednakże 14 dni, projektodawca powinien więc dokonać stosownej korekty i wyjaśnić, który z okresów jest właściwy). Nakaz przebywania w wskazanych wyżej pomieszczeniach będzie nakładany w drodze decyzji komendanta placówki Straży Granicznej, która będzie podlegała natychmiastowemu wykonaniu.</w:t>
      </w:r>
    </w:p>
    <w:p w14:paraId="0E4D4B35" w14:textId="77777777" w:rsidR="00AB1E22" w:rsidRDefault="00B54C2B" w:rsidP="00123072">
      <w:pPr>
        <w:spacing w:after="120"/>
        <w:ind w:left="284"/>
        <w:jc w:val="both"/>
        <w:rPr>
          <w:rFonts w:asciiTheme="minorHAnsi" w:hAnsiTheme="minorHAnsi" w:cstheme="minorHAnsi"/>
          <w:bCs/>
        </w:rPr>
      </w:pPr>
      <w:r w:rsidRPr="003A51C7">
        <w:rPr>
          <w:rFonts w:asciiTheme="minorHAnsi" w:hAnsiTheme="minorHAnsi" w:cstheme="minorHAnsi"/>
        </w:rPr>
        <w:t xml:space="preserve">Nakaz przebywania w pomieszczeniach przeznaczonych dla cudzoziemców, którym odmówiono wjazdu na terytorium Rzeczypospolitej Polskiej stanowi środek detencyjny w rozumieniu przepisów </w:t>
      </w:r>
      <w:r w:rsidRPr="003A51C7">
        <w:rPr>
          <w:rFonts w:asciiTheme="minorHAnsi" w:hAnsiTheme="minorHAnsi" w:cstheme="minorHAnsi"/>
          <w:bCs/>
          <w:i/>
        </w:rPr>
        <w:t>dyrektywy Parlamentu Europejskiego i Rady 2008/115/WE z dnia 16 grudnia 2008 r. w sprawie wspólnych norm i procedur stosowanych przez państwa członkowskie w odniesieniu do powrotów nielegalnie przebywających obywateli państw trzecich,</w:t>
      </w:r>
      <w:r w:rsidRPr="000B1E0A">
        <w:rPr>
          <w:rFonts w:asciiTheme="minorHAnsi" w:hAnsiTheme="minorHAnsi" w:cstheme="minorHAnsi"/>
          <w:bCs/>
          <w:i/>
        </w:rPr>
        <w:t xml:space="preserve"> </w:t>
      </w:r>
      <w:r w:rsidRPr="000B1E0A">
        <w:rPr>
          <w:rFonts w:asciiTheme="minorHAnsi" w:hAnsiTheme="minorHAnsi" w:cstheme="minorHAnsi"/>
          <w:bCs/>
        </w:rPr>
        <w:t xml:space="preserve">przy czym decyzja o jego zastosowaniu będzie podejmowana nie przez organ sądowy, ale administracyjny. </w:t>
      </w:r>
    </w:p>
    <w:p w14:paraId="46101C19" w14:textId="58DB3A45" w:rsidR="00B54C2B" w:rsidRDefault="00B54C2B" w:rsidP="00123072">
      <w:pPr>
        <w:spacing w:after="120"/>
        <w:ind w:left="284"/>
        <w:jc w:val="both"/>
        <w:rPr>
          <w:rFonts w:asciiTheme="minorHAnsi" w:hAnsiTheme="minorHAnsi" w:cstheme="minorHAnsi"/>
          <w:bCs/>
        </w:rPr>
      </w:pPr>
      <w:r w:rsidRPr="000B1E0A">
        <w:rPr>
          <w:rFonts w:asciiTheme="minorHAnsi" w:hAnsiTheme="minorHAnsi" w:cstheme="minorHAnsi"/>
          <w:bCs/>
        </w:rPr>
        <w:t>W tym kontekście należy zauważyć, że zgodnie z art. 15 ust.</w:t>
      </w:r>
      <w:r w:rsidR="00312796">
        <w:rPr>
          <w:rFonts w:asciiTheme="minorHAnsi" w:hAnsiTheme="minorHAnsi" w:cstheme="minorHAnsi"/>
          <w:bCs/>
        </w:rPr>
        <w:t xml:space="preserve"> </w:t>
      </w:r>
      <w:r w:rsidRPr="000B1E0A">
        <w:rPr>
          <w:rFonts w:asciiTheme="minorHAnsi" w:hAnsiTheme="minorHAnsi" w:cstheme="minorHAnsi"/>
          <w:bCs/>
        </w:rPr>
        <w:t xml:space="preserve">2 zdanie 3 dyrektywy 2008/115/WE, jeżeli decyzja o zastosowaniu środka detencyjnego została wydana przez organy administracyjne, państwa członkowskie zapewniają kontrolę sądową, w trybie przyspieszonym, zgodności z prawem środka detencyjnego, najszybciej jak to możliwe po jego zastosowaniu lub przyznają danemu obywatelowi państwa trzeciego prawo do wszczęcia postępowania w celu </w:t>
      </w:r>
      <w:r w:rsidRPr="00721BFC">
        <w:rPr>
          <w:rFonts w:asciiTheme="minorHAnsi" w:hAnsiTheme="minorHAnsi" w:cstheme="minorHAnsi"/>
          <w:bCs/>
        </w:rPr>
        <w:t>po</w:t>
      </w:r>
      <w:r w:rsidR="00331F83" w:rsidRPr="00721BFC">
        <w:rPr>
          <w:rFonts w:asciiTheme="minorHAnsi" w:hAnsiTheme="minorHAnsi" w:cstheme="minorHAnsi"/>
          <w:bCs/>
        </w:rPr>
        <w:t>d</w:t>
      </w:r>
      <w:r w:rsidRPr="00721BFC">
        <w:rPr>
          <w:rFonts w:asciiTheme="minorHAnsi" w:hAnsiTheme="minorHAnsi" w:cstheme="minorHAnsi"/>
          <w:bCs/>
        </w:rPr>
        <w:t>d</w:t>
      </w:r>
      <w:r w:rsidRPr="000B1E0A">
        <w:rPr>
          <w:rFonts w:asciiTheme="minorHAnsi" w:hAnsiTheme="minorHAnsi" w:cstheme="minorHAnsi"/>
          <w:bCs/>
        </w:rPr>
        <w:t>ania kontroli sądowej, w trybie przyspieszonym, zgodności z prawem środka detencyjnego, najszybciej jak</w:t>
      </w:r>
      <w:r w:rsidR="00AB1E22">
        <w:rPr>
          <w:rFonts w:asciiTheme="minorHAnsi" w:hAnsiTheme="minorHAnsi" w:cstheme="minorHAnsi"/>
          <w:bCs/>
        </w:rPr>
        <w:t> </w:t>
      </w:r>
      <w:r w:rsidRPr="000B1E0A">
        <w:rPr>
          <w:rFonts w:asciiTheme="minorHAnsi" w:hAnsiTheme="minorHAnsi" w:cstheme="minorHAnsi"/>
          <w:bCs/>
        </w:rPr>
        <w:t>to</w:t>
      </w:r>
      <w:r w:rsidR="00AB1E22">
        <w:rPr>
          <w:rFonts w:asciiTheme="minorHAnsi" w:hAnsiTheme="minorHAnsi" w:cstheme="minorHAnsi"/>
          <w:bCs/>
        </w:rPr>
        <w:t> </w:t>
      </w:r>
      <w:r w:rsidRPr="000B1E0A">
        <w:rPr>
          <w:rFonts w:asciiTheme="minorHAnsi" w:hAnsiTheme="minorHAnsi" w:cstheme="minorHAnsi"/>
          <w:bCs/>
        </w:rPr>
        <w:t>możliwe po jego zastosowaniu. W takim przypadku państwa członkowskie niezwłocznie informują danego obywatela państwa członkowskiego o możliwości wszczęcia takiego postępowania.  Z projektu nie wynika jednak, w jaki sposób ma być zapewniony tryb przyspieszony kontroli sądowej przedmiotowych decyzji.</w:t>
      </w:r>
    </w:p>
    <w:p w14:paraId="7312B556" w14:textId="10E16E6C" w:rsidR="00B54C2B" w:rsidRDefault="00B54C2B" w:rsidP="00123072">
      <w:pPr>
        <w:spacing w:after="120"/>
        <w:ind w:left="284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Z </w:t>
      </w:r>
      <w:r w:rsidRPr="000B1E0A">
        <w:rPr>
          <w:rFonts w:asciiTheme="minorHAnsi" w:hAnsiTheme="minorHAnsi" w:cstheme="minorHAnsi"/>
          <w:bCs/>
        </w:rPr>
        <w:t>projektu nie wynika ponadto, w jaki sposób w przypadku nakazu przebywania w przedmiotowych pomieszczeniach ma być zapewnione przestrzeganie art. 15 ust.</w:t>
      </w:r>
      <w:r w:rsidR="00312796">
        <w:rPr>
          <w:rFonts w:asciiTheme="minorHAnsi" w:hAnsiTheme="minorHAnsi" w:cstheme="minorHAnsi"/>
          <w:bCs/>
        </w:rPr>
        <w:t xml:space="preserve"> </w:t>
      </w:r>
      <w:r w:rsidRPr="000B1E0A">
        <w:rPr>
          <w:rFonts w:asciiTheme="minorHAnsi" w:hAnsiTheme="minorHAnsi" w:cstheme="minorHAnsi"/>
          <w:bCs/>
        </w:rPr>
        <w:t>3 zd. 1 dyrektywy 2008/115/WE, zgodnie z którym w każdym przypadku, środek detencyjny podlega kontroli w rozsądnych odstępach czasu na wniosek danego obywatela państwa trzeciego lub z urzędu.</w:t>
      </w:r>
    </w:p>
    <w:p w14:paraId="2FC3954F" w14:textId="0DFB247A" w:rsidR="00B54C2B" w:rsidRDefault="00B54C2B" w:rsidP="00123072">
      <w:pPr>
        <w:spacing w:after="120"/>
        <w:ind w:left="284"/>
        <w:jc w:val="both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bCs/>
        </w:rPr>
        <w:t xml:space="preserve">W </w:t>
      </w:r>
      <w:r w:rsidRPr="000B1E0A">
        <w:rPr>
          <w:rFonts w:asciiTheme="minorHAnsi" w:hAnsiTheme="minorHAnsi" w:cstheme="minorHAnsi"/>
          <w:bCs/>
        </w:rPr>
        <w:t xml:space="preserve">świetle wskazanych wyżej zaleceń należy również </w:t>
      </w:r>
      <w:r w:rsidRPr="000B1E0A">
        <w:rPr>
          <w:rFonts w:asciiTheme="minorHAnsi" w:hAnsiTheme="minorHAnsi" w:cstheme="minorHAnsi"/>
          <w:noProof/>
        </w:rPr>
        <w:t>zapewnić odpowiedni poziom prywatności rodzinom ulokowanym w obiekcie na terenie portu lotniczego w Warszawie oraz możliwości zabaw i zajęć rekreacyjnych z uwzględnieniem potrzeb dzieci, zgodnie z art. 17 ust. 2 i 3 dyrektywy 2008/115/WE.</w:t>
      </w:r>
    </w:p>
    <w:p w14:paraId="7D43D548" w14:textId="09B2DC51" w:rsidR="00B54C2B" w:rsidRDefault="00B54C2B" w:rsidP="00721BFC">
      <w:pPr>
        <w:ind w:left="284"/>
        <w:contextualSpacing/>
        <w:jc w:val="both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 xml:space="preserve">Art. </w:t>
      </w:r>
      <w:r w:rsidRPr="000B1E0A">
        <w:rPr>
          <w:rFonts w:asciiTheme="minorHAnsi" w:hAnsiTheme="minorHAnsi" w:cstheme="minorHAnsi"/>
          <w:noProof/>
        </w:rPr>
        <w:t xml:space="preserve">17 ust.2 dyrektywy </w:t>
      </w:r>
      <w:r w:rsidRPr="000B1E0A">
        <w:rPr>
          <w:rFonts w:asciiTheme="minorHAnsi" w:hAnsiTheme="minorHAnsi" w:cstheme="minorHAnsi"/>
          <w:bCs/>
        </w:rPr>
        <w:t>2008/115/WE</w:t>
      </w:r>
      <w:r w:rsidRPr="000B1E0A">
        <w:rPr>
          <w:rFonts w:asciiTheme="minorHAnsi" w:hAnsiTheme="minorHAnsi" w:cstheme="minorHAnsi"/>
          <w:noProof/>
        </w:rPr>
        <w:t xml:space="preserve"> nakłada obowiązek zapewnienia rodzinom oczekującym w</w:t>
      </w:r>
      <w:r w:rsidR="00AB1E22">
        <w:rPr>
          <w:rFonts w:asciiTheme="minorHAnsi" w:hAnsiTheme="minorHAnsi" w:cstheme="minorHAnsi"/>
          <w:noProof/>
        </w:rPr>
        <w:t> </w:t>
      </w:r>
      <w:r w:rsidRPr="000B1E0A">
        <w:rPr>
          <w:rFonts w:asciiTheme="minorHAnsi" w:hAnsiTheme="minorHAnsi" w:cstheme="minorHAnsi"/>
          <w:noProof/>
        </w:rPr>
        <w:t>ośrodku detencyjnym na wydalenie pobytu w oddzielnych pomieszczeniach gwarantujących odpowiedni poziom prywatności. Zgodnie zaś z art. 17 ust.</w:t>
      </w:r>
      <w:r w:rsidR="00312796">
        <w:rPr>
          <w:rFonts w:asciiTheme="minorHAnsi" w:hAnsiTheme="minorHAnsi" w:cstheme="minorHAnsi"/>
          <w:noProof/>
        </w:rPr>
        <w:t xml:space="preserve"> </w:t>
      </w:r>
      <w:r w:rsidRPr="000B1E0A">
        <w:rPr>
          <w:rFonts w:asciiTheme="minorHAnsi" w:hAnsiTheme="minorHAnsi" w:cstheme="minorHAnsi"/>
          <w:noProof/>
        </w:rPr>
        <w:t>3 dyrektywy,  małoletni przebywający w ośrodku detencyjnym mają możliwość uczestniczenia w wolnym czasie w zajęciach, w tym grach, zabawach i zajęciach rekreacyjnych odpowiednich do ich wieku oraz, w zależności od długości pobytu, mają dostęp do edukacji.</w:t>
      </w:r>
    </w:p>
    <w:p w14:paraId="2E5A2657" w14:textId="735AC0E9" w:rsidR="00B54C2B" w:rsidRDefault="00B54C2B" w:rsidP="00123072">
      <w:pPr>
        <w:spacing w:after="120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lastRenderedPageBreak/>
        <w:t xml:space="preserve">Jako </w:t>
      </w:r>
      <w:r w:rsidRPr="000B1E0A">
        <w:rPr>
          <w:rFonts w:asciiTheme="minorHAnsi" w:hAnsiTheme="minorHAnsi" w:cstheme="minorHAnsi"/>
          <w:noProof/>
        </w:rPr>
        <w:t xml:space="preserve">przepisy zapewniające realizację tego zalecenia wskazano  przepisy od art. </w:t>
      </w:r>
      <w:r w:rsidRPr="000B1E0A">
        <w:rPr>
          <w:rFonts w:asciiTheme="minorHAnsi" w:hAnsiTheme="minorHAnsi" w:cstheme="minorHAnsi"/>
        </w:rPr>
        <w:t>461b do art. 461e projektu. Wskazane przepisy nie mogą być jednak uznane za zgodne z art. 17 ust.</w:t>
      </w:r>
      <w:r w:rsidR="00312796">
        <w:rPr>
          <w:rFonts w:asciiTheme="minorHAnsi" w:hAnsiTheme="minorHAnsi" w:cstheme="minorHAnsi"/>
        </w:rPr>
        <w:t xml:space="preserve"> </w:t>
      </w:r>
      <w:r w:rsidRPr="000B1E0A">
        <w:rPr>
          <w:rFonts w:asciiTheme="minorHAnsi" w:hAnsiTheme="minorHAnsi" w:cstheme="minorHAnsi"/>
        </w:rPr>
        <w:t>2 dyrektywy</w:t>
      </w:r>
      <w:r w:rsidR="00010B5D">
        <w:rPr>
          <w:rFonts w:asciiTheme="minorHAnsi" w:hAnsiTheme="minorHAnsi" w:cstheme="minorHAnsi"/>
        </w:rPr>
        <w:t xml:space="preserve"> </w:t>
      </w:r>
      <w:r w:rsidRPr="000B1E0A">
        <w:rPr>
          <w:rFonts w:asciiTheme="minorHAnsi" w:hAnsiTheme="minorHAnsi" w:cstheme="minorHAnsi"/>
          <w:bCs/>
        </w:rPr>
        <w:t>2008/115/WE</w:t>
      </w:r>
      <w:r w:rsidRPr="000B1E0A">
        <w:rPr>
          <w:rFonts w:asciiTheme="minorHAnsi" w:hAnsiTheme="minorHAnsi" w:cstheme="minorHAnsi"/>
        </w:rPr>
        <w:t xml:space="preserve">, ponieważ nie przewidują zapewnienia oddzielnych pomieszczeń rodzinom. </w:t>
      </w:r>
    </w:p>
    <w:p w14:paraId="537DA2C2" w14:textId="55FDB300" w:rsidR="00B54C2B" w:rsidRPr="00B54C2B" w:rsidRDefault="00B54C2B" w:rsidP="00123072">
      <w:pPr>
        <w:spacing w:after="100" w:afterAutospacing="1"/>
        <w:ind w:left="284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>
        <w:rPr>
          <w:rFonts w:asciiTheme="minorHAnsi" w:hAnsiTheme="minorHAnsi" w:cstheme="minorHAnsi"/>
        </w:rPr>
        <w:t xml:space="preserve">Projektowane </w:t>
      </w:r>
      <w:r w:rsidRPr="000B1E0A">
        <w:rPr>
          <w:rFonts w:asciiTheme="minorHAnsi" w:hAnsiTheme="minorHAnsi" w:cstheme="minorHAnsi"/>
        </w:rPr>
        <w:t xml:space="preserve">przepisy </w:t>
      </w:r>
      <w:r w:rsidR="000F6A44">
        <w:rPr>
          <w:rFonts w:asciiTheme="minorHAnsi" w:hAnsiTheme="minorHAnsi" w:cstheme="minorHAnsi"/>
        </w:rPr>
        <w:t>budzą również wątpliwości w kontekście</w:t>
      </w:r>
      <w:r w:rsidRPr="000B1E0A">
        <w:rPr>
          <w:rFonts w:asciiTheme="minorHAnsi" w:hAnsiTheme="minorHAnsi" w:cstheme="minorHAnsi"/>
        </w:rPr>
        <w:t xml:space="preserve"> art. 17 ust. 3 dyrektywy</w:t>
      </w:r>
      <w:r>
        <w:rPr>
          <w:rFonts w:asciiTheme="minorHAnsi" w:hAnsiTheme="minorHAnsi" w:cstheme="minorHAnsi"/>
        </w:rPr>
        <w:t xml:space="preserve"> </w:t>
      </w:r>
      <w:r w:rsidRPr="000B1E0A">
        <w:rPr>
          <w:rFonts w:asciiTheme="minorHAnsi" w:hAnsiTheme="minorHAnsi" w:cstheme="minorHAnsi"/>
          <w:bCs/>
        </w:rPr>
        <w:t>2008/115/WE</w:t>
      </w:r>
      <w:r w:rsidRPr="000B1E0A">
        <w:rPr>
          <w:rFonts w:asciiTheme="minorHAnsi" w:hAnsiTheme="minorHAnsi" w:cstheme="minorHAnsi"/>
        </w:rPr>
        <w:t>, ponieważ zapewniają osobom małoletnim przebywającym w pomieszczeniach przeznaczonych dla</w:t>
      </w:r>
      <w:r w:rsidR="00AB1E22">
        <w:rPr>
          <w:rFonts w:asciiTheme="minorHAnsi" w:hAnsiTheme="minorHAnsi" w:cstheme="minorHAnsi"/>
        </w:rPr>
        <w:t> </w:t>
      </w:r>
      <w:r w:rsidRPr="000B1E0A">
        <w:rPr>
          <w:rFonts w:asciiTheme="minorHAnsi" w:hAnsiTheme="minorHAnsi" w:cstheme="minorHAnsi"/>
        </w:rPr>
        <w:t xml:space="preserve">cudzoziemców, którym odmówiono wjazdu na terytorium Rzeczypospolitej Polskiej jedynie możliwość korzystania z gier świetlicowych. </w:t>
      </w:r>
      <w:r w:rsidR="002358EC">
        <w:rPr>
          <w:rFonts w:asciiTheme="minorHAnsi" w:hAnsiTheme="minorHAnsi" w:cstheme="minorHAnsi"/>
        </w:rPr>
        <w:t xml:space="preserve">Pominięto natomiast obowiązek </w:t>
      </w:r>
      <w:r w:rsidRPr="000B1E0A">
        <w:rPr>
          <w:rFonts w:asciiTheme="minorHAnsi" w:hAnsiTheme="minorHAnsi" w:cstheme="minorHAnsi"/>
        </w:rPr>
        <w:t xml:space="preserve">zapewnienia małoletnim uczestniczenia w grach, zabawach i zajęciach rekreacyjnych odpowiednich do ich wieku oraz dostępu do edukacji, </w:t>
      </w:r>
      <w:r w:rsidR="00AB1E22">
        <w:rPr>
          <w:rFonts w:asciiTheme="minorHAnsi" w:hAnsiTheme="minorHAnsi" w:cstheme="minorHAnsi"/>
        </w:rPr>
        <w:t xml:space="preserve">co jest istotne </w:t>
      </w:r>
      <w:r w:rsidRPr="000B1E0A">
        <w:rPr>
          <w:rFonts w:asciiTheme="minorHAnsi" w:hAnsiTheme="minorHAnsi" w:cstheme="minorHAnsi"/>
        </w:rPr>
        <w:t>zważywszy w szczególności, że dopuszczalny maksymalny okres pobytu w tych pomieszczeniach może wynosić 30 dni</w:t>
      </w:r>
      <w:r w:rsidR="00312796">
        <w:rPr>
          <w:rFonts w:asciiTheme="minorHAnsi" w:hAnsiTheme="minorHAnsi" w:cstheme="minorHAnsi"/>
        </w:rPr>
        <w:t>.</w:t>
      </w:r>
      <w:r w:rsidR="00312796" w:rsidRPr="000B1E0A">
        <w:rPr>
          <w:rFonts w:asciiTheme="minorHAnsi" w:hAnsiTheme="minorHAnsi" w:cstheme="minorHAnsi"/>
        </w:rPr>
        <w:t xml:space="preserve"> </w:t>
      </w:r>
    </w:p>
    <w:p w14:paraId="15D9CD70" w14:textId="6537CEDA" w:rsidR="00D519D9" w:rsidRPr="00147D58" w:rsidRDefault="00B54C2B" w:rsidP="00123072">
      <w:pPr>
        <w:numPr>
          <w:ilvl w:val="0"/>
          <w:numId w:val="11"/>
        </w:numPr>
        <w:spacing w:after="120"/>
        <w:ind w:left="283" w:hanging="357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E36515">
        <w:rPr>
          <w:rFonts w:asciiTheme="minorHAnsi" w:eastAsiaTheme="minorHAnsi" w:hAnsiTheme="minorHAnsi" w:cstheme="minorBidi"/>
          <w:color w:val="auto"/>
          <w:lang w:eastAsia="en-US"/>
        </w:rPr>
        <w:t xml:space="preserve">Zgodnie </w:t>
      </w:r>
      <w:r w:rsidR="00D519D9" w:rsidRPr="00147D58">
        <w:rPr>
          <w:color w:val="auto"/>
        </w:rPr>
        <w:t>z projektowanym art. 82c ust. 2 ustawy o udzielaniu cudzoziemcom ochrony na terytorium Rzeczypospolitej Polskiej (art. 5 pkt 12 lit. b</w:t>
      </w:r>
      <w:r w:rsidR="00AB1E22">
        <w:rPr>
          <w:color w:val="auto"/>
        </w:rPr>
        <w:t>)</w:t>
      </w:r>
      <w:r w:rsidR="00D519D9" w:rsidRPr="00147D58">
        <w:rPr>
          <w:color w:val="auto"/>
        </w:rPr>
        <w:t xml:space="preserve"> projektu) Szef Urzędu do Spraw Cudzoziemców może zlecić prowadzenie nauki języka polskiego, na podstawie ustawy z dnia 11 września 2019 r. – Prawo zamówień publicznych</w:t>
      </w:r>
      <w:r w:rsidR="00AB1E22">
        <w:rPr>
          <w:color w:val="auto"/>
        </w:rPr>
        <w:t>,</w:t>
      </w:r>
      <w:r w:rsidR="00D519D9" w:rsidRPr="00147D58">
        <w:rPr>
          <w:color w:val="auto"/>
        </w:rPr>
        <w:t xml:space="preserve"> podmiotom innym niż organizacje międzynarodowe.</w:t>
      </w:r>
    </w:p>
    <w:p w14:paraId="5FAAF6CF" w14:textId="3A731A27" w:rsidR="00B54C2B" w:rsidRPr="00E36515" w:rsidRDefault="00B54C2B" w:rsidP="00123072">
      <w:pPr>
        <w:spacing w:after="120"/>
        <w:ind w:left="284"/>
        <w:jc w:val="both"/>
        <w:rPr>
          <w:rFonts w:asciiTheme="minorHAnsi" w:hAnsiTheme="minorHAnsi" w:cstheme="minorHAnsi"/>
          <w:color w:val="auto"/>
        </w:rPr>
      </w:pPr>
      <w:r w:rsidRPr="00E36515">
        <w:rPr>
          <w:rFonts w:asciiTheme="minorHAnsi" w:hAnsiTheme="minorHAnsi" w:cstheme="minorHAnsi"/>
          <w:color w:val="auto"/>
        </w:rPr>
        <w:t>Nie jest jednak jasne</w:t>
      </w:r>
      <w:r w:rsidR="00312796">
        <w:rPr>
          <w:rFonts w:asciiTheme="minorHAnsi" w:hAnsiTheme="minorHAnsi" w:cstheme="minorHAnsi"/>
          <w:color w:val="auto"/>
        </w:rPr>
        <w:t>,</w:t>
      </w:r>
      <w:r w:rsidRPr="00E36515">
        <w:rPr>
          <w:rFonts w:asciiTheme="minorHAnsi" w:hAnsiTheme="minorHAnsi" w:cstheme="minorHAnsi"/>
          <w:color w:val="auto"/>
        </w:rPr>
        <w:t xml:space="preserve"> z jakiego powodu Szef Urzędu do Spraw Cudzoziemców nie może, na gruncie projektowanego przepisu, zlecić prowadzenia nauki języka polskiego organizacjom międzynarodowym na podstawie ustawy z dnia 11 września 2019 r. – Prawo zamówień publicznych. Kwestia ta nie została także wyjaśniona w uzasadnieniu projektu.</w:t>
      </w:r>
    </w:p>
    <w:p w14:paraId="3CCB5B16" w14:textId="6515592D" w:rsidR="00B54C2B" w:rsidRPr="00E36515" w:rsidRDefault="00312796" w:rsidP="00AB1E22">
      <w:pPr>
        <w:spacing w:after="120"/>
        <w:ind w:left="284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W tym kontekście </w:t>
      </w:r>
      <w:r w:rsidR="00B54C2B" w:rsidRPr="00E36515">
        <w:rPr>
          <w:rFonts w:asciiTheme="minorHAnsi" w:hAnsiTheme="minorHAnsi" w:cstheme="minorHAnsi"/>
          <w:color w:val="auto"/>
        </w:rPr>
        <w:t xml:space="preserve">należy zwrócić uwagę na art. 18 ust. 1 akapit drugi </w:t>
      </w:r>
      <w:r w:rsidR="00AB1E22">
        <w:rPr>
          <w:rFonts w:asciiTheme="minorHAnsi" w:hAnsiTheme="minorHAnsi" w:cstheme="minorHAnsi"/>
          <w:i/>
          <w:color w:val="auto"/>
        </w:rPr>
        <w:t>d</w:t>
      </w:r>
      <w:r w:rsidR="00AB1E22" w:rsidRPr="00AB1E22">
        <w:rPr>
          <w:rFonts w:asciiTheme="minorHAnsi" w:hAnsiTheme="minorHAnsi" w:cstheme="minorHAnsi"/>
          <w:i/>
          <w:color w:val="auto"/>
        </w:rPr>
        <w:t>yrektyw</w:t>
      </w:r>
      <w:r w:rsidR="00AB1E22">
        <w:rPr>
          <w:rFonts w:asciiTheme="minorHAnsi" w:hAnsiTheme="minorHAnsi" w:cstheme="minorHAnsi"/>
          <w:i/>
          <w:color w:val="auto"/>
        </w:rPr>
        <w:t>y</w:t>
      </w:r>
      <w:r w:rsidR="00AB1E22" w:rsidRPr="00AB1E22">
        <w:rPr>
          <w:rFonts w:asciiTheme="minorHAnsi" w:hAnsiTheme="minorHAnsi" w:cstheme="minorHAnsi"/>
          <w:i/>
          <w:color w:val="auto"/>
        </w:rPr>
        <w:t xml:space="preserve"> Parlamentu Europejskiego i Rady 2014/24/UE z dnia 26 lutego 2014 r. w sprawie zamówień publicznych</w:t>
      </w:r>
      <w:r w:rsidR="00B54C2B" w:rsidRPr="00E36515">
        <w:rPr>
          <w:rFonts w:asciiTheme="minorHAnsi" w:hAnsiTheme="minorHAnsi" w:cstheme="minorHAnsi"/>
          <w:color w:val="auto"/>
        </w:rPr>
        <w:t>, zgodnie z którym zamówień nie organizuje się w sposób mający na celu wyłączenie zamówienia z</w:t>
      </w:r>
      <w:r w:rsidR="00AB1E22">
        <w:rPr>
          <w:rFonts w:asciiTheme="minorHAnsi" w:hAnsiTheme="minorHAnsi" w:cstheme="minorHAnsi"/>
          <w:color w:val="auto"/>
        </w:rPr>
        <w:t> </w:t>
      </w:r>
      <w:r w:rsidR="00B54C2B" w:rsidRPr="00E36515">
        <w:rPr>
          <w:rFonts w:asciiTheme="minorHAnsi" w:hAnsiTheme="minorHAnsi" w:cstheme="minorHAnsi"/>
          <w:color w:val="auto"/>
        </w:rPr>
        <w:t xml:space="preserve">zakresu zastosowania </w:t>
      </w:r>
      <w:r>
        <w:rPr>
          <w:rFonts w:asciiTheme="minorHAnsi" w:hAnsiTheme="minorHAnsi" w:cstheme="minorHAnsi"/>
          <w:color w:val="auto"/>
        </w:rPr>
        <w:t xml:space="preserve">tej </w:t>
      </w:r>
      <w:r w:rsidR="00B54C2B" w:rsidRPr="00E36515">
        <w:rPr>
          <w:rFonts w:asciiTheme="minorHAnsi" w:hAnsiTheme="minorHAnsi" w:cstheme="minorHAnsi"/>
          <w:color w:val="auto"/>
        </w:rPr>
        <w:t>dyrektywy lub sztuczne zawężanie konkurencji. Uznaje się, że</w:t>
      </w:r>
      <w:r w:rsidR="00AB1E22">
        <w:rPr>
          <w:rFonts w:asciiTheme="minorHAnsi" w:hAnsiTheme="minorHAnsi" w:cstheme="minorHAnsi"/>
          <w:color w:val="auto"/>
        </w:rPr>
        <w:t> </w:t>
      </w:r>
      <w:r w:rsidR="00B54C2B" w:rsidRPr="00E36515">
        <w:rPr>
          <w:rFonts w:asciiTheme="minorHAnsi" w:hAnsiTheme="minorHAnsi" w:cstheme="minorHAnsi"/>
          <w:color w:val="auto"/>
        </w:rPr>
        <w:t>konkurencja została sztucznie zawężona, gdy zamówienie zostaje zorganizowane z zamiarem nieuzasadnionego działania na korzyść lub niekorzyść niektórych wykonawców.</w:t>
      </w:r>
    </w:p>
    <w:p w14:paraId="3F9CDE1B" w14:textId="0842CDE9" w:rsidR="00D519D9" w:rsidRPr="00E36515" w:rsidRDefault="00D519D9" w:rsidP="00AB1E22">
      <w:pPr>
        <w:spacing w:after="120"/>
        <w:ind w:left="284"/>
        <w:jc w:val="both"/>
        <w:rPr>
          <w:color w:val="auto"/>
        </w:rPr>
      </w:pPr>
      <w:r w:rsidRPr="00E36515">
        <w:rPr>
          <w:rFonts w:asciiTheme="minorHAnsi" w:hAnsiTheme="minorHAnsi" w:cstheme="minorHAnsi"/>
          <w:color w:val="auto"/>
        </w:rPr>
        <w:t xml:space="preserve">Dyrektywa </w:t>
      </w:r>
      <w:r w:rsidRPr="00E36515">
        <w:rPr>
          <w:color w:val="auto"/>
        </w:rPr>
        <w:t>nie przewiduje natomiast bezwarunkowego wyłączenia stosowania jej przepisów w</w:t>
      </w:r>
      <w:r w:rsidR="00AB1E22">
        <w:rPr>
          <w:color w:val="auto"/>
        </w:rPr>
        <w:t> </w:t>
      </w:r>
      <w:r w:rsidRPr="00E36515">
        <w:rPr>
          <w:color w:val="auto"/>
        </w:rPr>
        <w:t xml:space="preserve">przypadkach, w których wykonawcą miałaby być organizacja międzynarodowa. Zgodnie z art. 9 ust. 1 dyrektywy 2014/24/UE nie ma ona zastosowania do zamówień publicznych, których instytucja zamawiająca ma obowiązek udzielić, ani do konkursów, które ma obowiązek zorganizować, zgodnie z procedurami udzielania zamówień innymi niż określone w </w:t>
      </w:r>
      <w:r w:rsidR="00312796">
        <w:rPr>
          <w:color w:val="auto"/>
        </w:rPr>
        <w:t>tej</w:t>
      </w:r>
      <w:r w:rsidR="00312796" w:rsidRPr="00E36515">
        <w:rPr>
          <w:color w:val="auto"/>
        </w:rPr>
        <w:t xml:space="preserve"> </w:t>
      </w:r>
      <w:r w:rsidRPr="00E36515">
        <w:rPr>
          <w:color w:val="auto"/>
        </w:rPr>
        <w:t>dyrektywie, określonymi  przez organizację międzynarodową. Zgodnie zaś z art. 9 ust. 2 dyrektywy, nie ma ona zastosowania do zamówień publicznych i konkursów udzielanych lub organizowanych przez</w:t>
      </w:r>
      <w:r w:rsidR="00AB1E22">
        <w:rPr>
          <w:color w:val="auto"/>
        </w:rPr>
        <w:t> </w:t>
      </w:r>
      <w:r w:rsidRPr="00E36515">
        <w:rPr>
          <w:color w:val="auto"/>
        </w:rPr>
        <w:t>instytucję zamawiającą zgodnie z przepisami dotyczącymi zamówień określonymi przez</w:t>
      </w:r>
      <w:r w:rsidR="00AB1E22">
        <w:rPr>
          <w:color w:val="auto"/>
        </w:rPr>
        <w:t> </w:t>
      </w:r>
      <w:r w:rsidRPr="00E36515">
        <w:rPr>
          <w:color w:val="auto"/>
        </w:rPr>
        <w:t>organizację międzynarodową lub międzynarodową instytucję finansującą, gdy przedmiotowe zamówienia publiczne i konkursy są w całości finansowane przez tę organizację lub instytucję; w</w:t>
      </w:r>
      <w:r w:rsidR="00AB1E22">
        <w:rPr>
          <w:color w:val="auto"/>
        </w:rPr>
        <w:t> </w:t>
      </w:r>
      <w:r w:rsidRPr="00E36515">
        <w:rPr>
          <w:color w:val="auto"/>
        </w:rPr>
        <w:t>przypadku zamówień publicznych i konkursów współfinansowanych w przeważającej części przez organizację międzynarodową lub międzynarodową instytucję finansującą strony uzgadniają mające zastosowanie procedury udzielania zamówień.</w:t>
      </w:r>
      <w:r w:rsidR="00AB1E22">
        <w:rPr>
          <w:color w:val="auto"/>
        </w:rPr>
        <w:t xml:space="preserve"> </w:t>
      </w:r>
      <w:r w:rsidRPr="00E36515">
        <w:rPr>
          <w:rFonts w:asciiTheme="minorHAnsi" w:hAnsiTheme="minorHAnsi" w:cstheme="minorHAnsi"/>
          <w:color w:val="auto"/>
        </w:rPr>
        <w:t xml:space="preserve">W </w:t>
      </w:r>
      <w:r w:rsidRPr="00E36515">
        <w:rPr>
          <w:color w:val="auto"/>
        </w:rPr>
        <w:t>obu wskazanych przypadkach do</w:t>
      </w:r>
      <w:r w:rsidR="00AB1E22">
        <w:rPr>
          <w:color w:val="auto"/>
        </w:rPr>
        <w:t> </w:t>
      </w:r>
      <w:r w:rsidRPr="00E36515">
        <w:rPr>
          <w:color w:val="auto"/>
        </w:rPr>
        <w:t>skorzystania z wyłączenia ze stosowania dyrektywy niezbędne jest</w:t>
      </w:r>
      <w:r w:rsidR="00312796">
        <w:rPr>
          <w:color w:val="auto"/>
        </w:rPr>
        <w:t>,</w:t>
      </w:r>
      <w:r w:rsidRPr="00E36515">
        <w:rPr>
          <w:color w:val="auto"/>
        </w:rPr>
        <w:t xml:space="preserve"> by zamówienie udzielane było na podstawie konkretnych procedur określonych przez organizację międzynarodową. Projektowany przepis nie wprowadza jednak analogicznego warunku.</w:t>
      </w:r>
    </w:p>
    <w:p w14:paraId="55519CBF" w14:textId="683A46FE" w:rsidR="00D519D9" w:rsidRPr="002C32D6" w:rsidRDefault="00312796" w:rsidP="00721BFC">
      <w:pPr>
        <w:ind w:left="284"/>
        <w:contextualSpacing/>
        <w:jc w:val="both"/>
        <w:rPr>
          <w:color w:val="auto"/>
        </w:rPr>
      </w:pPr>
      <w:r>
        <w:rPr>
          <w:color w:val="auto"/>
        </w:rPr>
        <w:t>M</w:t>
      </w:r>
      <w:r w:rsidR="00D519D9" w:rsidRPr="002C32D6">
        <w:rPr>
          <w:color w:val="auto"/>
        </w:rPr>
        <w:t>ając</w:t>
      </w:r>
      <w:r>
        <w:rPr>
          <w:color w:val="auto"/>
        </w:rPr>
        <w:t xml:space="preserve"> </w:t>
      </w:r>
      <w:r w:rsidR="00D519D9" w:rsidRPr="002C32D6">
        <w:rPr>
          <w:color w:val="auto"/>
        </w:rPr>
        <w:t>na uwadze niedostatecznie jasny charakter projektowanego przepisu oraz brak wyjaśnienia w uzasadnieniu jego celu</w:t>
      </w:r>
      <w:r w:rsidR="00AB1E22">
        <w:rPr>
          <w:color w:val="auto"/>
        </w:rPr>
        <w:t>,</w:t>
      </w:r>
      <w:r w:rsidR="00D519D9" w:rsidRPr="002C32D6">
        <w:rPr>
          <w:color w:val="auto"/>
        </w:rPr>
        <w:t xml:space="preserve"> niezbędne jest odniesienie się przez projektodawcę do wskazanych wyżej wątpliwości.   </w:t>
      </w:r>
    </w:p>
    <w:p w14:paraId="36F71C29" w14:textId="77777777" w:rsidR="0083238B" w:rsidRDefault="0083238B" w:rsidP="00721BFC">
      <w:pPr>
        <w:ind w:left="284"/>
        <w:contextualSpacing/>
        <w:jc w:val="both"/>
        <w:rPr>
          <w:rFonts w:asciiTheme="minorHAnsi" w:hAnsiTheme="minorHAnsi" w:cstheme="minorHAnsi"/>
          <w:color w:val="auto"/>
        </w:rPr>
      </w:pPr>
    </w:p>
    <w:p w14:paraId="3F6E54B8" w14:textId="4F47F184" w:rsidR="00B9144F" w:rsidRPr="000B1E0A" w:rsidRDefault="00B9144F" w:rsidP="00F957C3">
      <w:pPr>
        <w:spacing w:after="0" w:line="276" w:lineRule="auto"/>
        <w:ind w:left="-142"/>
        <w:jc w:val="both"/>
        <w:rPr>
          <w:rFonts w:asciiTheme="minorHAnsi" w:eastAsia="Times New Roman" w:hAnsiTheme="minorHAnsi" w:cstheme="minorHAnsi"/>
          <w:b/>
          <w:color w:val="auto"/>
        </w:rPr>
      </w:pPr>
      <w:r w:rsidRPr="000B1E0A">
        <w:rPr>
          <w:rFonts w:asciiTheme="minorHAnsi" w:eastAsia="Times New Roman" w:hAnsiTheme="minorHAnsi" w:cstheme="minorHAnsi"/>
          <w:b/>
          <w:color w:val="auto"/>
        </w:rPr>
        <w:t>Projekt</w:t>
      </w:r>
      <w:r w:rsidR="00825CA7" w:rsidRPr="000B1E0A">
        <w:rPr>
          <w:rFonts w:asciiTheme="minorHAnsi" w:eastAsia="Times New Roman" w:hAnsiTheme="minorHAnsi" w:cstheme="minorHAnsi"/>
          <w:b/>
          <w:color w:val="auto"/>
        </w:rPr>
        <w:t xml:space="preserve"> </w:t>
      </w:r>
      <w:r w:rsidR="000312A8" w:rsidRPr="000B1E0A">
        <w:rPr>
          <w:rFonts w:asciiTheme="minorHAnsi" w:eastAsia="Times New Roman" w:hAnsiTheme="minorHAnsi" w:cstheme="minorHAnsi"/>
          <w:b/>
          <w:color w:val="auto"/>
        </w:rPr>
        <w:t xml:space="preserve">ustawy </w:t>
      </w:r>
      <w:r w:rsidR="000D134F">
        <w:rPr>
          <w:rFonts w:asciiTheme="minorHAnsi" w:eastAsia="Times New Roman" w:hAnsiTheme="minorHAnsi" w:cstheme="minorHAnsi"/>
          <w:b/>
          <w:color w:val="auto"/>
        </w:rPr>
        <w:t>jest zgodny</w:t>
      </w:r>
      <w:r w:rsidR="000312A8" w:rsidRPr="000B1E0A">
        <w:rPr>
          <w:rFonts w:asciiTheme="minorHAnsi" w:eastAsia="Times New Roman" w:hAnsiTheme="minorHAnsi" w:cstheme="minorHAnsi"/>
          <w:b/>
          <w:color w:val="auto"/>
        </w:rPr>
        <w:t xml:space="preserve"> z </w:t>
      </w:r>
      <w:r w:rsidR="00FF7405" w:rsidRPr="000B1E0A">
        <w:rPr>
          <w:rFonts w:asciiTheme="minorHAnsi" w:eastAsia="Times New Roman" w:hAnsiTheme="minorHAnsi" w:cstheme="minorHAnsi"/>
          <w:b/>
          <w:color w:val="auto"/>
        </w:rPr>
        <w:t>prawem</w:t>
      </w:r>
      <w:r w:rsidR="000312A8" w:rsidRPr="000B1E0A">
        <w:rPr>
          <w:rFonts w:asciiTheme="minorHAnsi" w:eastAsia="Times New Roman" w:hAnsiTheme="minorHAnsi" w:cstheme="minorHAnsi"/>
          <w:b/>
          <w:color w:val="auto"/>
        </w:rPr>
        <w:t xml:space="preserve"> Unii Europejskiej, z zastrzeżeniem uwag</w:t>
      </w:r>
      <w:r w:rsidR="001F0F0C" w:rsidRPr="000B1E0A">
        <w:rPr>
          <w:rFonts w:asciiTheme="minorHAnsi" w:eastAsia="Times New Roman" w:hAnsiTheme="minorHAnsi" w:cstheme="minorHAnsi"/>
          <w:b/>
          <w:color w:val="auto"/>
        </w:rPr>
        <w:t xml:space="preserve"> zawart</w:t>
      </w:r>
      <w:r w:rsidR="00D70E26" w:rsidRPr="000B1E0A">
        <w:rPr>
          <w:rFonts w:asciiTheme="minorHAnsi" w:eastAsia="Times New Roman" w:hAnsiTheme="minorHAnsi" w:cstheme="minorHAnsi"/>
          <w:b/>
          <w:color w:val="auto"/>
        </w:rPr>
        <w:t>ych</w:t>
      </w:r>
      <w:r w:rsidR="001F0F0C" w:rsidRPr="000B1E0A">
        <w:rPr>
          <w:rFonts w:asciiTheme="minorHAnsi" w:eastAsia="Times New Roman" w:hAnsiTheme="minorHAnsi" w:cstheme="minorHAnsi"/>
          <w:b/>
          <w:color w:val="auto"/>
        </w:rPr>
        <w:t xml:space="preserve"> </w:t>
      </w:r>
      <w:r w:rsidR="000B16EE" w:rsidRPr="000B1E0A">
        <w:rPr>
          <w:rFonts w:asciiTheme="minorHAnsi" w:eastAsia="Times New Roman" w:hAnsiTheme="minorHAnsi" w:cstheme="minorHAnsi"/>
          <w:b/>
          <w:color w:val="auto"/>
        </w:rPr>
        <w:t>w </w:t>
      </w:r>
      <w:r w:rsidR="000312A8" w:rsidRPr="000B1E0A">
        <w:rPr>
          <w:rFonts w:asciiTheme="minorHAnsi" w:eastAsia="Times New Roman" w:hAnsiTheme="minorHAnsi" w:cstheme="minorHAnsi"/>
          <w:b/>
          <w:color w:val="auto"/>
        </w:rPr>
        <w:t>niniejszej opinii.</w:t>
      </w:r>
    </w:p>
    <w:p w14:paraId="06B4E2FA" w14:textId="77777777" w:rsidR="00102D39" w:rsidRPr="000B1E0A" w:rsidRDefault="00102D39" w:rsidP="00F957C3">
      <w:pPr>
        <w:spacing w:after="0" w:line="276" w:lineRule="auto"/>
        <w:ind w:left="-142"/>
        <w:jc w:val="both"/>
        <w:rPr>
          <w:rFonts w:asciiTheme="minorHAnsi" w:eastAsia="Times New Roman" w:hAnsiTheme="minorHAnsi" w:cstheme="minorHAnsi"/>
          <w:b/>
          <w:color w:val="auto"/>
        </w:rPr>
      </w:pPr>
    </w:p>
    <w:p w14:paraId="647432E9" w14:textId="7DA34C74" w:rsidR="0028250A" w:rsidRDefault="0028250A" w:rsidP="000D134F">
      <w:pPr>
        <w:spacing w:after="120" w:line="276" w:lineRule="auto"/>
        <w:ind w:left="-142"/>
        <w:jc w:val="both"/>
        <w:rPr>
          <w:rFonts w:asciiTheme="minorHAnsi" w:hAnsiTheme="minorHAnsi" w:cstheme="minorHAnsi"/>
        </w:rPr>
      </w:pPr>
      <w:r w:rsidRPr="000B1E0A">
        <w:rPr>
          <w:rFonts w:asciiTheme="minorHAnsi" w:hAnsiTheme="minorHAnsi" w:cstheme="minorHAnsi"/>
        </w:rPr>
        <w:lastRenderedPageBreak/>
        <w:t>Zwracam</w:t>
      </w:r>
      <w:r w:rsidR="00102D39" w:rsidRPr="000B1E0A">
        <w:rPr>
          <w:rFonts w:asciiTheme="minorHAnsi" w:hAnsiTheme="minorHAnsi" w:cstheme="minorHAnsi"/>
        </w:rPr>
        <w:t xml:space="preserve"> jednocześnie </w:t>
      </w:r>
      <w:r w:rsidRPr="000B1E0A">
        <w:rPr>
          <w:rFonts w:asciiTheme="minorHAnsi" w:hAnsiTheme="minorHAnsi" w:cstheme="minorHAnsi"/>
        </w:rPr>
        <w:t xml:space="preserve"> uwagę, że zgodnie z § 19a ust. 2 rozporządzenia Prezesa Rady Ministrów w</w:t>
      </w:r>
      <w:r w:rsidR="000D134F">
        <w:rPr>
          <w:rFonts w:asciiTheme="minorHAnsi" w:hAnsiTheme="minorHAnsi" w:cstheme="minorHAnsi"/>
        </w:rPr>
        <w:t> </w:t>
      </w:r>
      <w:r w:rsidRPr="000B1E0A">
        <w:rPr>
          <w:rFonts w:asciiTheme="minorHAnsi" w:hAnsiTheme="minorHAnsi" w:cstheme="minorHAnsi"/>
        </w:rPr>
        <w:t>sprawie „Zasad techniki prawodawczej” przy tytule ustawy należy zamieścić odnośnik informujący o</w:t>
      </w:r>
      <w:r w:rsidR="000D134F">
        <w:rPr>
          <w:rFonts w:asciiTheme="minorHAnsi" w:hAnsiTheme="minorHAnsi" w:cstheme="minorHAnsi"/>
        </w:rPr>
        <w:t> </w:t>
      </w:r>
      <w:r w:rsidRPr="000B1E0A">
        <w:rPr>
          <w:rFonts w:asciiTheme="minorHAnsi" w:hAnsiTheme="minorHAnsi" w:cstheme="minorHAnsi"/>
        </w:rPr>
        <w:t xml:space="preserve">ustanowionym przez instytucję Unii Europejskiej, dającym się bezpośrednio stosować akcie normatywnym, z którym ta ustawa jest związana. </w:t>
      </w:r>
    </w:p>
    <w:p w14:paraId="58D20749" w14:textId="09863875" w:rsidR="00A94CB9" w:rsidRDefault="00320E8D" w:rsidP="000D134F">
      <w:pPr>
        <w:spacing w:after="120" w:line="276" w:lineRule="auto"/>
        <w:ind w:left="-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Pragnę ponadto zauważyć, że z analizy załączonej do projektu odwróconej tabeli zgodności wynika, że</w:t>
      </w:r>
      <w:r w:rsidR="000D134F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 xml:space="preserve">zostały w niej zamieszczone uregulowania odnoszące się m.in. do transpozycji </w:t>
      </w:r>
      <w:r w:rsidR="001910A9" w:rsidRPr="000B1E0A">
        <w:rPr>
          <w:rFonts w:asciiTheme="minorHAnsi" w:hAnsiTheme="minorHAnsi" w:cstheme="minorHAnsi"/>
          <w:bCs/>
          <w:i/>
        </w:rPr>
        <w:t>dyrektywy Parlamentu Europejskiego i Rady 2008/115/WE z dnia 16 grudnia 2008 r. w sprawie wspólnych norm i procedur stosowanych przez państwa członkowskie w odniesieniu do powrotów nielegalnie przebywających obywateli państw trzecich</w:t>
      </w:r>
      <w:r w:rsidR="001910A9">
        <w:rPr>
          <w:rFonts w:asciiTheme="minorHAnsi" w:hAnsiTheme="minorHAnsi" w:cstheme="minorHAnsi"/>
          <w:bCs/>
          <w:i/>
        </w:rPr>
        <w:t xml:space="preserve"> </w:t>
      </w:r>
      <w:r>
        <w:rPr>
          <w:rFonts w:asciiTheme="minorHAnsi" w:hAnsiTheme="minorHAnsi" w:cstheme="minorHAnsi"/>
        </w:rPr>
        <w:t xml:space="preserve">i </w:t>
      </w:r>
      <w:r w:rsidRPr="001910A9">
        <w:rPr>
          <w:rFonts w:asciiTheme="minorHAnsi" w:hAnsiTheme="minorHAnsi" w:cstheme="minorHAnsi"/>
          <w:i/>
        </w:rPr>
        <w:t xml:space="preserve">dyrektywy </w:t>
      </w:r>
      <w:r w:rsidRPr="00320E8D">
        <w:rPr>
          <w:rFonts w:asciiTheme="minorHAnsi" w:eastAsia="Times New Roman" w:hAnsiTheme="minorHAnsi" w:cstheme="minorHAnsi"/>
          <w:i/>
          <w:color w:val="auto"/>
        </w:rPr>
        <w:t>Parlamentu Europejskiego i Rady 2013/33/UE z dnia 26 czerwca 2013 r. w sprawie ustanowienia norm dotyczących przyjmowania wnioskodawców ubiegając</w:t>
      </w:r>
      <w:r w:rsidR="001910A9">
        <w:rPr>
          <w:rFonts w:asciiTheme="minorHAnsi" w:eastAsia="Times New Roman" w:hAnsiTheme="minorHAnsi" w:cstheme="minorHAnsi"/>
          <w:i/>
          <w:color w:val="auto"/>
        </w:rPr>
        <w:t>ych się</w:t>
      </w:r>
      <w:r w:rsidR="000D134F">
        <w:rPr>
          <w:rFonts w:asciiTheme="minorHAnsi" w:eastAsia="Times New Roman" w:hAnsiTheme="minorHAnsi" w:cstheme="minorHAnsi"/>
          <w:i/>
          <w:color w:val="auto"/>
        </w:rPr>
        <w:t> </w:t>
      </w:r>
      <w:r w:rsidR="001910A9">
        <w:rPr>
          <w:rFonts w:asciiTheme="minorHAnsi" w:eastAsia="Times New Roman" w:hAnsiTheme="minorHAnsi" w:cstheme="minorHAnsi"/>
          <w:i/>
          <w:color w:val="auto"/>
        </w:rPr>
        <w:t>o</w:t>
      </w:r>
      <w:r w:rsidR="000D134F">
        <w:rPr>
          <w:rFonts w:asciiTheme="minorHAnsi" w:eastAsia="Times New Roman" w:hAnsiTheme="minorHAnsi" w:cstheme="minorHAnsi"/>
          <w:i/>
          <w:color w:val="auto"/>
        </w:rPr>
        <w:t> </w:t>
      </w:r>
      <w:r w:rsidR="001910A9">
        <w:rPr>
          <w:rFonts w:asciiTheme="minorHAnsi" w:eastAsia="Times New Roman" w:hAnsiTheme="minorHAnsi" w:cstheme="minorHAnsi"/>
          <w:i/>
          <w:color w:val="auto"/>
        </w:rPr>
        <w:t>ochronę międzynarodową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 w:rsidRPr="001910A9">
        <w:rPr>
          <w:rFonts w:asciiTheme="minorHAnsi" w:eastAsia="Times New Roman" w:hAnsiTheme="minorHAnsi" w:cstheme="minorHAnsi"/>
          <w:color w:val="auto"/>
        </w:rPr>
        <w:t xml:space="preserve">oraz zapewnienia stosowania </w:t>
      </w:r>
      <w:r w:rsidRPr="001910A9">
        <w:rPr>
          <w:rFonts w:asciiTheme="minorHAnsi" w:hAnsiTheme="minorHAnsi" w:cstheme="minorHAnsi"/>
          <w:i/>
        </w:rPr>
        <w:t>rozporządzenia (WE) 1987/2006 Parlamentu Europejskiego i Rady z dnia 20 grudnia 2006 r. w sprawie utworzenia funkcjonowania i</w:t>
      </w:r>
      <w:r w:rsidR="000D134F">
        <w:rPr>
          <w:rFonts w:asciiTheme="minorHAnsi" w:hAnsiTheme="minorHAnsi" w:cstheme="minorHAnsi"/>
          <w:i/>
        </w:rPr>
        <w:t> </w:t>
      </w:r>
      <w:r w:rsidRPr="001910A9">
        <w:rPr>
          <w:rFonts w:asciiTheme="minorHAnsi" w:hAnsiTheme="minorHAnsi" w:cstheme="minorHAnsi"/>
          <w:i/>
        </w:rPr>
        <w:t>użytkowania Systemu Informacyjnego Schengen drugiej generacji (SIS II)</w:t>
      </w:r>
      <w:r w:rsidR="001910A9">
        <w:rPr>
          <w:rFonts w:asciiTheme="minorHAnsi" w:hAnsiTheme="minorHAnsi" w:cstheme="minorHAnsi"/>
          <w:i/>
        </w:rPr>
        <w:t xml:space="preserve">, </w:t>
      </w:r>
      <w:r w:rsidR="001910A9" w:rsidRPr="001910A9">
        <w:rPr>
          <w:rFonts w:asciiTheme="minorHAnsi" w:hAnsiTheme="minorHAnsi" w:cstheme="minorHAnsi"/>
          <w:bCs/>
          <w:i/>
        </w:rPr>
        <w:t>rozporządzenia (WE) nr</w:t>
      </w:r>
      <w:r w:rsidR="000D134F">
        <w:rPr>
          <w:rFonts w:asciiTheme="minorHAnsi" w:hAnsiTheme="minorHAnsi" w:cstheme="minorHAnsi"/>
          <w:bCs/>
          <w:i/>
        </w:rPr>
        <w:t> </w:t>
      </w:r>
      <w:r w:rsidR="001910A9" w:rsidRPr="001910A9">
        <w:rPr>
          <w:rFonts w:asciiTheme="minorHAnsi" w:hAnsiTheme="minorHAnsi" w:cstheme="minorHAnsi"/>
          <w:bCs/>
          <w:i/>
        </w:rPr>
        <w:t>1931/2006 Parlamentu Europejskiego i Rady z dnia 20 grudnia 2006 r. ustanawiając</w:t>
      </w:r>
      <w:r w:rsidR="00F553D7">
        <w:rPr>
          <w:rFonts w:asciiTheme="minorHAnsi" w:hAnsiTheme="minorHAnsi" w:cstheme="minorHAnsi"/>
          <w:bCs/>
          <w:i/>
        </w:rPr>
        <w:t>ego</w:t>
      </w:r>
      <w:r w:rsidR="001910A9" w:rsidRPr="001910A9">
        <w:rPr>
          <w:rFonts w:asciiTheme="minorHAnsi" w:hAnsiTheme="minorHAnsi" w:cstheme="minorHAnsi"/>
          <w:bCs/>
          <w:i/>
        </w:rPr>
        <w:t xml:space="preserve"> przepisy dotyczące małego ruchu granicznego na zewnętrznych granicach lądowych państw członkowskich i</w:t>
      </w:r>
      <w:r w:rsidR="000D134F">
        <w:rPr>
          <w:rFonts w:asciiTheme="minorHAnsi" w:hAnsiTheme="minorHAnsi" w:cstheme="minorHAnsi"/>
          <w:bCs/>
          <w:i/>
        </w:rPr>
        <w:t> </w:t>
      </w:r>
      <w:r w:rsidR="001910A9" w:rsidRPr="001910A9">
        <w:rPr>
          <w:rFonts w:asciiTheme="minorHAnsi" w:hAnsiTheme="minorHAnsi" w:cstheme="minorHAnsi"/>
          <w:bCs/>
          <w:i/>
        </w:rPr>
        <w:t>zmieniając</w:t>
      </w:r>
      <w:r w:rsidR="00F553D7">
        <w:rPr>
          <w:rFonts w:asciiTheme="minorHAnsi" w:hAnsiTheme="minorHAnsi" w:cstheme="minorHAnsi"/>
          <w:bCs/>
          <w:i/>
        </w:rPr>
        <w:t>ego</w:t>
      </w:r>
      <w:r w:rsidR="001910A9" w:rsidRPr="001910A9">
        <w:rPr>
          <w:rFonts w:asciiTheme="minorHAnsi" w:hAnsiTheme="minorHAnsi" w:cstheme="minorHAnsi"/>
          <w:bCs/>
          <w:i/>
        </w:rPr>
        <w:t xml:space="preserve"> postanowienia Konwencji z Schengen</w:t>
      </w:r>
      <w:r w:rsidR="001910A9" w:rsidRPr="001910A9">
        <w:rPr>
          <w:rFonts w:asciiTheme="minorHAnsi" w:hAnsiTheme="minorHAnsi" w:cstheme="minorHAnsi"/>
        </w:rPr>
        <w:t>,</w:t>
      </w:r>
      <w:r w:rsidR="001910A9">
        <w:rPr>
          <w:rFonts w:asciiTheme="minorHAnsi" w:hAnsiTheme="minorHAnsi" w:cstheme="minorHAnsi"/>
        </w:rPr>
        <w:t xml:space="preserve"> </w:t>
      </w:r>
      <w:r w:rsidR="00A94CB9" w:rsidRPr="00A94CB9">
        <w:rPr>
          <w:rFonts w:asciiTheme="minorHAnsi" w:hAnsiTheme="minorHAnsi" w:cstheme="minorHAnsi"/>
          <w:i/>
        </w:rPr>
        <w:t>rozporządzenia Parlamentu Europejskiego i Rady (UE)</w:t>
      </w:r>
      <w:r w:rsidR="00A94CB9" w:rsidRPr="00A94CB9">
        <w:rPr>
          <w:rFonts w:ascii="Times New Roman" w:hAnsi="Times New Roman" w:cs="Times New Roman"/>
          <w:b/>
          <w:i/>
        </w:rPr>
        <w:t xml:space="preserve"> </w:t>
      </w:r>
      <w:r w:rsidR="00A94CB9" w:rsidRPr="00A94CB9">
        <w:rPr>
          <w:rFonts w:asciiTheme="minorHAnsi" w:hAnsiTheme="minorHAnsi" w:cstheme="minorHAnsi"/>
          <w:i/>
        </w:rPr>
        <w:t>2016/1953 z dnia 26 października 2016 r. w sprawie ustanowienia europejskiego dokumentu podróży do celów powrotu nielegalnie przebywających obywateli państw trzecich oraz uchylające</w:t>
      </w:r>
      <w:r w:rsidR="00F553D7">
        <w:rPr>
          <w:rFonts w:asciiTheme="minorHAnsi" w:hAnsiTheme="minorHAnsi" w:cstheme="minorHAnsi"/>
          <w:i/>
        </w:rPr>
        <w:t>go</w:t>
      </w:r>
      <w:r w:rsidR="00A94CB9" w:rsidRPr="00A94CB9">
        <w:rPr>
          <w:rFonts w:asciiTheme="minorHAnsi" w:hAnsiTheme="minorHAnsi" w:cstheme="minorHAnsi"/>
          <w:i/>
        </w:rPr>
        <w:t xml:space="preserve"> zalecenie Rady z dnia 30 listopada 1994 r.</w:t>
      </w:r>
      <w:r w:rsidR="00A94CB9">
        <w:rPr>
          <w:rFonts w:asciiTheme="minorHAnsi" w:hAnsiTheme="minorHAnsi" w:cstheme="minorHAnsi"/>
          <w:i/>
        </w:rPr>
        <w:t xml:space="preserve">, </w:t>
      </w:r>
      <w:r w:rsidR="00A94CB9" w:rsidRPr="00A94CB9">
        <w:rPr>
          <w:rFonts w:asciiTheme="minorHAnsi" w:hAnsiTheme="minorHAnsi" w:cstheme="minorHAnsi"/>
          <w:i/>
        </w:rPr>
        <w:t>Umowy o Wystąpieniu Zjednoczonego Królestwa Wielkiej Brytanii i Irlandii Północnej z Unii Europejskiej i Europejskiej Wspólnoty Energii Atomowej</w:t>
      </w:r>
      <w:r w:rsidR="00A94CB9">
        <w:rPr>
          <w:rFonts w:asciiTheme="minorHAnsi" w:hAnsiTheme="minorHAnsi" w:cstheme="minorHAnsi"/>
          <w:i/>
        </w:rPr>
        <w:t xml:space="preserve"> </w:t>
      </w:r>
      <w:r w:rsidR="00A94CB9" w:rsidRPr="00A94CB9">
        <w:rPr>
          <w:rFonts w:asciiTheme="minorHAnsi" w:hAnsiTheme="minorHAnsi" w:cstheme="minorHAnsi"/>
        </w:rPr>
        <w:t>oraz</w:t>
      </w:r>
      <w:r w:rsidR="00A94CB9">
        <w:rPr>
          <w:rFonts w:asciiTheme="minorHAnsi" w:hAnsiTheme="minorHAnsi" w:cstheme="minorHAnsi"/>
          <w:i/>
        </w:rPr>
        <w:t xml:space="preserve"> </w:t>
      </w:r>
      <w:r w:rsidR="00A94CB9" w:rsidRPr="00A94CB9">
        <w:rPr>
          <w:rFonts w:asciiTheme="minorHAnsi" w:hAnsiTheme="minorHAnsi" w:cstheme="minorHAnsi"/>
          <w:bCs/>
          <w:i/>
        </w:rPr>
        <w:t xml:space="preserve">zalecenia </w:t>
      </w:r>
      <w:r w:rsidR="00A94CB9" w:rsidRPr="00A94CB9">
        <w:rPr>
          <w:rFonts w:asciiTheme="minorHAnsi" w:hAnsiTheme="minorHAnsi" w:cstheme="minorHAnsi"/>
          <w:i/>
        </w:rPr>
        <w:t>Komisji (UE) 2017/432 z dnia 7 marca 2017 r. w sprawie zapewnienia większej skuteczności powrotów przy wdrożeniu dyrektywy Parlamentu Europejskiego i Rady 2008/115/WE</w:t>
      </w:r>
      <w:r w:rsidR="000D134F">
        <w:rPr>
          <w:rFonts w:asciiTheme="minorHAnsi" w:hAnsiTheme="minorHAnsi" w:cstheme="minorHAnsi"/>
        </w:rPr>
        <w:t>.</w:t>
      </w:r>
    </w:p>
    <w:p w14:paraId="414D0C68" w14:textId="2C0B7850" w:rsidR="00E365E3" w:rsidRDefault="008F5C35" w:rsidP="00F957C3">
      <w:pPr>
        <w:spacing w:after="0" w:line="276" w:lineRule="auto"/>
        <w:ind w:left="-142"/>
        <w:jc w:val="both"/>
      </w:pPr>
      <w:r w:rsidRPr="001910A9">
        <w:t xml:space="preserve">W związku z </w:t>
      </w:r>
      <w:r w:rsidR="00E365E3">
        <w:t xml:space="preserve">tym proszę o ponowną analizę projektu </w:t>
      </w:r>
      <w:r w:rsidR="0007150E">
        <w:t xml:space="preserve">ustawy </w:t>
      </w:r>
      <w:r w:rsidR="00E365E3">
        <w:t xml:space="preserve">w powyższym zakresie oraz o opracowanie </w:t>
      </w:r>
      <w:r w:rsidR="00E365E3" w:rsidRPr="00E365E3">
        <w:t>tabel zbieżności</w:t>
      </w:r>
      <w:r w:rsidR="00E365E3">
        <w:t xml:space="preserve">, </w:t>
      </w:r>
      <w:r w:rsidR="00E365E3" w:rsidRPr="00E365E3">
        <w:t>zawierając</w:t>
      </w:r>
      <w:r w:rsidR="00E365E3">
        <w:t>ych</w:t>
      </w:r>
      <w:r w:rsidR="00E365E3" w:rsidRPr="00E365E3">
        <w:t xml:space="preserve"> zestawienie przepisów prawa UE i projektowanych przepisów prawa krajowego, wskazując</w:t>
      </w:r>
      <w:r w:rsidR="00E365E3">
        <w:t>ych</w:t>
      </w:r>
      <w:r w:rsidR="000D134F">
        <w:t>,</w:t>
      </w:r>
      <w:r w:rsidR="00E365E3" w:rsidRPr="00E365E3">
        <w:t xml:space="preserve"> w jaki sposób poszczególne przepisy aktu prawnego UE są wykonywane w</w:t>
      </w:r>
      <w:r w:rsidR="000D134F">
        <w:t> </w:t>
      </w:r>
      <w:r w:rsidR="00E365E3" w:rsidRPr="00E365E3">
        <w:t>krajowym porządku prawnym</w:t>
      </w:r>
      <w:r w:rsidR="00E365E3">
        <w:t xml:space="preserve">. </w:t>
      </w:r>
    </w:p>
    <w:p w14:paraId="38777723" w14:textId="77777777" w:rsidR="0028250A" w:rsidRPr="000B1E0A" w:rsidRDefault="0028250A" w:rsidP="00F957C3">
      <w:pPr>
        <w:spacing w:after="0" w:line="276" w:lineRule="auto"/>
        <w:ind w:left="-142"/>
        <w:jc w:val="both"/>
        <w:rPr>
          <w:rFonts w:asciiTheme="minorHAnsi" w:eastAsia="Times New Roman" w:hAnsiTheme="minorHAnsi" w:cstheme="minorHAnsi"/>
          <w:b/>
          <w:color w:val="auto"/>
        </w:rPr>
      </w:pPr>
    </w:p>
    <w:p w14:paraId="5A225D25" w14:textId="77777777" w:rsidR="00EB404A" w:rsidRPr="000B1E0A" w:rsidRDefault="00EB404A" w:rsidP="008562D5">
      <w:pPr>
        <w:pStyle w:val="Tekstpodstawowy"/>
        <w:spacing w:after="0" w:line="276" w:lineRule="auto"/>
        <w:ind w:left="-426" w:firstLine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35C2FB4" w14:textId="77777777" w:rsidR="00EB404A" w:rsidRPr="000B1E0A" w:rsidRDefault="00EB404A" w:rsidP="009B1ED8">
      <w:pPr>
        <w:ind w:left="4956" w:right="-1" w:firstLine="284"/>
        <w:jc w:val="both"/>
        <w:rPr>
          <w:rFonts w:asciiTheme="minorHAnsi" w:hAnsiTheme="minorHAnsi" w:cstheme="minorHAnsi"/>
          <w:i/>
        </w:rPr>
      </w:pPr>
      <w:r w:rsidRPr="000B1E0A">
        <w:rPr>
          <w:rFonts w:asciiTheme="minorHAnsi" w:hAnsiTheme="minorHAnsi" w:cstheme="minorHAnsi"/>
          <w:i/>
        </w:rPr>
        <w:t>Z poważaniem</w:t>
      </w:r>
    </w:p>
    <w:p w14:paraId="329EEF5F" w14:textId="77777777" w:rsidR="00804066" w:rsidRPr="000B1E0A" w:rsidRDefault="00804066" w:rsidP="00804066">
      <w:pPr>
        <w:spacing w:after="0" w:line="240" w:lineRule="auto"/>
        <w:ind w:left="2835"/>
        <w:jc w:val="center"/>
        <w:rPr>
          <w:rFonts w:asciiTheme="minorHAnsi" w:hAnsiTheme="minorHAnsi" w:cstheme="minorHAnsi"/>
          <w:lang w:eastAsia="en-US"/>
        </w:rPr>
      </w:pPr>
      <w:r w:rsidRPr="000B1E0A">
        <w:rPr>
          <w:rFonts w:asciiTheme="minorHAnsi" w:hAnsiTheme="minorHAnsi" w:cstheme="minorHAnsi"/>
          <w:lang w:eastAsia="en-US"/>
        </w:rPr>
        <w:t>Konrad Szymański</w:t>
      </w:r>
    </w:p>
    <w:p w14:paraId="1651E768" w14:textId="77777777" w:rsidR="00804066" w:rsidRPr="000B1E0A" w:rsidRDefault="00804066" w:rsidP="00804066">
      <w:pPr>
        <w:spacing w:after="0" w:line="240" w:lineRule="auto"/>
        <w:ind w:left="2835"/>
        <w:jc w:val="center"/>
        <w:rPr>
          <w:rFonts w:asciiTheme="minorHAnsi" w:hAnsiTheme="minorHAnsi" w:cstheme="minorHAnsi"/>
          <w:lang w:eastAsia="en-US"/>
        </w:rPr>
      </w:pPr>
      <w:r w:rsidRPr="000B1E0A">
        <w:rPr>
          <w:rFonts w:asciiTheme="minorHAnsi" w:hAnsiTheme="minorHAnsi" w:cstheme="minorHAnsi"/>
          <w:lang w:eastAsia="en-US"/>
        </w:rPr>
        <w:t>Minister do Spraw Unii Europejskiej</w:t>
      </w:r>
    </w:p>
    <w:p w14:paraId="5F2736BA" w14:textId="77777777" w:rsidR="00B9144F" w:rsidRPr="000B1E0A" w:rsidRDefault="00804066" w:rsidP="001545C3">
      <w:pPr>
        <w:spacing w:after="60" w:line="240" w:lineRule="auto"/>
        <w:ind w:left="3540"/>
        <w:rPr>
          <w:rFonts w:asciiTheme="minorHAnsi" w:hAnsiTheme="minorHAnsi" w:cstheme="minorHAnsi"/>
          <w:i/>
        </w:rPr>
      </w:pPr>
      <w:r w:rsidRPr="000B1E0A">
        <w:rPr>
          <w:rFonts w:asciiTheme="minorHAnsi" w:hAnsiTheme="minorHAnsi" w:cstheme="minorHAnsi"/>
          <w:i/>
          <w:lang w:eastAsia="en-US"/>
        </w:rPr>
        <w:t>/podpisano kwalifikowanym podpisem elektronicznym/</w:t>
      </w:r>
    </w:p>
    <w:sectPr w:rsidR="00B9144F" w:rsidRPr="000B1E0A">
      <w:headerReference w:type="default" r:id="rId9"/>
      <w:footerReference w:type="default" r:id="rId10"/>
      <w:pgSz w:w="11906" w:h="16838"/>
      <w:pgMar w:top="674" w:right="1440" w:bottom="907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6C711B" w14:textId="77777777" w:rsidR="00722B1B" w:rsidRDefault="00722B1B" w:rsidP="00884D92">
      <w:pPr>
        <w:spacing w:after="0" w:line="240" w:lineRule="auto"/>
      </w:pPr>
      <w:r>
        <w:separator/>
      </w:r>
    </w:p>
  </w:endnote>
  <w:endnote w:type="continuationSeparator" w:id="0">
    <w:p w14:paraId="577CCBA0" w14:textId="77777777" w:rsidR="00722B1B" w:rsidRDefault="00722B1B" w:rsidP="0088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8485630"/>
      <w:docPartObj>
        <w:docPartGallery w:val="Page Numbers (Bottom of Page)"/>
        <w:docPartUnique/>
      </w:docPartObj>
    </w:sdtPr>
    <w:sdtEndPr/>
    <w:sdtContent>
      <w:p w14:paraId="5316779D" w14:textId="697F389A" w:rsidR="00A30373" w:rsidRDefault="00A3037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2715">
          <w:rPr>
            <w:noProof/>
          </w:rPr>
          <w:t>9</w:t>
        </w:r>
        <w:r>
          <w:fldChar w:fldCharType="end"/>
        </w:r>
      </w:p>
    </w:sdtContent>
  </w:sdt>
  <w:p w14:paraId="1FF79150" w14:textId="77777777" w:rsidR="00A30373" w:rsidRDefault="00A303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1AFEA7" w14:textId="77777777" w:rsidR="00722B1B" w:rsidRDefault="00722B1B" w:rsidP="00884D92">
      <w:pPr>
        <w:spacing w:after="0" w:line="240" w:lineRule="auto"/>
      </w:pPr>
      <w:r>
        <w:separator/>
      </w:r>
    </w:p>
  </w:footnote>
  <w:footnote w:type="continuationSeparator" w:id="0">
    <w:p w14:paraId="33680D97" w14:textId="77777777" w:rsidR="00722B1B" w:rsidRDefault="00722B1B" w:rsidP="00884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1EBCD" w14:textId="77777777" w:rsidR="00ED1491" w:rsidRDefault="00ED1491" w:rsidP="00ED1491">
    <w:pPr>
      <w:pStyle w:val="Nagwek"/>
      <w:tabs>
        <w:tab w:val="clear" w:pos="4536"/>
        <w:tab w:val="center" w:pos="5670"/>
        <w:tab w:val="left" w:pos="7088"/>
      </w:tabs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5712D"/>
    <w:multiLevelType w:val="hybridMultilevel"/>
    <w:tmpl w:val="F8D2254E"/>
    <w:lvl w:ilvl="0" w:tplc="6E621D42">
      <w:start w:val="1"/>
      <w:numFmt w:val="decimal"/>
      <w:lvlText w:val="%1."/>
      <w:lvlJc w:val="left"/>
      <w:pPr>
        <w:ind w:left="21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16242001"/>
    <w:multiLevelType w:val="hybridMultilevel"/>
    <w:tmpl w:val="E44A8314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2D4B50B8"/>
    <w:multiLevelType w:val="hybridMultilevel"/>
    <w:tmpl w:val="0B74E68A"/>
    <w:lvl w:ilvl="0" w:tplc="85CC8BC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4232354B"/>
    <w:multiLevelType w:val="hybridMultilevel"/>
    <w:tmpl w:val="8352872C"/>
    <w:lvl w:ilvl="0" w:tplc="4C5AA72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4AB0100F"/>
    <w:multiLevelType w:val="hybridMultilevel"/>
    <w:tmpl w:val="75B41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6533A"/>
    <w:multiLevelType w:val="hybridMultilevel"/>
    <w:tmpl w:val="836E70CA"/>
    <w:lvl w:ilvl="0" w:tplc="FF3EB4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08A779F"/>
    <w:multiLevelType w:val="hybridMultilevel"/>
    <w:tmpl w:val="70363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51326C"/>
    <w:multiLevelType w:val="hybridMultilevel"/>
    <w:tmpl w:val="267A6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9B1B27"/>
    <w:multiLevelType w:val="hybridMultilevel"/>
    <w:tmpl w:val="2772C8F2"/>
    <w:lvl w:ilvl="0" w:tplc="198EB1B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5B4C3DEA"/>
    <w:multiLevelType w:val="hybridMultilevel"/>
    <w:tmpl w:val="A762E9F0"/>
    <w:lvl w:ilvl="0" w:tplc="582E6B9A">
      <w:start w:val="1"/>
      <w:numFmt w:val="decimal"/>
      <w:lvlText w:val="%1)"/>
      <w:lvlJc w:val="left"/>
      <w:pPr>
        <w:ind w:left="218" w:hanging="360"/>
      </w:pPr>
      <w:rPr>
        <w:rFonts w:ascii="Calibri" w:eastAsia="Times New Roman" w:hAnsi="Calibri" w:cs="Times New Roman"/>
        <w:color w:val="1F497D"/>
        <w:sz w:val="22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62E230CC"/>
    <w:multiLevelType w:val="hybridMultilevel"/>
    <w:tmpl w:val="456A657C"/>
    <w:lvl w:ilvl="0" w:tplc="3F5AD906">
      <w:start w:val="1"/>
      <w:numFmt w:val="decimal"/>
      <w:lvlText w:val="%1)"/>
      <w:lvlJc w:val="left"/>
      <w:pPr>
        <w:ind w:left="218" w:hanging="360"/>
      </w:pPr>
      <w:rPr>
        <w:rFonts w:eastAsia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77A70F64"/>
    <w:multiLevelType w:val="hybridMultilevel"/>
    <w:tmpl w:val="3B9C4760"/>
    <w:lvl w:ilvl="0" w:tplc="E56E3DCC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9"/>
  </w:num>
  <w:num w:numId="8">
    <w:abstractNumId w:val="10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1D"/>
    <w:rsid w:val="00003AAA"/>
    <w:rsid w:val="000052EB"/>
    <w:rsid w:val="00010B5D"/>
    <w:rsid w:val="00020FC2"/>
    <w:rsid w:val="000262EA"/>
    <w:rsid w:val="00027248"/>
    <w:rsid w:val="000312A8"/>
    <w:rsid w:val="00044ED8"/>
    <w:rsid w:val="000459E1"/>
    <w:rsid w:val="0005128E"/>
    <w:rsid w:val="00051DCA"/>
    <w:rsid w:val="0005413B"/>
    <w:rsid w:val="000565CE"/>
    <w:rsid w:val="00060027"/>
    <w:rsid w:val="00065254"/>
    <w:rsid w:val="0007150E"/>
    <w:rsid w:val="00073712"/>
    <w:rsid w:val="00074805"/>
    <w:rsid w:val="000751FB"/>
    <w:rsid w:val="00075674"/>
    <w:rsid w:val="00081E5F"/>
    <w:rsid w:val="0008663C"/>
    <w:rsid w:val="00086DB0"/>
    <w:rsid w:val="00093E50"/>
    <w:rsid w:val="000A6B46"/>
    <w:rsid w:val="000A799C"/>
    <w:rsid w:val="000B16EE"/>
    <w:rsid w:val="000B1D7A"/>
    <w:rsid w:val="000B1E0A"/>
    <w:rsid w:val="000B28A9"/>
    <w:rsid w:val="000B4B2E"/>
    <w:rsid w:val="000B5EFC"/>
    <w:rsid w:val="000B641D"/>
    <w:rsid w:val="000B7445"/>
    <w:rsid w:val="000C3B03"/>
    <w:rsid w:val="000C6269"/>
    <w:rsid w:val="000D134F"/>
    <w:rsid w:val="000D1C0F"/>
    <w:rsid w:val="000D24E3"/>
    <w:rsid w:val="000D2AB4"/>
    <w:rsid w:val="000D486D"/>
    <w:rsid w:val="000D7BF5"/>
    <w:rsid w:val="000E0035"/>
    <w:rsid w:val="000E3667"/>
    <w:rsid w:val="000E3E1B"/>
    <w:rsid w:val="000E7708"/>
    <w:rsid w:val="000F14F3"/>
    <w:rsid w:val="000F6A44"/>
    <w:rsid w:val="000F761E"/>
    <w:rsid w:val="001007BC"/>
    <w:rsid w:val="00102D39"/>
    <w:rsid w:val="00104A8A"/>
    <w:rsid w:val="0011084E"/>
    <w:rsid w:val="00112E45"/>
    <w:rsid w:val="001131E8"/>
    <w:rsid w:val="00120030"/>
    <w:rsid w:val="00121E75"/>
    <w:rsid w:val="00123072"/>
    <w:rsid w:val="0012319A"/>
    <w:rsid w:val="001258A8"/>
    <w:rsid w:val="00126C3D"/>
    <w:rsid w:val="00127425"/>
    <w:rsid w:val="0013167E"/>
    <w:rsid w:val="001331B5"/>
    <w:rsid w:val="00137845"/>
    <w:rsid w:val="00140C61"/>
    <w:rsid w:val="00144397"/>
    <w:rsid w:val="001458F4"/>
    <w:rsid w:val="001467F9"/>
    <w:rsid w:val="00147D58"/>
    <w:rsid w:val="00150DB6"/>
    <w:rsid w:val="00150FBE"/>
    <w:rsid w:val="00152D6C"/>
    <w:rsid w:val="001545C3"/>
    <w:rsid w:val="00165083"/>
    <w:rsid w:val="0017078E"/>
    <w:rsid w:val="00175BBC"/>
    <w:rsid w:val="001802EE"/>
    <w:rsid w:val="0018043C"/>
    <w:rsid w:val="001910A9"/>
    <w:rsid w:val="0019527D"/>
    <w:rsid w:val="00195718"/>
    <w:rsid w:val="00197850"/>
    <w:rsid w:val="001A0511"/>
    <w:rsid w:val="001A3D9F"/>
    <w:rsid w:val="001A67D1"/>
    <w:rsid w:val="001B0826"/>
    <w:rsid w:val="001B1EBA"/>
    <w:rsid w:val="001B27B6"/>
    <w:rsid w:val="001B310B"/>
    <w:rsid w:val="001B4D9A"/>
    <w:rsid w:val="001B5F8E"/>
    <w:rsid w:val="001C0420"/>
    <w:rsid w:val="001C1012"/>
    <w:rsid w:val="001C1017"/>
    <w:rsid w:val="001C1FBE"/>
    <w:rsid w:val="001C2BD0"/>
    <w:rsid w:val="001C6887"/>
    <w:rsid w:val="001C7BA4"/>
    <w:rsid w:val="001D3474"/>
    <w:rsid w:val="001D53EB"/>
    <w:rsid w:val="001D7D56"/>
    <w:rsid w:val="001E29B4"/>
    <w:rsid w:val="001E3DB4"/>
    <w:rsid w:val="001E6BB4"/>
    <w:rsid w:val="001E6DE1"/>
    <w:rsid w:val="001E761D"/>
    <w:rsid w:val="001E7C24"/>
    <w:rsid w:val="001F0F0C"/>
    <w:rsid w:val="001F2C04"/>
    <w:rsid w:val="001F7C7B"/>
    <w:rsid w:val="00203432"/>
    <w:rsid w:val="0021295B"/>
    <w:rsid w:val="00216476"/>
    <w:rsid w:val="00220AFF"/>
    <w:rsid w:val="00232A18"/>
    <w:rsid w:val="00233884"/>
    <w:rsid w:val="002358EC"/>
    <w:rsid w:val="002372FE"/>
    <w:rsid w:val="00240171"/>
    <w:rsid w:val="00241227"/>
    <w:rsid w:val="002459E8"/>
    <w:rsid w:val="002468D2"/>
    <w:rsid w:val="002503AE"/>
    <w:rsid w:val="002528A2"/>
    <w:rsid w:val="00253733"/>
    <w:rsid w:val="0025436D"/>
    <w:rsid w:val="002544AD"/>
    <w:rsid w:val="00254CF3"/>
    <w:rsid w:val="00255A1B"/>
    <w:rsid w:val="00261D04"/>
    <w:rsid w:val="0026267C"/>
    <w:rsid w:val="002629CC"/>
    <w:rsid w:val="00263784"/>
    <w:rsid w:val="002651D2"/>
    <w:rsid w:val="00265C94"/>
    <w:rsid w:val="00276C00"/>
    <w:rsid w:val="00281A32"/>
    <w:rsid w:val="0028250A"/>
    <w:rsid w:val="0028324B"/>
    <w:rsid w:val="002835A3"/>
    <w:rsid w:val="00283610"/>
    <w:rsid w:val="00283F8C"/>
    <w:rsid w:val="0029337C"/>
    <w:rsid w:val="002949F9"/>
    <w:rsid w:val="002A1E4C"/>
    <w:rsid w:val="002A227C"/>
    <w:rsid w:val="002A3C13"/>
    <w:rsid w:val="002A7AB5"/>
    <w:rsid w:val="002B31C0"/>
    <w:rsid w:val="002B4471"/>
    <w:rsid w:val="002B5832"/>
    <w:rsid w:val="002C1119"/>
    <w:rsid w:val="002C256D"/>
    <w:rsid w:val="002C32D6"/>
    <w:rsid w:val="002C370E"/>
    <w:rsid w:val="002C540C"/>
    <w:rsid w:val="002C773C"/>
    <w:rsid w:val="002C7953"/>
    <w:rsid w:val="002D3599"/>
    <w:rsid w:val="002D6D90"/>
    <w:rsid w:val="002F0599"/>
    <w:rsid w:val="002F2EF8"/>
    <w:rsid w:val="00303D0C"/>
    <w:rsid w:val="0030442B"/>
    <w:rsid w:val="00312796"/>
    <w:rsid w:val="00314083"/>
    <w:rsid w:val="00320E8D"/>
    <w:rsid w:val="00321068"/>
    <w:rsid w:val="00321435"/>
    <w:rsid w:val="00323D1F"/>
    <w:rsid w:val="00325793"/>
    <w:rsid w:val="00326AFD"/>
    <w:rsid w:val="00331F83"/>
    <w:rsid w:val="003414EB"/>
    <w:rsid w:val="0034329A"/>
    <w:rsid w:val="00343E25"/>
    <w:rsid w:val="0034411D"/>
    <w:rsid w:val="00345654"/>
    <w:rsid w:val="0034600B"/>
    <w:rsid w:val="00346C48"/>
    <w:rsid w:val="00356F13"/>
    <w:rsid w:val="0036308D"/>
    <w:rsid w:val="0036372E"/>
    <w:rsid w:val="00365AB7"/>
    <w:rsid w:val="00366BF0"/>
    <w:rsid w:val="00372371"/>
    <w:rsid w:val="00376D14"/>
    <w:rsid w:val="00381526"/>
    <w:rsid w:val="003820FF"/>
    <w:rsid w:val="0038317A"/>
    <w:rsid w:val="003845E8"/>
    <w:rsid w:val="00390847"/>
    <w:rsid w:val="00391122"/>
    <w:rsid w:val="00394978"/>
    <w:rsid w:val="003969A5"/>
    <w:rsid w:val="00397F32"/>
    <w:rsid w:val="003A3666"/>
    <w:rsid w:val="003A51C7"/>
    <w:rsid w:val="003A69CA"/>
    <w:rsid w:val="003B02F0"/>
    <w:rsid w:val="003B2323"/>
    <w:rsid w:val="003B4EB9"/>
    <w:rsid w:val="003B66FA"/>
    <w:rsid w:val="003C0BEF"/>
    <w:rsid w:val="003C197E"/>
    <w:rsid w:val="003D1A00"/>
    <w:rsid w:val="003D39BF"/>
    <w:rsid w:val="003D57D8"/>
    <w:rsid w:val="003D58FF"/>
    <w:rsid w:val="003D5D6C"/>
    <w:rsid w:val="003E20CF"/>
    <w:rsid w:val="003E4C90"/>
    <w:rsid w:val="003F0161"/>
    <w:rsid w:val="003F0FDB"/>
    <w:rsid w:val="003F3594"/>
    <w:rsid w:val="003F4478"/>
    <w:rsid w:val="003F6FA5"/>
    <w:rsid w:val="004037A9"/>
    <w:rsid w:val="00403E96"/>
    <w:rsid w:val="0040695F"/>
    <w:rsid w:val="00407F85"/>
    <w:rsid w:val="00410BCF"/>
    <w:rsid w:val="0041238C"/>
    <w:rsid w:val="004136FB"/>
    <w:rsid w:val="00414955"/>
    <w:rsid w:val="004164A5"/>
    <w:rsid w:val="00421847"/>
    <w:rsid w:val="00423F53"/>
    <w:rsid w:val="00427844"/>
    <w:rsid w:val="00427A5C"/>
    <w:rsid w:val="004310F5"/>
    <w:rsid w:val="0044029D"/>
    <w:rsid w:val="00440592"/>
    <w:rsid w:val="00442468"/>
    <w:rsid w:val="0044314A"/>
    <w:rsid w:val="00446EC8"/>
    <w:rsid w:val="0045375A"/>
    <w:rsid w:val="00453F25"/>
    <w:rsid w:val="00456E6F"/>
    <w:rsid w:val="00460BB8"/>
    <w:rsid w:val="00462F68"/>
    <w:rsid w:val="00470F70"/>
    <w:rsid w:val="004710B8"/>
    <w:rsid w:val="00474429"/>
    <w:rsid w:val="004843D1"/>
    <w:rsid w:val="00484C57"/>
    <w:rsid w:val="00486DA5"/>
    <w:rsid w:val="00491D19"/>
    <w:rsid w:val="004A17A7"/>
    <w:rsid w:val="004A33B5"/>
    <w:rsid w:val="004B1677"/>
    <w:rsid w:val="004B3C9D"/>
    <w:rsid w:val="004B43F1"/>
    <w:rsid w:val="004C133D"/>
    <w:rsid w:val="004C2410"/>
    <w:rsid w:val="004D1D0F"/>
    <w:rsid w:val="004D5D3A"/>
    <w:rsid w:val="004D5DE4"/>
    <w:rsid w:val="004E43F1"/>
    <w:rsid w:val="004E720A"/>
    <w:rsid w:val="004E7930"/>
    <w:rsid w:val="004F15D2"/>
    <w:rsid w:val="004F16C1"/>
    <w:rsid w:val="00504326"/>
    <w:rsid w:val="0050473A"/>
    <w:rsid w:val="0050528B"/>
    <w:rsid w:val="00507322"/>
    <w:rsid w:val="005307BC"/>
    <w:rsid w:val="00535845"/>
    <w:rsid w:val="00536726"/>
    <w:rsid w:val="0054349D"/>
    <w:rsid w:val="00543D6C"/>
    <w:rsid w:val="0054546E"/>
    <w:rsid w:val="005467D1"/>
    <w:rsid w:val="00550774"/>
    <w:rsid w:val="00551E33"/>
    <w:rsid w:val="0056108F"/>
    <w:rsid w:val="00572CAA"/>
    <w:rsid w:val="00582067"/>
    <w:rsid w:val="005877DB"/>
    <w:rsid w:val="00587A8F"/>
    <w:rsid w:val="00592833"/>
    <w:rsid w:val="005942E3"/>
    <w:rsid w:val="005A59AD"/>
    <w:rsid w:val="005A774D"/>
    <w:rsid w:val="005B2910"/>
    <w:rsid w:val="005B6822"/>
    <w:rsid w:val="005C5B75"/>
    <w:rsid w:val="005D16E4"/>
    <w:rsid w:val="005D2451"/>
    <w:rsid w:val="005D2ABF"/>
    <w:rsid w:val="005D6063"/>
    <w:rsid w:val="005D755C"/>
    <w:rsid w:val="005E2743"/>
    <w:rsid w:val="005E4BB0"/>
    <w:rsid w:val="005F592D"/>
    <w:rsid w:val="005F5D0D"/>
    <w:rsid w:val="00617A9B"/>
    <w:rsid w:val="006261C4"/>
    <w:rsid w:val="00631ABF"/>
    <w:rsid w:val="00643A5E"/>
    <w:rsid w:val="00654308"/>
    <w:rsid w:val="0065638E"/>
    <w:rsid w:val="0066094A"/>
    <w:rsid w:val="00661A42"/>
    <w:rsid w:val="00664D40"/>
    <w:rsid w:val="00665389"/>
    <w:rsid w:val="006656A5"/>
    <w:rsid w:val="00666718"/>
    <w:rsid w:val="00667F92"/>
    <w:rsid w:val="00670457"/>
    <w:rsid w:val="00671C25"/>
    <w:rsid w:val="006734A5"/>
    <w:rsid w:val="006775BC"/>
    <w:rsid w:val="0068104E"/>
    <w:rsid w:val="00681E81"/>
    <w:rsid w:val="00683EBD"/>
    <w:rsid w:val="006846CD"/>
    <w:rsid w:val="00686259"/>
    <w:rsid w:val="006902AF"/>
    <w:rsid w:val="006919E0"/>
    <w:rsid w:val="00694AD6"/>
    <w:rsid w:val="006A05FD"/>
    <w:rsid w:val="006A11BD"/>
    <w:rsid w:val="006A15FB"/>
    <w:rsid w:val="006A4C45"/>
    <w:rsid w:val="006A4D66"/>
    <w:rsid w:val="006A5030"/>
    <w:rsid w:val="006A58FB"/>
    <w:rsid w:val="006B5308"/>
    <w:rsid w:val="006C1119"/>
    <w:rsid w:val="006D66B6"/>
    <w:rsid w:val="006E246C"/>
    <w:rsid w:val="006E3477"/>
    <w:rsid w:val="006F4F9A"/>
    <w:rsid w:val="006F5C4F"/>
    <w:rsid w:val="006F79AD"/>
    <w:rsid w:val="007010CE"/>
    <w:rsid w:val="0070324D"/>
    <w:rsid w:val="00703C11"/>
    <w:rsid w:val="00705480"/>
    <w:rsid w:val="00713DAE"/>
    <w:rsid w:val="007155C8"/>
    <w:rsid w:val="00715D96"/>
    <w:rsid w:val="007215CF"/>
    <w:rsid w:val="00721BFC"/>
    <w:rsid w:val="00721D00"/>
    <w:rsid w:val="00722B1B"/>
    <w:rsid w:val="00725270"/>
    <w:rsid w:val="007377D0"/>
    <w:rsid w:val="007377FD"/>
    <w:rsid w:val="00743FBC"/>
    <w:rsid w:val="00745345"/>
    <w:rsid w:val="00747A73"/>
    <w:rsid w:val="007522A4"/>
    <w:rsid w:val="007556F6"/>
    <w:rsid w:val="007576C2"/>
    <w:rsid w:val="007604E4"/>
    <w:rsid w:val="00762868"/>
    <w:rsid w:val="00763012"/>
    <w:rsid w:val="00763AD1"/>
    <w:rsid w:val="0076653E"/>
    <w:rsid w:val="00766BE7"/>
    <w:rsid w:val="00767A27"/>
    <w:rsid w:val="007712FA"/>
    <w:rsid w:val="00775BFF"/>
    <w:rsid w:val="00780D6B"/>
    <w:rsid w:val="007816C8"/>
    <w:rsid w:val="00784CBB"/>
    <w:rsid w:val="0078629E"/>
    <w:rsid w:val="00792023"/>
    <w:rsid w:val="0079336F"/>
    <w:rsid w:val="007A1CC3"/>
    <w:rsid w:val="007A3A22"/>
    <w:rsid w:val="007A654F"/>
    <w:rsid w:val="007A7837"/>
    <w:rsid w:val="007A79FA"/>
    <w:rsid w:val="007B34AE"/>
    <w:rsid w:val="007B43B3"/>
    <w:rsid w:val="007B4C42"/>
    <w:rsid w:val="007B71B8"/>
    <w:rsid w:val="007C3C5F"/>
    <w:rsid w:val="007C508D"/>
    <w:rsid w:val="007C6F1F"/>
    <w:rsid w:val="007C759E"/>
    <w:rsid w:val="007D005C"/>
    <w:rsid w:val="007D0094"/>
    <w:rsid w:val="007D1E0D"/>
    <w:rsid w:val="007D66E5"/>
    <w:rsid w:val="007E2A52"/>
    <w:rsid w:val="007E4960"/>
    <w:rsid w:val="007E55BC"/>
    <w:rsid w:val="007E65D6"/>
    <w:rsid w:val="007E6CA6"/>
    <w:rsid w:val="007F1748"/>
    <w:rsid w:val="007F3D24"/>
    <w:rsid w:val="007F3EBA"/>
    <w:rsid w:val="007F668A"/>
    <w:rsid w:val="00802F98"/>
    <w:rsid w:val="00803A79"/>
    <w:rsid w:val="00804066"/>
    <w:rsid w:val="00804BB4"/>
    <w:rsid w:val="008050F7"/>
    <w:rsid w:val="0081493B"/>
    <w:rsid w:val="00816B1E"/>
    <w:rsid w:val="008203D2"/>
    <w:rsid w:val="00820483"/>
    <w:rsid w:val="00821254"/>
    <w:rsid w:val="00825CA7"/>
    <w:rsid w:val="008271B5"/>
    <w:rsid w:val="0083238B"/>
    <w:rsid w:val="0083337A"/>
    <w:rsid w:val="008377F0"/>
    <w:rsid w:val="00842E9A"/>
    <w:rsid w:val="00843C01"/>
    <w:rsid w:val="00844950"/>
    <w:rsid w:val="0084605F"/>
    <w:rsid w:val="0084673A"/>
    <w:rsid w:val="00851904"/>
    <w:rsid w:val="008529B0"/>
    <w:rsid w:val="008562D5"/>
    <w:rsid w:val="00856825"/>
    <w:rsid w:val="00861567"/>
    <w:rsid w:val="0086459E"/>
    <w:rsid w:val="00865208"/>
    <w:rsid w:val="00866006"/>
    <w:rsid w:val="0086668D"/>
    <w:rsid w:val="00875F07"/>
    <w:rsid w:val="00882281"/>
    <w:rsid w:val="00884D92"/>
    <w:rsid w:val="0088510C"/>
    <w:rsid w:val="00885EA4"/>
    <w:rsid w:val="0088635D"/>
    <w:rsid w:val="0089234C"/>
    <w:rsid w:val="008944BA"/>
    <w:rsid w:val="00894E6B"/>
    <w:rsid w:val="008A16A2"/>
    <w:rsid w:val="008B121E"/>
    <w:rsid w:val="008B19BD"/>
    <w:rsid w:val="008B7419"/>
    <w:rsid w:val="008C00AD"/>
    <w:rsid w:val="008C100E"/>
    <w:rsid w:val="008C1E4D"/>
    <w:rsid w:val="008C22D7"/>
    <w:rsid w:val="008C2F8A"/>
    <w:rsid w:val="008C3D17"/>
    <w:rsid w:val="008C4D1E"/>
    <w:rsid w:val="008D05A0"/>
    <w:rsid w:val="008D1A29"/>
    <w:rsid w:val="008D22EF"/>
    <w:rsid w:val="008E140B"/>
    <w:rsid w:val="008F06C7"/>
    <w:rsid w:val="008F5C35"/>
    <w:rsid w:val="008F63BA"/>
    <w:rsid w:val="00904FB9"/>
    <w:rsid w:val="00910642"/>
    <w:rsid w:val="00913705"/>
    <w:rsid w:val="00915B88"/>
    <w:rsid w:val="00917A7A"/>
    <w:rsid w:val="009219CB"/>
    <w:rsid w:val="00923096"/>
    <w:rsid w:val="00925E83"/>
    <w:rsid w:val="009275C7"/>
    <w:rsid w:val="0094176F"/>
    <w:rsid w:val="0094195D"/>
    <w:rsid w:val="00941E4B"/>
    <w:rsid w:val="00941E70"/>
    <w:rsid w:val="00952444"/>
    <w:rsid w:val="00957CFC"/>
    <w:rsid w:val="0096349E"/>
    <w:rsid w:val="00965FBA"/>
    <w:rsid w:val="009750E2"/>
    <w:rsid w:val="00977722"/>
    <w:rsid w:val="00977A23"/>
    <w:rsid w:val="0098594B"/>
    <w:rsid w:val="00987BA9"/>
    <w:rsid w:val="00991D57"/>
    <w:rsid w:val="00996234"/>
    <w:rsid w:val="009968B0"/>
    <w:rsid w:val="00997045"/>
    <w:rsid w:val="0099730D"/>
    <w:rsid w:val="009A665D"/>
    <w:rsid w:val="009A6768"/>
    <w:rsid w:val="009A70B8"/>
    <w:rsid w:val="009B1ED8"/>
    <w:rsid w:val="009C3894"/>
    <w:rsid w:val="009D3A17"/>
    <w:rsid w:val="009D5D3E"/>
    <w:rsid w:val="009E2CD0"/>
    <w:rsid w:val="009E2CD1"/>
    <w:rsid w:val="009E413D"/>
    <w:rsid w:val="009E607E"/>
    <w:rsid w:val="009F67EC"/>
    <w:rsid w:val="00A037A7"/>
    <w:rsid w:val="00A038E4"/>
    <w:rsid w:val="00A1273C"/>
    <w:rsid w:val="00A12CB6"/>
    <w:rsid w:val="00A17024"/>
    <w:rsid w:val="00A24C2E"/>
    <w:rsid w:val="00A30373"/>
    <w:rsid w:val="00A34DFF"/>
    <w:rsid w:val="00A36359"/>
    <w:rsid w:val="00A47082"/>
    <w:rsid w:val="00A54306"/>
    <w:rsid w:val="00A546F2"/>
    <w:rsid w:val="00A60782"/>
    <w:rsid w:val="00A72014"/>
    <w:rsid w:val="00A73FC7"/>
    <w:rsid w:val="00A77D79"/>
    <w:rsid w:val="00A8272D"/>
    <w:rsid w:val="00A8557F"/>
    <w:rsid w:val="00A86DD6"/>
    <w:rsid w:val="00A90491"/>
    <w:rsid w:val="00A9290E"/>
    <w:rsid w:val="00A935A3"/>
    <w:rsid w:val="00A94CB9"/>
    <w:rsid w:val="00A96B95"/>
    <w:rsid w:val="00A96DA7"/>
    <w:rsid w:val="00A97C0B"/>
    <w:rsid w:val="00AA0A24"/>
    <w:rsid w:val="00AB1C21"/>
    <w:rsid w:val="00AB1E22"/>
    <w:rsid w:val="00AB2FE7"/>
    <w:rsid w:val="00AB38D9"/>
    <w:rsid w:val="00AB3EEA"/>
    <w:rsid w:val="00AB4149"/>
    <w:rsid w:val="00AB6683"/>
    <w:rsid w:val="00AC0A99"/>
    <w:rsid w:val="00AC0D48"/>
    <w:rsid w:val="00AC568C"/>
    <w:rsid w:val="00AC7494"/>
    <w:rsid w:val="00AD08DB"/>
    <w:rsid w:val="00AD09BB"/>
    <w:rsid w:val="00AD5F85"/>
    <w:rsid w:val="00AE0A2F"/>
    <w:rsid w:val="00AE5C88"/>
    <w:rsid w:val="00AE682C"/>
    <w:rsid w:val="00AE6CA9"/>
    <w:rsid w:val="00AE737D"/>
    <w:rsid w:val="00AF58B3"/>
    <w:rsid w:val="00AF6F9B"/>
    <w:rsid w:val="00B00BBC"/>
    <w:rsid w:val="00B02445"/>
    <w:rsid w:val="00B077F4"/>
    <w:rsid w:val="00B14A1F"/>
    <w:rsid w:val="00B14C7C"/>
    <w:rsid w:val="00B152EC"/>
    <w:rsid w:val="00B2773A"/>
    <w:rsid w:val="00B3029B"/>
    <w:rsid w:val="00B33744"/>
    <w:rsid w:val="00B341B6"/>
    <w:rsid w:val="00B448BC"/>
    <w:rsid w:val="00B46180"/>
    <w:rsid w:val="00B46366"/>
    <w:rsid w:val="00B508A4"/>
    <w:rsid w:val="00B52D40"/>
    <w:rsid w:val="00B54C2B"/>
    <w:rsid w:val="00B57199"/>
    <w:rsid w:val="00B64A8B"/>
    <w:rsid w:val="00B70086"/>
    <w:rsid w:val="00B70457"/>
    <w:rsid w:val="00B70D4D"/>
    <w:rsid w:val="00B744D3"/>
    <w:rsid w:val="00B76715"/>
    <w:rsid w:val="00B80E95"/>
    <w:rsid w:val="00B83916"/>
    <w:rsid w:val="00B9144F"/>
    <w:rsid w:val="00B94107"/>
    <w:rsid w:val="00BA2B4E"/>
    <w:rsid w:val="00BA412B"/>
    <w:rsid w:val="00BB23D3"/>
    <w:rsid w:val="00BB7E8D"/>
    <w:rsid w:val="00BC307B"/>
    <w:rsid w:val="00BC324C"/>
    <w:rsid w:val="00BC4091"/>
    <w:rsid w:val="00BC4571"/>
    <w:rsid w:val="00BC4B12"/>
    <w:rsid w:val="00BC6C44"/>
    <w:rsid w:val="00BD1D16"/>
    <w:rsid w:val="00BD7B74"/>
    <w:rsid w:val="00BE1AEA"/>
    <w:rsid w:val="00BE44A7"/>
    <w:rsid w:val="00BE4F48"/>
    <w:rsid w:val="00BE766A"/>
    <w:rsid w:val="00C0125E"/>
    <w:rsid w:val="00C019B9"/>
    <w:rsid w:val="00C024B9"/>
    <w:rsid w:val="00C0567F"/>
    <w:rsid w:val="00C05F21"/>
    <w:rsid w:val="00C078C4"/>
    <w:rsid w:val="00C12C0B"/>
    <w:rsid w:val="00C13515"/>
    <w:rsid w:val="00C140F2"/>
    <w:rsid w:val="00C15860"/>
    <w:rsid w:val="00C175D1"/>
    <w:rsid w:val="00C2227C"/>
    <w:rsid w:val="00C36CCA"/>
    <w:rsid w:val="00C42607"/>
    <w:rsid w:val="00C515D3"/>
    <w:rsid w:val="00C51B86"/>
    <w:rsid w:val="00C55DFF"/>
    <w:rsid w:val="00C6692E"/>
    <w:rsid w:val="00C67019"/>
    <w:rsid w:val="00C7030A"/>
    <w:rsid w:val="00C72038"/>
    <w:rsid w:val="00C7229D"/>
    <w:rsid w:val="00C72715"/>
    <w:rsid w:val="00C754D4"/>
    <w:rsid w:val="00C770C7"/>
    <w:rsid w:val="00C87E13"/>
    <w:rsid w:val="00C95347"/>
    <w:rsid w:val="00CA2144"/>
    <w:rsid w:val="00CA6875"/>
    <w:rsid w:val="00CB13EE"/>
    <w:rsid w:val="00CB1B01"/>
    <w:rsid w:val="00CB34BB"/>
    <w:rsid w:val="00CB4E38"/>
    <w:rsid w:val="00CB7FC7"/>
    <w:rsid w:val="00CC223B"/>
    <w:rsid w:val="00CC7635"/>
    <w:rsid w:val="00CD099F"/>
    <w:rsid w:val="00CD3B61"/>
    <w:rsid w:val="00CD4049"/>
    <w:rsid w:val="00CD4ECB"/>
    <w:rsid w:val="00CD5711"/>
    <w:rsid w:val="00CE0F37"/>
    <w:rsid w:val="00CE5F99"/>
    <w:rsid w:val="00CE7392"/>
    <w:rsid w:val="00CE7E54"/>
    <w:rsid w:val="00CF0C14"/>
    <w:rsid w:val="00CF20A8"/>
    <w:rsid w:val="00CF34BB"/>
    <w:rsid w:val="00CF5932"/>
    <w:rsid w:val="00CF7755"/>
    <w:rsid w:val="00D0259B"/>
    <w:rsid w:val="00D03C87"/>
    <w:rsid w:val="00D04E11"/>
    <w:rsid w:val="00D04EC2"/>
    <w:rsid w:val="00D05EB7"/>
    <w:rsid w:val="00D10EA2"/>
    <w:rsid w:val="00D22654"/>
    <w:rsid w:val="00D23530"/>
    <w:rsid w:val="00D362C6"/>
    <w:rsid w:val="00D3684B"/>
    <w:rsid w:val="00D3732F"/>
    <w:rsid w:val="00D379C5"/>
    <w:rsid w:val="00D41BFF"/>
    <w:rsid w:val="00D430C1"/>
    <w:rsid w:val="00D46447"/>
    <w:rsid w:val="00D519D9"/>
    <w:rsid w:val="00D552F8"/>
    <w:rsid w:val="00D56A84"/>
    <w:rsid w:val="00D664DA"/>
    <w:rsid w:val="00D70E26"/>
    <w:rsid w:val="00D73BD0"/>
    <w:rsid w:val="00D81019"/>
    <w:rsid w:val="00D86B9A"/>
    <w:rsid w:val="00D8771D"/>
    <w:rsid w:val="00D87A4D"/>
    <w:rsid w:val="00D9000C"/>
    <w:rsid w:val="00D92235"/>
    <w:rsid w:val="00D94AC0"/>
    <w:rsid w:val="00D96C47"/>
    <w:rsid w:val="00DA35B8"/>
    <w:rsid w:val="00DA62CB"/>
    <w:rsid w:val="00DA6359"/>
    <w:rsid w:val="00DB2513"/>
    <w:rsid w:val="00DC09F2"/>
    <w:rsid w:val="00DC4A15"/>
    <w:rsid w:val="00DD0D1A"/>
    <w:rsid w:val="00DD16D5"/>
    <w:rsid w:val="00DD1B81"/>
    <w:rsid w:val="00DD1C5F"/>
    <w:rsid w:val="00DF121E"/>
    <w:rsid w:val="00DF2452"/>
    <w:rsid w:val="00DF58CA"/>
    <w:rsid w:val="00E01640"/>
    <w:rsid w:val="00E039D2"/>
    <w:rsid w:val="00E051F5"/>
    <w:rsid w:val="00E12D4E"/>
    <w:rsid w:val="00E16017"/>
    <w:rsid w:val="00E176E9"/>
    <w:rsid w:val="00E23D0D"/>
    <w:rsid w:val="00E26DC5"/>
    <w:rsid w:val="00E273C6"/>
    <w:rsid w:val="00E305F6"/>
    <w:rsid w:val="00E3454F"/>
    <w:rsid w:val="00E36299"/>
    <w:rsid w:val="00E36515"/>
    <w:rsid w:val="00E365E3"/>
    <w:rsid w:val="00E5117D"/>
    <w:rsid w:val="00E53A40"/>
    <w:rsid w:val="00E55E55"/>
    <w:rsid w:val="00E60764"/>
    <w:rsid w:val="00E63344"/>
    <w:rsid w:val="00E71FE2"/>
    <w:rsid w:val="00E8114A"/>
    <w:rsid w:val="00E83CDA"/>
    <w:rsid w:val="00E85163"/>
    <w:rsid w:val="00E85689"/>
    <w:rsid w:val="00E94F44"/>
    <w:rsid w:val="00EA21D5"/>
    <w:rsid w:val="00EA2813"/>
    <w:rsid w:val="00EA4250"/>
    <w:rsid w:val="00EA5F96"/>
    <w:rsid w:val="00EA7B0F"/>
    <w:rsid w:val="00EB404A"/>
    <w:rsid w:val="00EC48A7"/>
    <w:rsid w:val="00ED1491"/>
    <w:rsid w:val="00ED35B5"/>
    <w:rsid w:val="00ED65D1"/>
    <w:rsid w:val="00EF000E"/>
    <w:rsid w:val="00EF1AF3"/>
    <w:rsid w:val="00EF36DC"/>
    <w:rsid w:val="00EF57F9"/>
    <w:rsid w:val="00EF6048"/>
    <w:rsid w:val="00F00AC0"/>
    <w:rsid w:val="00F035EF"/>
    <w:rsid w:val="00F037C9"/>
    <w:rsid w:val="00F122F7"/>
    <w:rsid w:val="00F12F9E"/>
    <w:rsid w:val="00F170AB"/>
    <w:rsid w:val="00F222F3"/>
    <w:rsid w:val="00F25B1A"/>
    <w:rsid w:val="00F26FAB"/>
    <w:rsid w:val="00F3668A"/>
    <w:rsid w:val="00F40F23"/>
    <w:rsid w:val="00F42B61"/>
    <w:rsid w:val="00F47D32"/>
    <w:rsid w:val="00F510BB"/>
    <w:rsid w:val="00F53BB2"/>
    <w:rsid w:val="00F54597"/>
    <w:rsid w:val="00F553D7"/>
    <w:rsid w:val="00F60245"/>
    <w:rsid w:val="00F63ACF"/>
    <w:rsid w:val="00F708BC"/>
    <w:rsid w:val="00F7234D"/>
    <w:rsid w:val="00F75F9A"/>
    <w:rsid w:val="00F82D94"/>
    <w:rsid w:val="00F83F19"/>
    <w:rsid w:val="00F871BC"/>
    <w:rsid w:val="00F9269F"/>
    <w:rsid w:val="00F957C3"/>
    <w:rsid w:val="00FA0E1D"/>
    <w:rsid w:val="00FA1315"/>
    <w:rsid w:val="00FA27F6"/>
    <w:rsid w:val="00FA62C8"/>
    <w:rsid w:val="00FA6F38"/>
    <w:rsid w:val="00FA7433"/>
    <w:rsid w:val="00FB5AF7"/>
    <w:rsid w:val="00FC3ED6"/>
    <w:rsid w:val="00FC6FBA"/>
    <w:rsid w:val="00FD17F5"/>
    <w:rsid w:val="00FD3E89"/>
    <w:rsid w:val="00FD7CE3"/>
    <w:rsid w:val="00FE0FDA"/>
    <w:rsid w:val="00FE118E"/>
    <w:rsid w:val="00FE46DB"/>
    <w:rsid w:val="00FE4F52"/>
    <w:rsid w:val="00FE75D5"/>
    <w:rsid w:val="00FF02F9"/>
    <w:rsid w:val="00FF5BFB"/>
    <w:rsid w:val="00FF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B7D89F"/>
  <w15:docId w15:val="{74D62021-CF2A-4CE4-94D6-30DB85227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782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EB404A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404A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6775B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8040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40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4066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0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066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D57D8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Theme="minorEastAsia" w:hAnsi="Times" w:cs="Arial"/>
      <w:color w:val="auto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3F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3F8C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3F8C"/>
    <w:rPr>
      <w:vertAlign w:val="superscript"/>
    </w:rPr>
  </w:style>
  <w:style w:type="paragraph" w:customStyle="1" w:styleId="USTustnpkodeksu">
    <w:name w:val="UST(§) – ust. (§ np. kodeksu)"/>
    <w:basedOn w:val="Normalny"/>
    <w:uiPriority w:val="12"/>
    <w:qFormat/>
    <w:rsid w:val="0021295B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color w:val="auto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21295B"/>
    <w:pPr>
      <w:spacing w:after="0" w:line="360" w:lineRule="auto"/>
      <w:ind w:left="1020" w:hanging="510"/>
      <w:jc w:val="both"/>
    </w:pPr>
    <w:rPr>
      <w:rFonts w:ascii="Times" w:eastAsiaTheme="minorEastAsia" w:hAnsi="Times" w:cs="Arial"/>
      <w:bCs/>
      <w:color w:val="auto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245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2451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2451"/>
    <w:rPr>
      <w:vertAlign w:val="superscript"/>
    </w:rPr>
  </w:style>
  <w:style w:type="paragraph" w:customStyle="1" w:styleId="divparagraph">
    <w:name w:val="div.paragraph"/>
    <w:uiPriority w:val="99"/>
    <w:rsid w:val="00BA412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Default">
    <w:name w:val="Default"/>
    <w:rsid w:val="00CA6875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ZLITPKTzmpktliter">
    <w:name w:val="Z_LIT/PKT – zm. pkt literą"/>
    <w:basedOn w:val="Normalny"/>
    <w:uiPriority w:val="47"/>
    <w:qFormat/>
    <w:rsid w:val="00197850"/>
    <w:pPr>
      <w:spacing w:after="0" w:line="360" w:lineRule="auto"/>
      <w:ind w:left="1497" w:hanging="510"/>
      <w:jc w:val="both"/>
    </w:pPr>
    <w:rPr>
      <w:rFonts w:ascii="Times" w:eastAsiaTheme="minorEastAsia" w:hAnsi="Times" w:cs="Arial"/>
      <w:bCs/>
      <w:color w:val="auto"/>
      <w:sz w:val="24"/>
      <w:szCs w:val="20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197850"/>
    <w:pPr>
      <w:spacing w:after="0" w:line="360" w:lineRule="auto"/>
      <w:ind w:left="1973" w:hanging="476"/>
      <w:jc w:val="both"/>
    </w:pPr>
    <w:rPr>
      <w:rFonts w:ascii="Times" w:eastAsiaTheme="minorEastAsia" w:hAnsi="Times" w:cs="Arial"/>
      <w:bCs/>
      <w:color w:val="auto"/>
      <w:sz w:val="24"/>
      <w:szCs w:val="20"/>
    </w:rPr>
  </w:style>
  <w:style w:type="paragraph" w:customStyle="1" w:styleId="CM1">
    <w:name w:val="CM1"/>
    <w:basedOn w:val="Default"/>
    <w:next w:val="Default"/>
    <w:uiPriority w:val="99"/>
    <w:rsid w:val="00216476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216476"/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216476"/>
    <w:rPr>
      <w:rFonts w:cstheme="minorBidi"/>
      <w:color w:val="auto"/>
    </w:rPr>
  </w:style>
  <w:style w:type="character" w:customStyle="1" w:styleId="Teksttreci">
    <w:name w:val="Tekst treści_"/>
    <w:basedOn w:val="Domylnaczcionkaakapitu"/>
    <w:link w:val="Teksttreci0"/>
    <w:rsid w:val="00261D04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61D04"/>
    <w:pPr>
      <w:widowControl w:val="0"/>
      <w:shd w:val="clear" w:color="auto" w:fill="FFFFFF"/>
      <w:spacing w:before="120" w:after="0" w:line="480" w:lineRule="exact"/>
      <w:ind w:hanging="420"/>
    </w:pPr>
    <w:rPr>
      <w:rFonts w:ascii="Arial" w:eastAsia="Arial" w:hAnsi="Arial" w:cs="Arial"/>
      <w:color w:val="auto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2651D2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265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KTpunkt">
    <w:name w:val="PKT – punkt"/>
    <w:uiPriority w:val="13"/>
    <w:qFormat/>
    <w:rsid w:val="003A69CA"/>
    <w:pPr>
      <w:spacing w:after="0" w:line="360" w:lineRule="auto"/>
      <w:ind w:left="510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3A69CA"/>
  </w:style>
  <w:style w:type="table" w:styleId="Tabela-Siatka">
    <w:name w:val="Table Grid"/>
    <w:basedOn w:val="Standardowy"/>
    <w:uiPriority w:val="39"/>
    <w:rsid w:val="00A94CB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8083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42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6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3686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74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23288">
              <w:marLeft w:val="2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84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1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5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05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14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04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8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6FB61-7486-4A49-9C55-FA4EC564E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4663</Words>
  <Characters>27983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Borawska-Kędzierska Elżbieta</dc:creator>
  <cp:lastModifiedBy>Mazurek Monika</cp:lastModifiedBy>
  <cp:revision>2</cp:revision>
  <cp:lastPrinted>2020-03-11T07:33:00Z</cp:lastPrinted>
  <dcterms:created xsi:type="dcterms:W3CDTF">2021-10-05T11:02:00Z</dcterms:created>
  <dcterms:modified xsi:type="dcterms:W3CDTF">2021-10-05T11:02:00Z</dcterms:modified>
</cp:coreProperties>
</file>