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CC02D" w14:textId="010539FF" w:rsidR="00267330" w:rsidRDefault="00267330" w:rsidP="00267330">
      <w:pPr>
        <w:spacing w:after="60" w:line="240" w:lineRule="auto"/>
        <w:jc w:val="both"/>
        <w:rPr>
          <w:rFonts w:ascii="Times New Roman" w:hAnsi="Times New Roman" w:cs="Times New Roman"/>
        </w:rPr>
      </w:pPr>
      <w:r w:rsidRPr="00267330">
        <w:rPr>
          <w:rFonts w:ascii="Times New Roman" w:hAnsi="Times New Roman" w:cs="Times New Roman"/>
        </w:rPr>
        <w:t>autologiczne transdukowane anty-CD19 komórki CD3-dodatnie</w:t>
      </w:r>
    </w:p>
    <w:p w14:paraId="408E8F3B" w14:textId="77777777" w:rsidR="00267330" w:rsidRDefault="00267330" w:rsidP="00267330">
      <w:pPr>
        <w:spacing w:after="60" w:line="240" w:lineRule="auto"/>
        <w:jc w:val="both"/>
        <w:rPr>
          <w:rFonts w:ascii="Times New Roman" w:hAnsi="Times New Roman" w:cs="Times New Roman"/>
        </w:rPr>
      </w:pPr>
    </w:p>
    <w:p w14:paraId="3DCB5DC6" w14:textId="5FC8338F" w:rsidR="00EE3FF7" w:rsidRPr="0040465B" w:rsidRDefault="00EE3FF7" w:rsidP="00267330">
      <w:pPr>
        <w:spacing w:after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3FF7">
        <w:rPr>
          <w:rFonts w:ascii="Times New Roman" w:hAnsi="Times New Roman" w:cs="Times New Roman"/>
          <w:b/>
          <w:sz w:val="28"/>
          <w:szCs w:val="28"/>
        </w:rPr>
        <w:t>LECZENIE CHORYCH NA</w:t>
      </w:r>
      <w:r w:rsidR="0019456C" w:rsidRPr="0019456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19456C" w:rsidRPr="0019456C">
        <w:rPr>
          <w:rFonts w:ascii="Times New Roman" w:hAnsi="Times New Roman" w:cs="Times New Roman"/>
          <w:b/>
          <w:sz w:val="28"/>
          <w:szCs w:val="28"/>
        </w:rPr>
        <w:t>CHŁONIAKI ROZLANE Z DUŻYCH KOMÓREK B ORAZ INNE CHŁONIAKI</w:t>
      </w:r>
      <w:r w:rsidR="006036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456C" w:rsidRPr="0019456C">
        <w:rPr>
          <w:rFonts w:ascii="Times New Roman" w:hAnsi="Times New Roman" w:cs="Times New Roman"/>
          <w:b/>
          <w:sz w:val="28"/>
          <w:szCs w:val="28"/>
        </w:rPr>
        <w:t>B-KOMÓRKOWE (ICD-10: C83, C85)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127F97" w:rsidRPr="00AD7A41" w14:paraId="0909F4C6" w14:textId="77777777" w:rsidTr="006036A2">
        <w:trPr>
          <w:trHeight w:val="567"/>
        </w:trPr>
        <w:tc>
          <w:tcPr>
            <w:tcW w:w="15388" w:type="dxa"/>
            <w:gridSpan w:val="3"/>
            <w:vAlign w:val="center"/>
          </w:tcPr>
          <w:p w14:paraId="71273ADC" w14:textId="69A8CCD2" w:rsidR="00127F97" w:rsidRPr="00AD7A41" w:rsidRDefault="00127F97" w:rsidP="002673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25656E" w:rsidRPr="00AD7A41" w14:paraId="035A9F2B" w14:textId="77777777" w:rsidTr="006036A2">
        <w:trPr>
          <w:trHeight w:val="567"/>
        </w:trPr>
        <w:tc>
          <w:tcPr>
            <w:tcW w:w="5665" w:type="dxa"/>
            <w:vAlign w:val="center"/>
          </w:tcPr>
          <w:p w14:paraId="41B1FCE7" w14:textId="77777777" w:rsidR="00971D9B" w:rsidRPr="00AD7A41" w:rsidRDefault="00971D9B" w:rsidP="002673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109" w:type="dxa"/>
            <w:vAlign w:val="center"/>
          </w:tcPr>
          <w:p w14:paraId="21D9634E" w14:textId="520A79CD" w:rsidR="000F76AC" w:rsidRPr="000F76AC" w:rsidRDefault="000F76AC" w:rsidP="002673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6AC">
              <w:rPr>
                <w:rFonts w:ascii="Times New Roman" w:hAnsi="Times New Roman" w:cs="Times New Roman"/>
                <w:b/>
                <w:sz w:val="20"/>
                <w:szCs w:val="20"/>
              </w:rPr>
              <w:t>SCHEMAT DAWKOWANIA LEKÓW</w:t>
            </w:r>
          </w:p>
          <w:p w14:paraId="643FF837" w14:textId="2BC3630E" w:rsidR="00971D9B" w:rsidRPr="00AD7A41" w:rsidRDefault="000F76AC" w:rsidP="002673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6AC">
              <w:rPr>
                <w:rFonts w:ascii="Times New Roman" w:hAnsi="Times New Roman" w:cs="Times New Roman"/>
                <w:b/>
                <w:sz w:val="20"/>
                <w:szCs w:val="20"/>
              </w:rPr>
              <w:t>W PROGRAMIE</w:t>
            </w:r>
          </w:p>
        </w:tc>
        <w:tc>
          <w:tcPr>
            <w:tcW w:w="5614" w:type="dxa"/>
            <w:vAlign w:val="center"/>
          </w:tcPr>
          <w:p w14:paraId="10400709" w14:textId="4B01D1DD" w:rsidR="00971D9B" w:rsidRPr="00AD7A41" w:rsidRDefault="00971D9B" w:rsidP="002673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6036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036A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25656E" w:rsidRPr="006A331D" w14:paraId="28EA420C" w14:textId="77777777" w:rsidTr="006036A2">
        <w:trPr>
          <w:trHeight w:val="20"/>
        </w:trPr>
        <w:tc>
          <w:tcPr>
            <w:tcW w:w="5665" w:type="dxa"/>
          </w:tcPr>
          <w:p w14:paraId="1031BD19" w14:textId="4967FC8B" w:rsidR="0060135D" w:rsidRPr="006036A2" w:rsidRDefault="0019456C" w:rsidP="006036A2">
            <w:pPr>
              <w:pStyle w:val="Akapitzlist"/>
              <w:numPr>
                <w:ilvl w:val="0"/>
                <w:numId w:val="39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chorych na chłoniaka z komórek płaszcza (MCL) (ICD-10: C85.7) autologicznymi transdukowanymi anty-CD19 komórkami CD3-dodatnimi</w:t>
            </w:r>
          </w:p>
          <w:p w14:paraId="595F834E" w14:textId="3BBFE100" w:rsidR="0019456C" w:rsidRPr="006036A2" w:rsidRDefault="0019456C" w:rsidP="006036A2">
            <w:pPr>
              <w:pStyle w:val="Akapitzlist"/>
              <w:numPr>
                <w:ilvl w:val="1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</w:p>
          <w:p w14:paraId="04A402F4" w14:textId="753BFF1F" w:rsidR="005379BE" w:rsidRPr="006036A2" w:rsidRDefault="005379BE" w:rsidP="006036A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Kwalifikacji świadczeniobiorców do terapii dok</w:t>
            </w:r>
            <w:r w:rsidR="001E2C54" w:rsidRPr="006036A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nuje Zespół Koordynacyjny </w:t>
            </w:r>
            <w:r w:rsidR="00AA040C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ds. CAR-T 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powoływany przez Prezesa Narodowego Funduszu Zdrowia.</w:t>
            </w:r>
          </w:p>
          <w:p w14:paraId="297B2699" w14:textId="77777777" w:rsidR="00575CD8" w:rsidRPr="006036A2" w:rsidRDefault="00575CD8" w:rsidP="006036A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Kwalifikacja do programu oraz weryfikacja skuteczności leczenia odbywa się w oparciu o ocenę stanu klinicznego pacjenta.</w:t>
            </w:r>
          </w:p>
          <w:p w14:paraId="52A3F9DF" w14:textId="3F3584BA" w:rsidR="0060135D" w:rsidRPr="006036A2" w:rsidRDefault="00037CFA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9B13F6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40C" w:rsidRPr="006036A2">
              <w:rPr>
                <w:rFonts w:ascii="Times New Roman" w:hAnsi="Times New Roman" w:cs="Times New Roman"/>
                <w:sz w:val="20"/>
                <w:szCs w:val="20"/>
              </w:rPr>
              <w:t>18 lat i powyżej;</w:t>
            </w:r>
          </w:p>
          <w:p w14:paraId="06486C8D" w14:textId="1EFD7610" w:rsidR="005D3357" w:rsidRPr="006036A2" w:rsidRDefault="0060135D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9B13F6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39F4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diagnoza opornego </w:t>
            </w:r>
            <w:r w:rsidR="00A120A4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r w:rsidR="000C39F4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nawrotowego </w:t>
            </w:r>
            <w:r w:rsidR="00A120A4" w:rsidRPr="006036A2">
              <w:rPr>
                <w:rFonts w:ascii="Times New Roman" w:hAnsi="Times New Roman" w:cs="Times New Roman"/>
                <w:sz w:val="20"/>
                <w:szCs w:val="20"/>
              </w:rPr>
              <w:t>chłoniaka z komórek płaszcza (MCL)</w:t>
            </w:r>
            <w:r w:rsidR="00744ECE" w:rsidRPr="006036A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76051A" w14:textId="77777777" w:rsidR="002E4EB7" w:rsidRPr="006036A2" w:rsidRDefault="00716BFE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stosowano wcześniej co najmniej </w:t>
            </w:r>
            <w:r w:rsidR="00A120A4" w:rsidRPr="006036A2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4EB7" w:rsidRPr="006036A2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leczenia</w:t>
            </w:r>
            <w:r w:rsidR="002E4EB7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systemowego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, w tym</w:t>
            </w:r>
            <w:r w:rsidR="002E4EB7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inhibitor kinazy tyrozynowej Brutona (inhibitor BTK);</w:t>
            </w:r>
          </w:p>
          <w:p w14:paraId="52BC07DB" w14:textId="77777777" w:rsidR="00CC3F3E" w:rsidRPr="006036A2" w:rsidRDefault="002E4EB7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oporność na leczenie zdefiniowana jako nieosiągnięcie pełnej remisji (CR) lub częściowej remisji (PR) po ostatnim schemacie leczenia lub progresja choroby po ostatnim schemacie leczenia;</w:t>
            </w:r>
          </w:p>
          <w:p w14:paraId="67E55A21" w14:textId="3BD7D626" w:rsidR="00CC3F3E" w:rsidRPr="006036A2" w:rsidRDefault="005C153A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stan </w:t>
            </w:r>
            <w:r w:rsidR="00716BFE" w:rsidRPr="006036A2">
              <w:rPr>
                <w:rFonts w:ascii="Times New Roman" w:hAnsi="Times New Roman" w:cs="Times New Roman"/>
                <w:sz w:val="20"/>
                <w:szCs w:val="20"/>
              </w:rPr>
              <w:t>sprawnoś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716BFE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5A13" w:rsidRPr="006036A2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716BFE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ECOG 0 lub 1;</w:t>
            </w:r>
          </w:p>
          <w:p w14:paraId="0B273B3D" w14:textId="15A7DFBA" w:rsidR="00DA5A13" w:rsidRPr="006036A2" w:rsidRDefault="00CC3F3E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czynność serca, wątroby, nerek oraz płuc pozwalająca</w:t>
            </w:r>
            <w:r w:rsidR="006036A2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w ocenie lekarza prowadzącego na przeprowadzenie terapii;</w:t>
            </w:r>
          </w:p>
          <w:p w14:paraId="195F5C89" w14:textId="3F007602" w:rsidR="00CC3F3E" w:rsidRPr="006036A2" w:rsidRDefault="00DA5A13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możliwość zastosowania u leczonych kobiet w wieku rozrodczym oraz mężczyzn (i ich partnerów seksualnych) skutecznych metod antykoncepcji w okresie co najmniej 12 miesięcy po infuzji autologicznych transdukowanych anty-CD19 komórek CD3-dodatnich.</w:t>
            </w:r>
          </w:p>
          <w:p w14:paraId="5833234A" w14:textId="77777777" w:rsidR="000C39F4" w:rsidRPr="006036A2" w:rsidRDefault="000C39F4" w:rsidP="006036A2">
            <w:pPr>
              <w:widowControl w:val="0"/>
              <w:spacing w:after="60" w:line="276" w:lineRule="auto"/>
              <w:ind w:right="10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Powyższe kryteria kwalifikacji muszą być spełnione łącznie.</w:t>
            </w:r>
          </w:p>
          <w:p w14:paraId="3E96A83E" w14:textId="665B538A" w:rsidR="00DB2809" w:rsidRPr="006036A2" w:rsidRDefault="00DB2809" w:rsidP="006036A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878DB9" w14:textId="32FD20C9" w:rsidR="00EF1CA3" w:rsidRPr="006036A2" w:rsidRDefault="00EF1CA3" w:rsidP="006036A2">
            <w:pPr>
              <w:pStyle w:val="Akapitzlist"/>
              <w:numPr>
                <w:ilvl w:val="1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 czasu leczenia w programie</w:t>
            </w:r>
          </w:p>
          <w:p w14:paraId="34892752" w14:textId="4CD8DC10" w:rsidR="00AB3A0B" w:rsidRPr="006036A2" w:rsidRDefault="001246D8" w:rsidP="006036A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U chorych można zastosować jedno przetoczenie CAR-T (tj. podanie </w:t>
            </w:r>
            <w:r w:rsidR="00F47204" w:rsidRPr="006036A2">
              <w:rPr>
                <w:rFonts w:ascii="Times New Roman" w:hAnsi="Times New Roman" w:cs="Times New Roman"/>
                <w:sz w:val="20"/>
                <w:szCs w:val="20"/>
              </w:rPr>
              <w:t>autologicznych transdukowanych anty-CD19 komórek CD3-dodatnich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). Maksymalny czas opieki w ramach programu lekowego wynosi 12 miesięcy od dnia podania CAR-T.</w:t>
            </w:r>
          </w:p>
          <w:p w14:paraId="282EB11A" w14:textId="77777777" w:rsidR="001246D8" w:rsidRPr="006036A2" w:rsidRDefault="001246D8" w:rsidP="006036A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569B9C" w14:textId="5EF8BF91" w:rsidR="00EF1CA3" w:rsidRPr="006036A2" w:rsidRDefault="00EF1CA3" w:rsidP="006036A2">
            <w:pPr>
              <w:pStyle w:val="Akapitzlist"/>
              <w:numPr>
                <w:ilvl w:val="1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stanowiące przeciw</w:t>
            </w:r>
            <w:r w:rsidR="00B372C9"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skazania do włączenia do programu</w:t>
            </w:r>
          </w:p>
          <w:p w14:paraId="027195B7" w14:textId="77777777" w:rsidR="00EF1CA3" w:rsidRPr="006036A2" w:rsidRDefault="00EF1CA3" w:rsidP="006036A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Obecne co najmniej jedno z poniższych kryteriów podczas kwalifikacji do programu:</w:t>
            </w:r>
          </w:p>
          <w:p w14:paraId="5F5532B3" w14:textId="77777777" w:rsidR="00DA5A13" w:rsidRPr="006036A2" w:rsidRDefault="00DA5A13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nadwrażliwość na którąkolwiek substancję pomocniczą;</w:t>
            </w:r>
          </w:p>
          <w:p w14:paraId="775EB149" w14:textId="77777777" w:rsidR="00DA5A13" w:rsidRPr="006036A2" w:rsidRDefault="00DA5A13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ciąża lub karmienie piersią;</w:t>
            </w:r>
          </w:p>
          <w:p w14:paraId="762BFA1A" w14:textId="77777777" w:rsidR="00DA5A13" w:rsidRPr="006036A2" w:rsidRDefault="00DA5A13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aktywne niekontrolowane zakażenie systemowe;</w:t>
            </w:r>
          </w:p>
          <w:p w14:paraId="4006E586" w14:textId="77777777" w:rsidR="00DA5A13" w:rsidRPr="006036A2" w:rsidRDefault="00DA5A13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aktywna obturacyjna lub restrykcyjna choroba płuc;</w:t>
            </w:r>
          </w:p>
          <w:p w14:paraId="3BF2950C" w14:textId="77777777" w:rsidR="00DA5A13" w:rsidRPr="006036A2" w:rsidRDefault="00DA5A13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aktywna hemoliza;</w:t>
            </w:r>
          </w:p>
          <w:p w14:paraId="5897A117" w14:textId="77777777" w:rsidR="00DA5A13" w:rsidRPr="006036A2" w:rsidRDefault="00DA5A13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aktywna koagulopatia;</w:t>
            </w:r>
          </w:p>
          <w:p w14:paraId="5AE6939E" w14:textId="77777777" w:rsidR="00DA5A13" w:rsidRPr="006036A2" w:rsidRDefault="00DA5A13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zakrzepowe zapalenie żył głębokich lub zatorowość płucna w ciągu ostatnich 6 miesięcy;</w:t>
            </w:r>
          </w:p>
          <w:p w14:paraId="5C307081" w14:textId="77777777" w:rsidR="00DA5A13" w:rsidRPr="006036A2" w:rsidRDefault="00DA5A13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zajęcie ośrodkowego układu nerwowego (OUN) przez chłoniaka lub przez inne choroby obejmujące OUN;</w:t>
            </w:r>
          </w:p>
          <w:p w14:paraId="458BAA16" w14:textId="77777777" w:rsidR="00DA5A13" w:rsidRPr="006036A2" w:rsidRDefault="00DA5A13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zakażenie HIV;</w:t>
            </w:r>
          </w:p>
          <w:p w14:paraId="1C4EE7A3" w14:textId="5F5C2F64" w:rsidR="00DA5A13" w:rsidRPr="006036A2" w:rsidRDefault="00DA5A13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aktywne wirusowe zapalenie wątroby typu B</w:t>
            </w:r>
            <w:r w:rsidR="00A724D4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C;</w:t>
            </w:r>
          </w:p>
          <w:p w14:paraId="6844DA97" w14:textId="77777777" w:rsidR="00DA5A13" w:rsidRPr="006036A2" w:rsidRDefault="00DA5A13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aktywna choroba autoimmunologiczna;</w:t>
            </w:r>
          </w:p>
          <w:p w14:paraId="59F8871B" w14:textId="525305C5" w:rsidR="00DA5A13" w:rsidRPr="006036A2" w:rsidRDefault="00DA5A13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pierwotny niedobór odporności;</w:t>
            </w:r>
          </w:p>
          <w:p w14:paraId="69B7F393" w14:textId="27D3647B" w:rsidR="00637611" w:rsidRPr="006036A2" w:rsidRDefault="00A520E3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aktywna, przewlekła lub ostra choroba przeszczep przeciw gospodarzowi (GvHD) po przeszczepie allogenicznych komórek macierzystych;</w:t>
            </w:r>
          </w:p>
          <w:p w14:paraId="047DDE52" w14:textId="10937CEE" w:rsidR="00637611" w:rsidRPr="006036A2" w:rsidRDefault="00637611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żywa szczepionka podana w ciągu 6 tygodni przed planowanym rozpoczęciem chemioterapii limfodeplecyjnej;</w:t>
            </w:r>
          </w:p>
          <w:p w14:paraId="2D4D108E" w14:textId="1913647E" w:rsidR="00637611" w:rsidRPr="006036A2" w:rsidRDefault="00DA5A13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obecność przeciwwskazań do stosowania chemioterapii limfodeplecyjnej z zastosowaniem takich leków, </w:t>
            </w:r>
            <w:r w:rsidR="006036A2" w:rsidRPr="006036A2">
              <w:rPr>
                <w:rFonts w:ascii="Times New Roman" w:hAnsi="Times New Roman" w:cs="Times New Roman"/>
                <w:sz w:val="20"/>
                <w:szCs w:val="20"/>
              </w:rPr>
              <w:t>jak: cyklofosfamid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i fludarabina;</w:t>
            </w:r>
          </w:p>
          <w:p w14:paraId="4312DA62" w14:textId="7F91370D" w:rsidR="00511C8A" w:rsidRPr="006036A2" w:rsidRDefault="00511C8A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nawrót choroby bez ekspresji CD19 po wcześniejszej terapii anty-CD19.</w:t>
            </w:r>
          </w:p>
          <w:p w14:paraId="00F9E3D0" w14:textId="77777777" w:rsidR="00511C8A" w:rsidRPr="006036A2" w:rsidRDefault="00511C8A" w:rsidP="006036A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7F12C7" w14:textId="59633E85" w:rsidR="00AB3A0B" w:rsidRPr="006036A2" w:rsidRDefault="00AB3A0B" w:rsidP="006036A2">
            <w:pPr>
              <w:pStyle w:val="Akapitzlist"/>
              <w:numPr>
                <w:ilvl w:val="1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Hlk95203625"/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9B13F6"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9B13F6"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9B13F6"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bookmarkEnd w:id="0"/>
          <w:p w14:paraId="5BE8EFDB" w14:textId="05A2774C" w:rsidR="006D0558" w:rsidRPr="006036A2" w:rsidRDefault="001246D8" w:rsidP="006036A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wystąpienie nieodwracalnych, bezwzględnych przeciwwskazań do podania </w:t>
            </w:r>
            <w:r w:rsidR="00CC3F3E" w:rsidRPr="006036A2">
              <w:rPr>
                <w:rFonts w:ascii="Times New Roman" w:hAnsi="Times New Roman" w:cs="Times New Roman"/>
                <w:sz w:val="20"/>
                <w:szCs w:val="20"/>
              </w:rPr>
              <w:t>autologicznych transdukowanych anty-CD19 komórek CD3-dodatnich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09" w:type="dxa"/>
          </w:tcPr>
          <w:p w14:paraId="2EB75392" w14:textId="221C1C10" w:rsidR="00BE0EE4" w:rsidRPr="006036A2" w:rsidRDefault="00BE0EE4" w:rsidP="006036A2">
            <w:pPr>
              <w:pStyle w:val="Akapitzlist"/>
              <w:numPr>
                <w:ilvl w:val="0"/>
                <w:numId w:val="40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 chorych na chłoniaka z komórek płaszcza (MCL) (ICD-10: C85.7) autologicznymi transdukowanymi anty-CD19 komórkami CD3-dodatnimi</w:t>
            </w:r>
          </w:p>
          <w:p w14:paraId="1079E0F2" w14:textId="0E20A758" w:rsidR="00BE0EE4" w:rsidRPr="006036A2" w:rsidRDefault="00BE0EE4" w:rsidP="006036A2">
            <w:pPr>
              <w:pStyle w:val="Akapitzlist"/>
              <w:numPr>
                <w:ilvl w:val="1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Dawkowanie</w:t>
            </w:r>
          </w:p>
          <w:p w14:paraId="030ABBD8" w14:textId="5A73AF78" w:rsidR="007651B4" w:rsidRPr="006036A2" w:rsidRDefault="007651B4" w:rsidP="006036A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Schemat dawkowania </w:t>
            </w:r>
            <w:r w:rsidR="002E4EB7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autologicznych transdukowanych anty-CD19 komórek CD3-dodatnich 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zgodnie z zapisami Charakterystyki Produktu Leczniczego.</w:t>
            </w:r>
          </w:p>
          <w:p w14:paraId="63543D5D" w14:textId="77777777" w:rsidR="000F76AC" w:rsidRPr="006036A2" w:rsidRDefault="000F76AC" w:rsidP="006036A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D50211" w14:textId="1947A484" w:rsidR="007651B4" w:rsidRPr="006036A2" w:rsidRDefault="000F76AC" w:rsidP="006036A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Chemioterapię limfodeplecyjną należy stosować zgodnie z zapisami Charakterystyki Produktu Leczniczego</w:t>
            </w:r>
            <w:r w:rsidR="00806C4B" w:rsidRPr="006036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E0EE4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Przed podaniem </w:t>
            </w:r>
            <w:r w:rsidR="00F05B85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autologicznych transdukowanych anty-CD19 komórek CD3-dodatnich 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zaleca się zastosowanie premedykacji zgodnie z zapisami Charakterystyki Produktu Leczniczego.</w:t>
            </w:r>
          </w:p>
          <w:p w14:paraId="557B335B" w14:textId="77777777" w:rsidR="000F76AC" w:rsidRPr="006036A2" w:rsidRDefault="000F76AC" w:rsidP="006036A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3BC5A6" w14:textId="69F6861B" w:rsidR="00DA1041" w:rsidRPr="006036A2" w:rsidRDefault="00F05B85" w:rsidP="006036A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Autologiczne transdukowane anty-CD19 komórki CD3-dodatnie </w:t>
            </w:r>
            <w:r w:rsidR="007651B4" w:rsidRPr="006036A2">
              <w:rPr>
                <w:rFonts w:ascii="Times New Roman" w:hAnsi="Times New Roman" w:cs="Times New Roman"/>
                <w:sz w:val="20"/>
                <w:szCs w:val="20"/>
              </w:rPr>
              <w:t>mus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zą</w:t>
            </w:r>
            <w:r w:rsidR="007651B4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być podawan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651B4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w wykwalifikowanym ośrodku posiadającym </w:t>
            </w:r>
            <w:r w:rsidR="007651B4" w:rsidRPr="006036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certyfikację Podmiotu Odpowiedzialnego zgodnie z wymogami EMA oraz akceptację MZ po pozytywnej opinii Krajowej Rady Transplantacyjnej odnośnie pobierania i wykorzystania autologicznych limfocytów. Terapię należy rozpoczynać pod nadzorem fachowego personelu medycznego doświadczonego w leczeniu nowotworów układu krwiotwórczego </w:t>
            </w:r>
            <w:r w:rsidR="00BE0EE4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i chłonnego </w:t>
            </w:r>
            <w:r w:rsidR="007651B4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oraz przeszkolonego w podawaniu i postępowaniu z pacjentami leczonymi 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autologicznymi transdukowanymi anty-CD19 komórkami CD3-dodatnimi</w:t>
            </w:r>
            <w:r w:rsidR="000F76AC" w:rsidRPr="006036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20F0D1C" w14:textId="77777777" w:rsidR="000F76AC" w:rsidRPr="006036A2" w:rsidRDefault="000F76AC" w:rsidP="006036A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EC3EED" w14:textId="77777777" w:rsidR="000F76AC" w:rsidRPr="006036A2" w:rsidRDefault="000F76AC" w:rsidP="006036A2">
            <w:pPr>
              <w:pStyle w:val="Akapitzlist"/>
              <w:numPr>
                <w:ilvl w:val="1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Specjalne ostrzeżenia i środki ostrożności dotyczące stosowania, przechowywania, przygotowania i usuwania produktu leczniczego </w:t>
            </w:r>
          </w:p>
          <w:p w14:paraId="2DB9C134" w14:textId="77777777" w:rsidR="000F76AC" w:rsidRPr="006036A2" w:rsidRDefault="000F76AC" w:rsidP="006036A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Postępowanie zgodnie z zapisami Charakterystyki Produktu Leczniczego.</w:t>
            </w:r>
          </w:p>
          <w:p w14:paraId="0E4DC222" w14:textId="1656BF0E" w:rsidR="000F76AC" w:rsidRPr="006036A2" w:rsidRDefault="000F76AC" w:rsidP="006036A2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14" w:type="dxa"/>
          </w:tcPr>
          <w:p w14:paraId="310D9A30" w14:textId="77777777" w:rsidR="00B61294" w:rsidRPr="006036A2" w:rsidRDefault="00B61294" w:rsidP="006036A2">
            <w:pPr>
              <w:pStyle w:val="Akapitzlist"/>
              <w:numPr>
                <w:ilvl w:val="0"/>
                <w:numId w:val="4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 chorych na chłoniaka z komórek płaszcza (MCL) (ICD-10: C85.7) autologicznymi transdukowanymi anty-CD19 komórkami CD3-dodatnimi</w:t>
            </w:r>
          </w:p>
          <w:p w14:paraId="10195DAE" w14:textId="3BCE43B2" w:rsidR="00503C56" w:rsidRPr="006036A2" w:rsidRDefault="00503C56" w:rsidP="006036A2">
            <w:pPr>
              <w:pStyle w:val="Akapitzlist"/>
              <w:numPr>
                <w:ilvl w:val="1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</w:p>
          <w:p w14:paraId="2C277D00" w14:textId="2A304AC6" w:rsidR="006A331D" w:rsidRPr="006036A2" w:rsidRDefault="006A331D" w:rsidP="006036A2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9B13F6"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9B13F6"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1CEE8BFA" w14:textId="5FE7EDCE" w:rsidR="00503C56" w:rsidRPr="006036A2" w:rsidRDefault="00503C56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badanie fizykalne i ocena objawów ze strony </w:t>
            </w:r>
            <w:r w:rsidR="00140A76" w:rsidRPr="006036A2">
              <w:rPr>
                <w:rFonts w:ascii="Times New Roman" w:hAnsi="Times New Roman" w:cs="Times New Roman"/>
                <w:sz w:val="20"/>
                <w:szCs w:val="20"/>
              </w:rPr>
              <w:t>ośrodkowego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układu nerwowego;</w:t>
            </w:r>
          </w:p>
          <w:p w14:paraId="0252A4A1" w14:textId="2C0007DF" w:rsidR="00503C56" w:rsidRPr="006036A2" w:rsidRDefault="00503C56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morfologia krwi obwodowej z rozmazem;</w:t>
            </w:r>
          </w:p>
          <w:p w14:paraId="378257EE" w14:textId="77777777" w:rsidR="00503C56" w:rsidRPr="006036A2" w:rsidRDefault="00503C56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ocena funkcji wątroby (AlAT, AspAT, stężenie bilirubiny w surowicy);</w:t>
            </w:r>
          </w:p>
          <w:p w14:paraId="1E741C15" w14:textId="7E15E0B6" w:rsidR="00503C56" w:rsidRPr="006036A2" w:rsidRDefault="00503C56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ocena funkcji nerek (stężenie kreatyniny w surowicy i klirens kreatyniny);</w:t>
            </w:r>
          </w:p>
          <w:p w14:paraId="00656805" w14:textId="6DAD5538" w:rsidR="007126E7" w:rsidRPr="006036A2" w:rsidRDefault="007126E7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ocena płynu mózgowo-rdzeniowego (w uzasadnionych przypadkach);</w:t>
            </w:r>
          </w:p>
          <w:p w14:paraId="532EA854" w14:textId="77777777" w:rsidR="00503C56" w:rsidRPr="006036A2" w:rsidRDefault="00503C56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test na HIV (przeciwciała anty-HIV w surowicy);</w:t>
            </w:r>
          </w:p>
          <w:p w14:paraId="3FFC83D2" w14:textId="77777777" w:rsidR="00503C56" w:rsidRPr="006036A2" w:rsidRDefault="00503C56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oznaczenie markerów wirusa zapalenia wątroby typu B (HBsAg, anty-HBc, anty-HBs – w przypadku dodatnich anty-HBc wykonać HBV DNA);</w:t>
            </w:r>
          </w:p>
          <w:p w14:paraId="5559D8F1" w14:textId="029F89CB" w:rsidR="00503C56" w:rsidRPr="006036A2" w:rsidRDefault="00503C56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oznaczenie markerów wirusa zapalenia wątroby typu C (anty-HCV, HCV RNA – w przypadku dodatnich anty HCV);</w:t>
            </w:r>
          </w:p>
          <w:p w14:paraId="72E48497" w14:textId="1F6261AF" w:rsidR="00503C56" w:rsidRPr="006036A2" w:rsidRDefault="00503C56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EKG i ECHO/MUGA</w:t>
            </w:r>
            <w:r w:rsidR="008B1D00" w:rsidRPr="006036A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2140052" w14:textId="5C9F8BE8" w:rsidR="009337D9" w:rsidRPr="006036A2" w:rsidRDefault="009D7066" w:rsidP="006036A2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badania radiologiczne potwierdzające wznowę lub oporność choroby, z zastosowaniem CT lub NMR lub PET-CT;</w:t>
            </w:r>
          </w:p>
          <w:p w14:paraId="6405A7BA" w14:textId="13F532B6" w:rsidR="00701DA2" w:rsidRPr="006036A2" w:rsidRDefault="009337D9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oznaczenie parametrów krzepnięcia krwi (PT, aPTT, INR,</w:t>
            </w:r>
            <w:r w:rsidR="006036A2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D-dimer</w:t>
            </w:r>
            <w:r w:rsidR="003B574F" w:rsidRPr="006036A2">
              <w:rPr>
                <w:rFonts w:ascii="Times New Roman" w:hAnsi="Times New Roman" w:cs="Times New Roman"/>
                <w:sz w:val="20"/>
                <w:szCs w:val="20"/>
              </w:rPr>
              <w:t>, fibrynogen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12CA410D" w14:textId="1014DD5A" w:rsidR="009D7066" w:rsidRPr="006036A2" w:rsidRDefault="00701DA2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9D7066" w:rsidRPr="006036A2">
              <w:rPr>
                <w:rFonts w:ascii="Times New Roman" w:hAnsi="Times New Roman" w:cs="Times New Roman"/>
                <w:sz w:val="20"/>
                <w:szCs w:val="20"/>
              </w:rPr>
              <w:t>st ciążowy (u kobiet z możliwością zajścia w ciążę)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B839958" w14:textId="77777777" w:rsidR="008B1D00" w:rsidRPr="006036A2" w:rsidRDefault="008B1D00" w:rsidP="006036A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3E3ABF" w14:textId="3784BAFC" w:rsidR="00DD1AA4" w:rsidRPr="006036A2" w:rsidRDefault="008B1D00" w:rsidP="006036A2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Badania bezpośrednio przed podaniem </w:t>
            </w:r>
            <w:r w:rsidR="00AD3A75"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autologicznych transdukowanych anty-CD19 komórek CD3-dodatnich</w:t>
            </w:r>
          </w:p>
          <w:p w14:paraId="5354DE79" w14:textId="20052389" w:rsidR="008B1D00" w:rsidRPr="006036A2" w:rsidRDefault="008B1D00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morfologia krwi obwodowej z rozmazem;</w:t>
            </w:r>
          </w:p>
          <w:p w14:paraId="05C70174" w14:textId="00310774" w:rsidR="008B1D00" w:rsidRPr="006036A2" w:rsidRDefault="008B1D00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białka ostrej fazy (CRP, ferrytyna);</w:t>
            </w:r>
          </w:p>
          <w:p w14:paraId="73F7A7F5" w14:textId="5E659BD8" w:rsidR="008B1D00" w:rsidRPr="006036A2" w:rsidRDefault="00203DC0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8B1D00" w:rsidRPr="006036A2">
              <w:rPr>
                <w:rFonts w:ascii="Times New Roman" w:hAnsi="Times New Roman" w:cs="Times New Roman"/>
                <w:sz w:val="20"/>
                <w:szCs w:val="20"/>
              </w:rPr>
              <w:t>parametr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8B1D00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krzepnięcia krwi (PT, aPTT, INR, fibrynogen);</w:t>
            </w:r>
          </w:p>
          <w:p w14:paraId="35167797" w14:textId="77777777" w:rsidR="008B1D00" w:rsidRPr="006036A2" w:rsidRDefault="008B1D00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ocena funkcji nerek (jak wyżej);</w:t>
            </w:r>
          </w:p>
          <w:p w14:paraId="39F6B3BF" w14:textId="0359A86F" w:rsidR="008B1D00" w:rsidRPr="006036A2" w:rsidRDefault="008B1D00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ocena funkcji wątroby (jak wyżej).</w:t>
            </w:r>
          </w:p>
          <w:p w14:paraId="219F68D1" w14:textId="77777777" w:rsidR="00150468" w:rsidRPr="006036A2" w:rsidRDefault="00150468" w:rsidP="006036A2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5D5982" w14:textId="4D54C705" w:rsidR="008B1D00" w:rsidRPr="006036A2" w:rsidRDefault="00150468" w:rsidP="006036A2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Badania w dniu następnym po podaniu </w:t>
            </w:r>
            <w:r w:rsidR="00AD3A75"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autologicznych transdukowanych anty-CD19 komórek CD3-dodatnich</w:t>
            </w:r>
          </w:p>
          <w:p w14:paraId="2086CEDB" w14:textId="77777777" w:rsidR="00203DC0" w:rsidRPr="006036A2" w:rsidRDefault="00203DC0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morfologia krwi obwodowej z rozmazem;</w:t>
            </w:r>
          </w:p>
          <w:p w14:paraId="02200D75" w14:textId="6A6E88F6" w:rsidR="00203DC0" w:rsidRPr="006036A2" w:rsidRDefault="00203DC0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oznaczenie parametrów krzepnięcia krwi (PT, aPTT, INR,</w:t>
            </w:r>
            <w:r w:rsidR="006036A2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39D8" w:rsidRPr="006036A2">
              <w:rPr>
                <w:rFonts w:ascii="Times New Roman" w:hAnsi="Times New Roman" w:cs="Times New Roman"/>
                <w:sz w:val="20"/>
                <w:szCs w:val="20"/>
              </w:rPr>
              <w:t>D-dimer, fibrynogen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27BD4D19" w14:textId="3C318F28" w:rsidR="00150468" w:rsidRPr="006036A2" w:rsidRDefault="00203DC0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dodatkowo w sytuacji podejrzenia wystąpienia zespołu uwalniania cytokin (CRS): </w:t>
            </w:r>
            <w:r w:rsidR="006036A2" w:rsidRPr="006036A2">
              <w:rPr>
                <w:rFonts w:ascii="Times New Roman" w:hAnsi="Times New Roman" w:cs="Times New Roman"/>
                <w:sz w:val="20"/>
                <w:szCs w:val="20"/>
              </w:rPr>
              <w:t>CRP, ferrytyna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, LDH</w:t>
            </w:r>
            <w:r w:rsidR="007439D8" w:rsidRPr="006036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74FD8DB" w14:textId="77777777" w:rsidR="00203DC0" w:rsidRPr="006036A2" w:rsidRDefault="00203DC0" w:rsidP="006036A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0517F9" w14:textId="7FB51765" w:rsidR="00150468" w:rsidRPr="006036A2" w:rsidRDefault="006A331D" w:rsidP="006036A2">
            <w:pPr>
              <w:pStyle w:val="Akapitzlist"/>
              <w:numPr>
                <w:ilvl w:val="1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9B13F6"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1602F50B" w14:textId="276887F6" w:rsidR="006A331D" w:rsidRPr="006036A2" w:rsidRDefault="00150468" w:rsidP="006036A2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bezpieczeństwa po podaniu CAR-T:</w:t>
            </w:r>
          </w:p>
          <w:p w14:paraId="62939D87" w14:textId="2E7A2071" w:rsidR="00761B0E" w:rsidRPr="006036A2" w:rsidRDefault="00761B0E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przez pierwsze 10 dni po podaniu infuzji należy monitorować pacjenta w wykwalifikowanym ośrodku leczniczym, czy nie 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występują u niego objawy przedmiotowe i podmiotowe CRS, zdarzeń neurologicznych i innych działań toksycznych;</w:t>
            </w:r>
          </w:p>
          <w:p w14:paraId="41B2E0C8" w14:textId="0441FA9B" w:rsidR="00761B0E" w:rsidRPr="006036A2" w:rsidRDefault="00761B0E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w przypadku podejrzenia lub wystąpienia CRS należy</w:t>
            </w:r>
            <w:r w:rsidR="006036A2" w:rsidRPr="006036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(w uzasadnionych przypadkach) wykonywać badania: CRP, ferrytyna, fibrynogen, LDH, PT, aPTT, INR oraz D-dimer (przy zaistnieniu innych wskazań wykonywać badania zgodnie z nimi)</w:t>
            </w:r>
            <w:r w:rsidR="007439D8" w:rsidRPr="006036A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6621B7" w14:textId="0AD9813B" w:rsidR="00761B0E" w:rsidRPr="006036A2" w:rsidRDefault="00761B0E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po upływie pierwszych 10 dni od infuzji, o dalszym monitorowaniu pacjenta pod kątem CRS decyduje lekarz</w:t>
            </w:r>
            <w:r w:rsidR="007439D8" w:rsidRPr="006036A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4147242" w14:textId="7985F65E" w:rsidR="00761B0E" w:rsidRPr="006036A2" w:rsidRDefault="00761B0E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hAnsi="Times New Roman" w:cs="Times New Roman"/>
                <w:sz w:val="20"/>
                <w:szCs w:val="20"/>
              </w:rPr>
              <w:t>morfologia krwi obwodowej i badania biochemiczne (AST, ALT, bilirubina, mocznik, kreatynina, elektrolity) – co najmniej 2 razy w tygodniu w ciągu pierwszych 2 tygodni od podania leku, a następnie w zależności od sytuacji klinicznej.</w:t>
            </w:r>
          </w:p>
          <w:p w14:paraId="23497D7E" w14:textId="77777777" w:rsidR="00761B0E" w:rsidRPr="006036A2" w:rsidRDefault="00761B0E" w:rsidP="006036A2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55A57F8" w14:textId="264A06F9" w:rsidR="00495793" w:rsidRPr="006036A2" w:rsidRDefault="00495793" w:rsidP="006036A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03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1.2.2. Monitorowanie skuteczności leczenia</w:t>
            </w:r>
          </w:p>
          <w:p w14:paraId="7F8919CA" w14:textId="77777777" w:rsidR="00010937" w:rsidRPr="006036A2" w:rsidRDefault="00495793" w:rsidP="006036A2">
            <w:pPr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 3 miesiące:</w:t>
            </w:r>
          </w:p>
          <w:p w14:paraId="4D236ADF" w14:textId="374224C3" w:rsidR="00495793" w:rsidRPr="006036A2" w:rsidRDefault="00495793" w:rsidP="006036A2">
            <w:pPr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 z zastosowaniem CT lub NMR lub PET-CT przez okres 12 miesięcy od podania CAR-T.</w:t>
            </w:r>
          </w:p>
          <w:p w14:paraId="1D6DE08E" w14:textId="77777777" w:rsidR="00495793" w:rsidRPr="006036A2" w:rsidRDefault="00495793" w:rsidP="006036A2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ED6730E" w14:textId="10477572" w:rsidR="00A25D8E" w:rsidRPr="006036A2" w:rsidRDefault="00A25D8E" w:rsidP="006036A2">
            <w:pPr>
              <w:numPr>
                <w:ilvl w:val="0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03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9B13F6" w:rsidRPr="006036A2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036A2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24089297" w14:textId="03FCF442" w:rsidR="00A25D8E" w:rsidRPr="006036A2" w:rsidRDefault="00010937" w:rsidP="006036A2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romadzenie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</w:t>
            </w:r>
            <w:r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4F6DAA4" w14:textId="0C5FA5F5" w:rsidR="00526425" w:rsidRPr="006036A2" w:rsidRDefault="00010937" w:rsidP="006036A2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zupełnianie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03C5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elektronicznym systemie monitorowania programów lekowych (SMPT)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34EB4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18A8AF6" w14:textId="77777777" w:rsidR="000640CC" w:rsidRPr="006036A2" w:rsidRDefault="00010937" w:rsidP="006036A2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przekazywanie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F2114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B13F6"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36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NFZ.</w:t>
            </w:r>
          </w:p>
          <w:p w14:paraId="17335FAE" w14:textId="643E9FEF" w:rsidR="006036A2" w:rsidRPr="006036A2" w:rsidRDefault="006036A2" w:rsidP="006036A2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D65AE6" w14:textId="69160416" w:rsidR="00006A8F" w:rsidRPr="009B13F6" w:rsidRDefault="00006A8F" w:rsidP="006739E1">
      <w:pPr>
        <w:spacing w:after="60"/>
        <w:jc w:val="both"/>
        <w:rPr>
          <w:sz w:val="2"/>
          <w:szCs w:val="2"/>
        </w:rPr>
      </w:pPr>
    </w:p>
    <w:sectPr w:rsidR="00006A8F" w:rsidRPr="009B13F6" w:rsidSect="00AD7A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E3461" w14:textId="77777777" w:rsidR="003B33D5" w:rsidRDefault="003B33D5" w:rsidP="00777064">
      <w:pPr>
        <w:spacing w:after="0" w:line="240" w:lineRule="auto"/>
      </w:pPr>
      <w:r>
        <w:separator/>
      </w:r>
    </w:p>
  </w:endnote>
  <w:endnote w:type="continuationSeparator" w:id="0">
    <w:p w14:paraId="123AC8BB" w14:textId="77777777" w:rsidR="003B33D5" w:rsidRDefault="003B33D5" w:rsidP="00777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4687E" w14:textId="77777777" w:rsidR="00777064" w:rsidRDefault="007770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D8F43" w14:textId="77777777" w:rsidR="00777064" w:rsidRDefault="007770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0542E" w14:textId="77777777" w:rsidR="00777064" w:rsidRDefault="00777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DDFF3" w14:textId="77777777" w:rsidR="003B33D5" w:rsidRDefault="003B33D5" w:rsidP="00777064">
      <w:pPr>
        <w:spacing w:after="0" w:line="240" w:lineRule="auto"/>
      </w:pPr>
      <w:r>
        <w:separator/>
      </w:r>
    </w:p>
  </w:footnote>
  <w:footnote w:type="continuationSeparator" w:id="0">
    <w:p w14:paraId="4A748113" w14:textId="77777777" w:rsidR="003B33D5" w:rsidRDefault="003B33D5" w:rsidP="00777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0C758" w14:textId="77777777" w:rsidR="00777064" w:rsidRDefault="007770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0BA1D" w14:textId="77777777" w:rsidR="00777064" w:rsidRDefault="007770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A0431" w14:textId="77777777" w:rsidR="00777064" w:rsidRDefault="007770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A20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5DC749B"/>
    <w:multiLevelType w:val="multilevel"/>
    <w:tmpl w:val="86ACF2F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90D5BDC"/>
    <w:multiLevelType w:val="multilevel"/>
    <w:tmpl w:val="6922BFD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0D49A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B7A098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00E0FCA"/>
    <w:multiLevelType w:val="hybridMultilevel"/>
    <w:tmpl w:val="09D6D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A29AB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1FAEAA08">
      <w:start w:val="1"/>
      <w:numFmt w:val="bullet"/>
      <w:lvlText w:val=""/>
      <w:lvlJc w:val="left"/>
      <w:pPr>
        <w:ind w:left="2685" w:hanging="705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B444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2F629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59709AB"/>
    <w:multiLevelType w:val="multilevel"/>
    <w:tmpl w:val="55FAB6A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93A65"/>
    <w:multiLevelType w:val="hybridMultilevel"/>
    <w:tmpl w:val="B5900218"/>
    <w:lvl w:ilvl="0" w:tplc="393AEF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03A799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21A41"/>
    <w:multiLevelType w:val="multilevel"/>
    <w:tmpl w:val="BFC22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EB370DF"/>
    <w:multiLevelType w:val="multilevel"/>
    <w:tmpl w:val="C9E29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101644B"/>
    <w:multiLevelType w:val="multilevel"/>
    <w:tmpl w:val="B80E5FDC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2A95E7C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7093F82"/>
    <w:multiLevelType w:val="hybridMultilevel"/>
    <w:tmpl w:val="014C1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211AB"/>
    <w:multiLevelType w:val="hybridMultilevel"/>
    <w:tmpl w:val="8D240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2540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D387D6A"/>
    <w:multiLevelType w:val="hybridMultilevel"/>
    <w:tmpl w:val="61AA4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31DE5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98C648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9DF51C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BA26EB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C6A6A04"/>
    <w:multiLevelType w:val="hybridMultilevel"/>
    <w:tmpl w:val="A38CA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350AA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4" w15:restartNumberingAfterBreak="0">
    <w:nsid w:val="47292233"/>
    <w:multiLevelType w:val="hybridMultilevel"/>
    <w:tmpl w:val="535C64EE"/>
    <w:lvl w:ilvl="0" w:tplc="04150001">
      <w:start w:val="1"/>
      <w:numFmt w:val="bullet"/>
      <w:lvlText w:val=""/>
      <w:lvlJc w:val="left"/>
      <w:pPr>
        <w:ind w:left="846" w:hanging="70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3F34EA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1852420"/>
    <w:multiLevelType w:val="hybridMultilevel"/>
    <w:tmpl w:val="F5B0F43E"/>
    <w:lvl w:ilvl="0" w:tplc="EE1A23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1EC525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A09E39B4">
      <w:start w:val="1"/>
      <w:numFmt w:val="bullet"/>
      <w:lvlText w:val="•"/>
      <w:lvlJc w:val="left"/>
      <w:pPr>
        <w:ind w:left="2685" w:hanging="705"/>
      </w:pPr>
      <w:rPr>
        <w:rFonts w:ascii="Times New Roman" w:eastAsiaTheme="minorHAnsi" w:hAnsi="Times New Roman" w:cs="Times New Roman" w:hint="default"/>
      </w:rPr>
    </w:lvl>
    <w:lvl w:ilvl="3" w:tplc="9A0E9EEE">
      <w:start w:val="1"/>
      <w:numFmt w:val="bullet"/>
      <w:lvlText w:val=""/>
      <w:lvlJc w:val="left"/>
      <w:pPr>
        <w:ind w:left="3225" w:hanging="705"/>
      </w:pPr>
      <w:rPr>
        <w:rFonts w:ascii="Symbol" w:eastAsiaTheme="minorHAns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4B436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5C80EB3"/>
    <w:multiLevelType w:val="multilevel"/>
    <w:tmpl w:val="38C06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7E11FAF"/>
    <w:multiLevelType w:val="multilevel"/>
    <w:tmpl w:val="40EA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8EE5AE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5B215367"/>
    <w:multiLevelType w:val="hybridMultilevel"/>
    <w:tmpl w:val="CE72A7E2"/>
    <w:lvl w:ilvl="0" w:tplc="AFB8A0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039E4"/>
    <w:multiLevelType w:val="hybridMultilevel"/>
    <w:tmpl w:val="4A867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14125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6385287D"/>
    <w:multiLevelType w:val="hybridMultilevel"/>
    <w:tmpl w:val="5DAAA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F42CFC"/>
    <w:multiLevelType w:val="hybridMultilevel"/>
    <w:tmpl w:val="F05452D0"/>
    <w:lvl w:ilvl="0" w:tplc="7A4A0B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43C41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8" w15:restartNumberingAfterBreak="0">
    <w:nsid w:val="753D0802"/>
    <w:multiLevelType w:val="hybridMultilevel"/>
    <w:tmpl w:val="C17E8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B3C6A"/>
    <w:multiLevelType w:val="multilevel"/>
    <w:tmpl w:val="F69440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2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4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256" w:hanging="1440"/>
      </w:pPr>
      <w:rPr>
        <w:rFonts w:hint="default"/>
        <w:b/>
      </w:rPr>
    </w:lvl>
  </w:abstractNum>
  <w:abstractNum w:abstractNumId="40" w15:restartNumberingAfterBreak="0">
    <w:nsid w:val="767E1BEE"/>
    <w:multiLevelType w:val="multilevel"/>
    <w:tmpl w:val="905CC0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7904610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7B8D2F10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3" w15:restartNumberingAfterBreak="0">
    <w:nsid w:val="7D625F76"/>
    <w:multiLevelType w:val="hybridMultilevel"/>
    <w:tmpl w:val="37088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478679">
    <w:abstractNumId w:val="29"/>
  </w:num>
  <w:num w:numId="2" w16cid:durableId="921794936">
    <w:abstractNumId w:val="2"/>
  </w:num>
  <w:num w:numId="3" w16cid:durableId="957024895">
    <w:abstractNumId w:val="36"/>
  </w:num>
  <w:num w:numId="4" w16cid:durableId="509833035">
    <w:abstractNumId w:val="11"/>
  </w:num>
  <w:num w:numId="5" w16cid:durableId="1041590698">
    <w:abstractNumId w:val="38"/>
  </w:num>
  <w:num w:numId="6" w16cid:durableId="298460834">
    <w:abstractNumId w:val="43"/>
  </w:num>
  <w:num w:numId="7" w16cid:durableId="497430307">
    <w:abstractNumId w:val="15"/>
  </w:num>
  <w:num w:numId="8" w16cid:durableId="2007398646">
    <w:abstractNumId w:val="8"/>
  </w:num>
  <w:num w:numId="9" w16cid:durableId="995381660">
    <w:abstractNumId w:val="35"/>
  </w:num>
  <w:num w:numId="10" w16cid:durableId="121198703">
    <w:abstractNumId w:val="32"/>
  </w:num>
  <w:num w:numId="11" w16cid:durableId="69272761">
    <w:abstractNumId w:val="22"/>
  </w:num>
  <w:num w:numId="12" w16cid:durableId="1066994562">
    <w:abstractNumId w:val="34"/>
  </w:num>
  <w:num w:numId="13" w16cid:durableId="1201239595">
    <w:abstractNumId w:val="4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44904133">
    <w:abstractNumId w:val="37"/>
  </w:num>
  <w:num w:numId="15" w16cid:durableId="1739085395">
    <w:abstractNumId w:val="23"/>
  </w:num>
  <w:num w:numId="16" w16cid:durableId="19822724">
    <w:abstractNumId w:val="18"/>
  </w:num>
  <w:num w:numId="17" w16cid:durableId="294214963">
    <w:abstractNumId w:val="12"/>
  </w:num>
  <w:num w:numId="18" w16cid:durableId="2018850336">
    <w:abstractNumId w:val="28"/>
  </w:num>
  <w:num w:numId="19" w16cid:durableId="1043211940">
    <w:abstractNumId w:val="14"/>
  </w:num>
  <w:num w:numId="20" w16cid:durableId="1907954764">
    <w:abstractNumId w:val="17"/>
  </w:num>
  <w:num w:numId="21" w16cid:durableId="958800887">
    <w:abstractNumId w:val="25"/>
  </w:num>
  <w:num w:numId="22" w16cid:durableId="1797719979">
    <w:abstractNumId w:val="13"/>
  </w:num>
  <w:num w:numId="23" w16cid:durableId="1439065866">
    <w:abstractNumId w:val="20"/>
  </w:num>
  <w:num w:numId="24" w16cid:durableId="1940333078">
    <w:abstractNumId w:val="21"/>
  </w:num>
  <w:num w:numId="25" w16cid:durableId="1600989862">
    <w:abstractNumId w:val="41"/>
  </w:num>
  <w:num w:numId="26" w16cid:durableId="1903983817">
    <w:abstractNumId w:val="27"/>
  </w:num>
  <w:num w:numId="27" w16cid:durableId="1420369439">
    <w:abstractNumId w:val="6"/>
  </w:num>
  <w:num w:numId="28" w16cid:durableId="285893621">
    <w:abstractNumId w:val="26"/>
  </w:num>
  <w:num w:numId="29" w16cid:durableId="992024282">
    <w:abstractNumId w:val="3"/>
  </w:num>
  <w:num w:numId="30" w16cid:durableId="1153134205">
    <w:abstractNumId w:val="9"/>
  </w:num>
  <w:num w:numId="31" w16cid:durableId="1647052000">
    <w:abstractNumId w:val="7"/>
  </w:num>
  <w:num w:numId="32" w16cid:durableId="1432971903">
    <w:abstractNumId w:val="5"/>
  </w:num>
  <w:num w:numId="33" w16cid:durableId="999961921">
    <w:abstractNumId w:val="1"/>
  </w:num>
  <w:num w:numId="34" w16cid:durableId="1296834443">
    <w:abstractNumId w:val="33"/>
  </w:num>
  <w:num w:numId="35" w16cid:durableId="675308382">
    <w:abstractNumId w:val="30"/>
  </w:num>
  <w:num w:numId="36" w16cid:durableId="1230119055">
    <w:abstractNumId w:val="24"/>
  </w:num>
  <w:num w:numId="37" w16cid:durableId="2128693292">
    <w:abstractNumId w:val="31"/>
  </w:num>
  <w:num w:numId="38" w16cid:durableId="1149250431">
    <w:abstractNumId w:val="39"/>
  </w:num>
  <w:num w:numId="39" w16cid:durableId="1448508329">
    <w:abstractNumId w:val="4"/>
  </w:num>
  <w:num w:numId="40" w16cid:durableId="581912223">
    <w:abstractNumId w:val="10"/>
  </w:num>
  <w:num w:numId="41" w16cid:durableId="1981230202">
    <w:abstractNumId w:val="19"/>
  </w:num>
  <w:num w:numId="42" w16cid:durableId="1004936073">
    <w:abstractNumId w:val="40"/>
  </w:num>
  <w:num w:numId="43" w16cid:durableId="1732383224">
    <w:abstractNumId w:val="0"/>
  </w:num>
  <w:num w:numId="44" w16cid:durableId="9959166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MDocumentId" w:val="EMEA_DMS!404474106.1"/>
    <w:docVar w:name="DMDocumentLibraryName" w:val="EMEA_DMS"/>
    <w:docVar w:name="DMReference" w:val="404474106-v2\EMEA_DMS"/>
  </w:docVars>
  <w:rsids>
    <w:rsidRoot w:val="00971D9B"/>
    <w:rsid w:val="00000263"/>
    <w:rsid w:val="00002960"/>
    <w:rsid w:val="000042CB"/>
    <w:rsid w:val="00004CA8"/>
    <w:rsid w:val="00006A8F"/>
    <w:rsid w:val="00010937"/>
    <w:rsid w:val="000179EB"/>
    <w:rsid w:val="000252C9"/>
    <w:rsid w:val="00030E0A"/>
    <w:rsid w:val="00032EC5"/>
    <w:rsid w:val="0003550D"/>
    <w:rsid w:val="00036647"/>
    <w:rsid w:val="00037CFA"/>
    <w:rsid w:val="00046005"/>
    <w:rsid w:val="0004757B"/>
    <w:rsid w:val="00060DB6"/>
    <w:rsid w:val="00063A33"/>
    <w:rsid w:val="000640CC"/>
    <w:rsid w:val="000653EF"/>
    <w:rsid w:val="00085755"/>
    <w:rsid w:val="00090209"/>
    <w:rsid w:val="00090536"/>
    <w:rsid w:val="000910DA"/>
    <w:rsid w:val="00097E02"/>
    <w:rsid w:val="000A0CB0"/>
    <w:rsid w:val="000A52B3"/>
    <w:rsid w:val="000B0278"/>
    <w:rsid w:val="000B5F9E"/>
    <w:rsid w:val="000C39F4"/>
    <w:rsid w:val="000D0E52"/>
    <w:rsid w:val="000D291B"/>
    <w:rsid w:val="000F39D8"/>
    <w:rsid w:val="000F76AC"/>
    <w:rsid w:val="00102154"/>
    <w:rsid w:val="00104C31"/>
    <w:rsid w:val="00120CF7"/>
    <w:rsid w:val="00121A99"/>
    <w:rsid w:val="001246D8"/>
    <w:rsid w:val="0012493A"/>
    <w:rsid w:val="00127F97"/>
    <w:rsid w:val="00132EAC"/>
    <w:rsid w:val="00140A76"/>
    <w:rsid w:val="0014213C"/>
    <w:rsid w:val="00142717"/>
    <w:rsid w:val="00144B2A"/>
    <w:rsid w:val="0014576A"/>
    <w:rsid w:val="00150468"/>
    <w:rsid w:val="001567E2"/>
    <w:rsid w:val="00161CDE"/>
    <w:rsid w:val="00161D42"/>
    <w:rsid w:val="0016693A"/>
    <w:rsid w:val="00172568"/>
    <w:rsid w:val="001746F7"/>
    <w:rsid w:val="0019262E"/>
    <w:rsid w:val="0019456C"/>
    <w:rsid w:val="00195EAC"/>
    <w:rsid w:val="001B2709"/>
    <w:rsid w:val="001C30BB"/>
    <w:rsid w:val="001C4E43"/>
    <w:rsid w:val="001C5F00"/>
    <w:rsid w:val="001E2C54"/>
    <w:rsid w:val="001E425C"/>
    <w:rsid w:val="001E47C7"/>
    <w:rsid w:val="001E6CE7"/>
    <w:rsid w:val="001F1494"/>
    <w:rsid w:val="001F1C7E"/>
    <w:rsid w:val="001F4452"/>
    <w:rsid w:val="001F543A"/>
    <w:rsid w:val="0020079E"/>
    <w:rsid w:val="00202A04"/>
    <w:rsid w:val="00203DC0"/>
    <w:rsid w:val="00212516"/>
    <w:rsid w:val="00213F1B"/>
    <w:rsid w:val="00213F84"/>
    <w:rsid w:val="00221F54"/>
    <w:rsid w:val="00223CC9"/>
    <w:rsid w:val="002311E9"/>
    <w:rsid w:val="00231D81"/>
    <w:rsid w:val="00237151"/>
    <w:rsid w:val="00237E75"/>
    <w:rsid w:val="002433C0"/>
    <w:rsid w:val="002435D3"/>
    <w:rsid w:val="0025478C"/>
    <w:rsid w:val="00256509"/>
    <w:rsid w:val="0025656E"/>
    <w:rsid w:val="00257206"/>
    <w:rsid w:val="00263665"/>
    <w:rsid w:val="00267330"/>
    <w:rsid w:val="00267CCC"/>
    <w:rsid w:val="00271172"/>
    <w:rsid w:val="00281724"/>
    <w:rsid w:val="00291F18"/>
    <w:rsid w:val="00295208"/>
    <w:rsid w:val="002B3A99"/>
    <w:rsid w:val="002B4593"/>
    <w:rsid w:val="002C39E7"/>
    <w:rsid w:val="002C65CE"/>
    <w:rsid w:val="002D2DC4"/>
    <w:rsid w:val="002D4D59"/>
    <w:rsid w:val="002E091E"/>
    <w:rsid w:val="002E1826"/>
    <w:rsid w:val="002E4BF9"/>
    <w:rsid w:val="002E4EB7"/>
    <w:rsid w:val="002F186A"/>
    <w:rsid w:val="00314453"/>
    <w:rsid w:val="003167E9"/>
    <w:rsid w:val="003242C2"/>
    <w:rsid w:val="00333676"/>
    <w:rsid w:val="00336C2D"/>
    <w:rsid w:val="00343CC6"/>
    <w:rsid w:val="00344227"/>
    <w:rsid w:val="0035059D"/>
    <w:rsid w:val="00352ACB"/>
    <w:rsid w:val="00354FD4"/>
    <w:rsid w:val="00357A45"/>
    <w:rsid w:val="00361F3B"/>
    <w:rsid w:val="00365025"/>
    <w:rsid w:val="003763EA"/>
    <w:rsid w:val="00381E4D"/>
    <w:rsid w:val="00384B9C"/>
    <w:rsid w:val="003A20A5"/>
    <w:rsid w:val="003A67A4"/>
    <w:rsid w:val="003B01F7"/>
    <w:rsid w:val="003B33D5"/>
    <w:rsid w:val="003B3CF5"/>
    <w:rsid w:val="003B55E6"/>
    <w:rsid w:val="003B574F"/>
    <w:rsid w:val="003B5B5B"/>
    <w:rsid w:val="003C51C0"/>
    <w:rsid w:val="003D1606"/>
    <w:rsid w:val="003D2959"/>
    <w:rsid w:val="003D4583"/>
    <w:rsid w:val="003D5012"/>
    <w:rsid w:val="003D60C1"/>
    <w:rsid w:val="003D76D6"/>
    <w:rsid w:val="003E6491"/>
    <w:rsid w:val="003F315A"/>
    <w:rsid w:val="003F5531"/>
    <w:rsid w:val="003F66BF"/>
    <w:rsid w:val="0040465B"/>
    <w:rsid w:val="00405EB8"/>
    <w:rsid w:val="0041002D"/>
    <w:rsid w:val="00415093"/>
    <w:rsid w:val="00422D4D"/>
    <w:rsid w:val="00432394"/>
    <w:rsid w:val="004343AD"/>
    <w:rsid w:val="00436A95"/>
    <w:rsid w:val="00437FAF"/>
    <w:rsid w:val="00454FFD"/>
    <w:rsid w:val="0047133D"/>
    <w:rsid w:val="00471EBA"/>
    <w:rsid w:val="00482098"/>
    <w:rsid w:val="0048640D"/>
    <w:rsid w:val="00495793"/>
    <w:rsid w:val="004A79E8"/>
    <w:rsid w:val="004B2975"/>
    <w:rsid w:val="004B79B9"/>
    <w:rsid w:val="004D1FAC"/>
    <w:rsid w:val="004D26EC"/>
    <w:rsid w:val="004D7A56"/>
    <w:rsid w:val="004E3993"/>
    <w:rsid w:val="004E4553"/>
    <w:rsid w:val="004E61E0"/>
    <w:rsid w:val="004F162B"/>
    <w:rsid w:val="004F2192"/>
    <w:rsid w:val="004F4948"/>
    <w:rsid w:val="004F7967"/>
    <w:rsid w:val="00501D31"/>
    <w:rsid w:val="00502D57"/>
    <w:rsid w:val="00503C56"/>
    <w:rsid w:val="005061A3"/>
    <w:rsid w:val="00506A5A"/>
    <w:rsid w:val="00507EF5"/>
    <w:rsid w:val="00511113"/>
    <w:rsid w:val="00511C8A"/>
    <w:rsid w:val="00513D99"/>
    <w:rsid w:val="005226C0"/>
    <w:rsid w:val="005254FC"/>
    <w:rsid w:val="00526425"/>
    <w:rsid w:val="0053023F"/>
    <w:rsid w:val="00536C47"/>
    <w:rsid w:val="005379BE"/>
    <w:rsid w:val="0054530B"/>
    <w:rsid w:val="0055337E"/>
    <w:rsid w:val="00553BAE"/>
    <w:rsid w:val="00553D1B"/>
    <w:rsid w:val="00555C07"/>
    <w:rsid w:val="00555F20"/>
    <w:rsid w:val="00565C76"/>
    <w:rsid w:val="005725F2"/>
    <w:rsid w:val="00573D99"/>
    <w:rsid w:val="00575CD8"/>
    <w:rsid w:val="00577EB2"/>
    <w:rsid w:val="005919C9"/>
    <w:rsid w:val="005A0321"/>
    <w:rsid w:val="005A38EC"/>
    <w:rsid w:val="005A3FC7"/>
    <w:rsid w:val="005A6707"/>
    <w:rsid w:val="005B3B41"/>
    <w:rsid w:val="005C153A"/>
    <w:rsid w:val="005C183B"/>
    <w:rsid w:val="005C1950"/>
    <w:rsid w:val="005C4C1A"/>
    <w:rsid w:val="005C500B"/>
    <w:rsid w:val="005C54E4"/>
    <w:rsid w:val="005D3357"/>
    <w:rsid w:val="005D61A9"/>
    <w:rsid w:val="005E0501"/>
    <w:rsid w:val="005E27ED"/>
    <w:rsid w:val="005E41A4"/>
    <w:rsid w:val="005E5AF4"/>
    <w:rsid w:val="005E6C6F"/>
    <w:rsid w:val="005F3D98"/>
    <w:rsid w:val="005F5546"/>
    <w:rsid w:val="005F6AA0"/>
    <w:rsid w:val="00600499"/>
    <w:rsid w:val="0060135D"/>
    <w:rsid w:val="006036A2"/>
    <w:rsid w:val="0060539A"/>
    <w:rsid w:val="00611B3C"/>
    <w:rsid w:val="0061420D"/>
    <w:rsid w:val="0061707A"/>
    <w:rsid w:val="00626F2A"/>
    <w:rsid w:val="00627CA3"/>
    <w:rsid w:val="00637611"/>
    <w:rsid w:val="006443CC"/>
    <w:rsid w:val="0064522A"/>
    <w:rsid w:val="0064626D"/>
    <w:rsid w:val="00646A2C"/>
    <w:rsid w:val="00651CF7"/>
    <w:rsid w:val="006545A7"/>
    <w:rsid w:val="0066408B"/>
    <w:rsid w:val="006710D9"/>
    <w:rsid w:val="00672ADC"/>
    <w:rsid w:val="006739E1"/>
    <w:rsid w:val="00681BF3"/>
    <w:rsid w:val="00681D66"/>
    <w:rsid w:val="00682429"/>
    <w:rsid w:val="00684593"/>
    <w:rsid w:val="006867BC"/>
    <w:rsid w:val="0069017F"/>
    <w:rsid w:val="00692362"/>
    <w:rsid w:val="00693A03"/>
    <w:rsid w:val="006A0B9D"/>
    <w:rsid w:val="006A331D"/>
    <w:rsid w:val="006A3A0D"/>
    <w:rsid w:val="006A44D5"/>
    <w:rsid w:val="006A7391"/>
    <w:rsid w:val="006B2368"/>
    <w:rsid w:val="006C5643"/>
    <w:rsid w:val="006D0558"/>
    <w:rsid w:val="006D3C9C"/>
    <w:rsid w:val="006F3DF5"/>
    <w:rsid w:val="006F4868"/>
    <w:rsid w:val="00701DA2"/>
    <w:rsid w:val="00703A07"/>
    <w:rsid w:val="00705644"/>
    <w:rsid w:val="00705EF6"/>
    <w:rsid w:val="007126E7"/>
    <w:rsid w:val="00716BFE"/>
    <w:rsid w:val="00717D49"/>
    <w:rsid w:val="00722124"/>
    <w:rsid w:val="007232E5"/>
    <w:rsid w:val="00727A11"/>
    <w:rsid w:val="007306C5"/>
    <w:rsid w:val="00731840"/>
    <w:rsid w:val="00734FCD"/>
    <w:rsid w:val="0074396B"/>
    <w:rsid w:val="007439D8"/>
    <w:rsid w:val="00744ECE"/>
    <w:rsid w:val="00746B45"/>
    <w:rsid w:val="00752541"/>
    <w:rsid w:val="00753ADE"/>
    <w:rsid w:val="007545D7"/>
    <w:rsid w:val="0076088F"/>
    <w:rsid w:val="00761B0E"/>
    <w:rsid w:val="00763F41"/>
    <w:rsid w:val="007651B4"/>
    <w:rsid w:val="007670B5"/>
    <w:rsid w:val="00770FE9"/>
    <w:rsid w:val="007750BA"/>
    <w:rsid w:val="00777064"/>
    <w:rsid w:val="007773E1"/>
    <w:rsid w:val="00785C27"/>
    <w:rsid w:val="007931AF"/>
    <w:rsid w:val="00793B0E"/>
    <w:rsid w:val="00794A8A"/>
    <w:rsid w:val="007A387B"/>
    <w:rsid w:val="007B7A5F"/>
    <w:rsid w:val="007C09C3"/>
    <w:rsid w:val="007C0A2A"/>
    <w:rsid w:val="007C32D0"/>
    <w:rsid w:val="007C5755"/>
    <w:rsid w:val="007D4346"/>
    <w:rsid w:val="007D4533"/>
    <w:rsid w:val="007D52C1"/>
    <w:rsid w:val="007E2CF9"/>
    <w:rsid w:val="007E4861"/>
    <w:rsid w:val="007F4155"/>
    <w:rsid w:val="00806C4B"/>
    <w:rsid w:val="008073C6"/>
    <w:rsid w:val="0081296A"/>
    <w:rsid w:val="00814E7E"/>
    <w:rsid w:val="008179E5"/>
    <w:rsid w:val="00821E0C"/>
    <w:rsid w:val="00824003"/>
    <w:rsid w:val="0082462E"/>
    <w:rsid w:val="00836318"/>
    <w:rsid w:val="008363E1"/>
    <w:rsid w:val="00837403"/>
    <w:rsid w:val="00837E4A"/>
    <w:rsid w:val="00844D12"/>
    <w:rsid w:val="00847ACF"/>
    <w:rsid w:val="00851E35"/>
    <w:rsid w:val="00852B9E"/>
    <w:rsid w:val="00854ECD"/>
    <w:rsid w:val="0085596B"/>
    <w:rsid w:val="00857F83"/>
    <w:rsid w:val="008648FE"/>
    <w:rsid w:val="00867DB8"/>
    <w:rsid w:val="00873A12"/>
    <w:rsid w:val="0088162E"/>
    <w:rsid w:val="008819F6"/>
    <w:rsid w:val="008837D4"/>
    <w:rsid w:val="008944C2"/>
    <w:rsid w:val="008A413C"/>
    <w:rsid w:val="008A462F"/>
    <w:rsid w:val="008B1D00"/>
    <w:rsid w:val="008D29EE"/>
    <w:rsid w:val="008D300F"/>
    <w:rsid w:val="008E301B"/>
    <w:rsid w:val="008E71E7"/>
    <w:rsid w:val="009015D8"/>
    <w:rsid w:val="00902BD7"/>
    <w:rsid w:val="009100F3"/>
    <w:rsid w:val="009248AB"/>
    <w:rsid w:val="00926CA3"/>
    <w:rsid w:val="009337D9"/>
    <w:rsid w:val="00945AF5"/>
    <w:rsid w:val="0094714A"/>
    <w:rsid w:val="009503B4"/>
    <w:rsid w:val="009518FB"/>
    <w:rsid w:val="00951F22"/>
    <w:rsid w:val="00955703"/>
    <w:rsid w:val="00960E9C"/>
    <w:rsid w:val="00964F53"/>
    <w:rsid w:val="00965F1B"/>
    <w:rsid w:val="0097078A"/>
    <w:rsid w:val="00971D9B"/>
    <w:rsid w:val="009732F1"/>
    <w:rsid w:val="00974E59"/>
    <w:rsid w:val="009758F8"/>
    <w:rsid w:val="0098067A"/>
    <w:rsid w:val="00983F32"/>
    <w:rsid w:val="00985537"/>
    <w:rsid w:val="00986429"/>
    <w:rsid w:val="009942A6"/>
    <w:rsid w:val="009A44A0"/>
    <w:rsid w:val="009B13F6"/>
    <w:rsid w:val="009B1961"/>
    <w:rsid w:val="009B1E2C"/>
    <w:rsid w:val="009B5785"/>
    <w:rsid w:val="009C3429"/>
    <w:rsid w:val="009C46FB"/>
    <w:rsid w:val="009C60F5"/>
    <w:rsid w:val="009C652E"/>
    <w:rsid w:val="009C6984"/>
    <w:rsid w:val="009D7066"/>
    <w:rsid w:val="009E1F23"/>
    <w:rsid w:val="00A0275A"/>
    <w:rsid w:val="00A109DC"/>
    <w:rsid w:val="00A11A11"/>
    <w:rsid w:val="00A120A4"/>
    <w:rsid w:val="00A217E6"/>
    <w:rsid w:val="00A25D8E"/>
    <w:rsid w:val="00A327CF"/>
    <w:rsid w:val="00A32D77"/>
    <w:rsid w:val="00A336C0"/>
    <w:rsid w:val="00A376EF"/>
    <w:rsid w:val="00A37960"/>
    <w:rsid w:val="00A520E3"/>
    <w:rsid w:val="00A65155"/>
    <w:rsid w:val="00A70DDF"/>
    <w:rsid w:val="00A724D4"/>
    <w:rsid w:val="00A75FB2"/>
    <w:rsid w:val="00A817EC"/>
    <w:rsid w:val="00A85F4B"/>
    <w:rsid w:val="00A86450"/>
    <w:rsid w:val="00A900FD"/>
    <w:rsid w:val="00AA040C"/>
    <w:rsid w:val="00AA1F0C"/>
    <w:rsid w:val="00AA409E"/>
    <w:rsid w:val="00AA6241"/>
    <w:rsid w:val="00AB3967"/>
    <w:rsid w:val="00AB3A0B"/>
    <w:rsid w:val="00AC0DE0"/>
    <w:rsid w:val="00AC5A50"/>
    <w:rsid w:val="00AC6E9D"/>
    <w:rsid w:val="00AD38E0"/>
    <w:rsid w:val="00AD3A75"/>
    <w:rsid w:val="00AD7A41"/>
    <w:rsid w:val="00AE5EAA"/>
    <w:rsid w:val="00B04229"/>
    <w:rsid w:val="00B07541"/>
    <w:rsid w:val="00B106DB"/>
    <w:rsid w:val="00B11654"/>
    <w:rsid w:val="00B12F18"/>
    <w:rsid w:val="00B15054"/>
    <w:rsid w:val="00B21EAF"/>
    <w:rsid w:val="00B24112"/>
    <w:rsid w:val="00B33D0B"/>
    <w:rsid w:val="00B372C9"/>
    <w:rsid w:val="00B4095C"/>
    <w:rsid w:val="00B419F9"/>
    <w:rsid w:val="00B41BE0"/>
    <w:rsid w:val="00B42E3F"/>
    <w:rsid w:val="00B5725E"/>
    <w:rsid w:val="00B61294"/>
    <w:rsid w:val="00B62522"/>
    <w:rsid w:val="00B63503"/>
    <w:rsid w:val="00B6383D"/>
    <w:rsid w:val="00B6455C"/>
    <w:rsid w:val="00B64EE0"/>
    <w:rsid w:val="00B65FB5"/>
    <w:rsid w:val="00B73A19"/>
    <w:rsid w:val="00B74973"/>
    <w:rsid w:val="00B75F3F"/>
    <w:rsid w:val="00B80B7D"/>
    <w:rsid w:val="00B902E8"/>
    <w:rsid w:val="00BA2262"/>
    <w:rsid w:val="00BA5FF5"/>
    <w:rsid w:val="00BB675D"/>
    <w:rsid w:val="00BD4CDF"/>
    <w:rsid w:val="00BD5825"/>
    <w:rsid w:val="00BD77C6"/>
    <w:rsid w:val="00BE059F"/>
    <w:rsid w:val="00BE0EE4"/>
    <w:rsid w:val="00BE122C"/>
    <w:rsid w:val="00BE6377"/>
    <w:rsid w:val="00BF0632"/>
    <w:rsid w:val="00BF4564"/>
    <w:rsid w:val="00C00564"/>
    <w:rsid w:val="00C0353C"/>
    <w:rsid w:val="00C05FC8"/>
    <w:rsid w:val="00C06F5B"/>
    <w:rsid w:val="00C16698"/>
    <w:rsid w:val="00C22388"/>
    <w:rsid w:val="00C238F6"/>
    <w:rsid w:val="00C23FAE"/>
    <w:rsid w:val="00C31972"/>
    <w:rsid w:val="00C34249"/>
    <w:rsid w:val="00C41232"/>
    <w:rsid w:val="00C43BFC"/>
    <w:rsid w:val="00C445BF"/>
    <w:rsid w:val="00C61692"/>
    <w:rsid w:val="00C62C88"/>
    <w:rsid w:val="00C63816"/>
    <w:rsid w:val="00C649BB"/>
    <w:rsid w:val="00C64B6F"/>
    <w:rsid w:val="00C70B44"/>
    <w:rsid w:val="00C752DE"/>
    <w:rsid w:val="00C9509F"/>
    <w:rsid w:val="00C95719"/>
    <w:rsid w:val="00CA022E"/>
    <w:rsid w:val="00CA27A9"/>
    <w:rsid w:val="00CA2C66"/>
    <w:rsid w:val="00CB14F9"/>
    <w:rsid w:val="00CB171E"/>
    <w:rsid w:val="00CB5CF8"/>
    <w:rsid w:val="00CC3AE6"/>
    <w:rsid w:val="00CC3F3E"/>
    <w:rsid w:val="00CC47D5"/>
    <w:rsid w:val="00CE3BDE"/>
    <w:rsid w:val="00CF0C0F"/>
    <w:rsid w:val="00CF2114"/>
    <w:rsid w:val="00CF560C"/>
    <w:rsid w:val="00D028BB"/>
    <w:rsid w:val="00D03816"/>
    <w:rsid w:val="00D0553F"/>
    <w:rsid w:val="00D118E2"/>
    <w:rsid w:val="00D12F43"/>
    <w:rsid w:val="00D26ACB"/>
    <w:rsid w:val="00D26E7C"/>
    <w:rsid w:val="00D422AF"/>
    <w:rsid w:val="00D451F1"/>
    <w:rsid w:val="00D45923"/>
    <w:rsid w:val="00D46860"/>
    <w:rsid w:val="00D52555"/>
    <w:rsid w:val="00D55BEF"/>
    <w:rsid w:val="00D567C1"/>
    <w:rsid w:val="00D64864"/>
    <w:rsid w:val="00D64C2D"/>
    <w:rsid w:val="00D71608"/>
    <w:rsid w:val="00D74663"/>
    <w:rsid w:val="00D74864"/>
    <w:rsid w:val="00D74BBF"/>
    <w:rsid w:val="00D7547F"/>
    <w:rsid w:val="00D810F0"/>
    <w:rsid w:val="00D8325F"/>
    <w:rsid w:val="00D90D29"/>
    <w:rsid w:val="00D94318"/>
    <w:rsid w:val="00D96AB7"/>
    <w:rsid w:val="00DA1041"/>
    <w:rsid w:val="00DA5A13"/>
    <w:rsid w:val="00DB2809"/>
    <w:rsid w:val="00DB62A6"/>
    <w:rsid w:val="00DC5CFF"/>
    <w:rsid w:val="00DC7FFC"/>
    <w:rsid w:val="00DD1AA4"/>
    <w:rsid w:val="00DE2B35"/>
    <w:rsid w:val="00DE5F0E"/>
    <w:rsid w:val="00DE6208"/>
    <w:rsid w:val="00DF5E0A"/>
    <w:rsid w:val="00E00DD4"/>
    <w:rsid w:val="00E067B4"/>
    <w:rsid w:val="00E11FC8"/>
    <w:rsid w:val="00E20941"/>
    <w:rsid w:val="00E21754"/>
    <w:rsid w:val="00E302B5"/>
    <w:rsid w:val="00E3779B"/>
    <w:rsid w:val="00E44AE0"/>
    <w:rsid w:val="00E46571"/>
    <w:rsid w:val="00E5155B"/>
    <w:rsid w:val="00E53BC7"/>
    <w:rsid w:val="00E63910"/>
    <w:rsid w:val="00E64CB5"/>
    <w:rsid w:val="00E73B58"/>
    <w:rsid w:val="00E7581F"/>
    <w:rsid w:val="00E832D2"/>
    <w:rsid w:val="00E83968"/>
    <w:rsid w:val="00E871E2"/>
    <w:rsid w:val="00E91A3A"/>
    <w:rsid w:val="00E946C9"/>
    <w:rsid w:val="00E95808"/>
    <w:rsid w:val="00E96108"/>
    <w:rsid w:val="00E96E0D"/>
    <w:rsid w:val="00EA2D63"/>
    <w:rsid w:val="00EA395C"/>
    <w:rsid w:val="00EB5044"/>
    <w:rsid w:val="00EB50EC"/>
    <w:rsid w:val="00EC3208"/>
    <w:rsid w:val="00EC5D86"/>
    <w:rsid w:val="00ED5D8C"/>
    <w:rsid w:val="00ED6C58"/>
    <w:rsid w:val="00EE16EC"/>
    <w:rsid w:val="00EE3CD4"/>
    <w:rsid w:val="00EE3FF7"/>
    <w:rsid w:val="00EF1CA3"/>
    <w:rsid w:val="00EF29F9"/>
    <w:rsid w:val="00EF4B68"/>
    <w:rsid w:val="00F051CF"/>
    <w:rsid w:val="00F05B85"/>
    <w:rsid w:val="00F11F6F"/>
    <w:rsid w:val="00F24F7A"/>
    <w:rsid w:val="00F34EB4"/>
    <w:rsid w:val="00F40D8B"/>
    <w:rsid w:val="00F453BF"/>
    <w:rsid w:val="00F47204"/>
    <w:rsid w:val="00F54AA1"/>
    <w:rsid w:val="00F63476"/>
    <w:rsid w:val="00F6562C"/>
    <w:rsid w:val="00F65D01"/>
    <w:rsid w:val="00F721A9"/>
    <w:rsid w:val="00F8102C"/>
    <w:rsid w:val="00F8208B"/>
    <w:rsid w:val="00FA0FA4"/>
    <w:rsid w:val="00FA1A89"/>
    <w:rsid w:val="00FB5526"/>
    <w:rsid w:val="00FC27C6"/>
    <w:rsid w:val="00FD197A"/>
    <w:rsid w:val="00FD7FA8"/>
    <w:rsid w:val="00FF3AEA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3254C8"/>
  <w15:docId w15:val="{879A6DE0-48E2-4470-8F16-F14A4E52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9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,BulletList 1"/>
    <w:basedOn w:val="Normalny"/>
    <w:link w:val="AkapitzlistZnak"/>
    <w:uiPriority w:val="34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34"/>
    <w:qFormat/>
    <w:locked/>
    <w:rsid w:val="00D567C1"/>
  </w:style>
  <w:style w:type="paragraph" w:styleId="Nagwek">
    <w:name w:val="header"/>
    <w:basedOn w:val="Normalny"/>
    <w:link w:val="NagwekZnak"/>
    <w:uiPriority w:val="99"/>
    <w:unhideWhenUsed/>
    <w:rsid w:val="00777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064"/>
  </w:style>
  <w:style w:type="paragraph" w:styleId="Stopka">
    <w:name w:val="footer"/>
    <w:basedOn w:val="Normalny"/>
    <w:link w:val="StopkaZnak"/>
    <w:uiPriority w:val="99"/>
    <w:unhideWhenUsed/>
    <w:rsid w:val="00777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7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p r o p e r t i e s   x m l n s = " h t t p : / / w w w . i m a n a g e . c o m / w o r k / x m l s c h e m a " >  
     < d o c u m e n t i d > E M E A _ D M S ! 4 0 4 4 7 4 1 0 6 . 2 < / d o c u m e n t i d >  
     < s e n d e r i d > W A R J S K < / s e n d e r i d >  
     < s e n d e r e m a i l > J U L I U S Z . K R Z Y Z A N O W S K I @ B A K E R M C K E N Z I E . C O M < / s e n d e r e m a i l >  
     < l a s t m o d i f i e d > 2 0 2 1 - 1 0 - 0 6 T 2 2 : 2 8 : 0 0 . 0 0 0 0 0 0 0 + 0 2 : 0 0 < / l a s t m o d i f i e d >  
     < d a t a b a s e > E M E A _ D M S < / d a t a b a s e >  
 < / p r o p e r t i e s > 
</file>

<file path=customXml/itemProps1.xml><?xml version="1.0" encoding="utf-8"?>
<ds:datastoreItem xmlns:ds="http://schemas.openxmlformats.org/officeDocument/2006/customXml" ds:itemID="{1A4A9C2A-7479-4179-A777-38ABA8012E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857E5A-B1B7-C24C-8FA1-768DD02689D3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1003</Words>
  <Characters>6797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Królak-Buzakowska Joanna</cp:lastModifiedBy>
  <cp:revision>4</cp:revision>
  <dcterms:created xsi:type="dcterms:W3CDTF">2022-05-30T08:31:00Z</dcterms:created>
  <dcterms:modified xsi:type="dcterms:W3CDTF">2022-05-30T08:38:00Z</dcterms:modified>
</cp:coreProperties>
</file>