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74862" w14:textId="765F44F8" w:rsidR="00C30811" w:rsidRPr="008B4269" w:rsidRDefault="00C30811" w:rsidP="00C30811">
      <w:pPr>
        <w:autoSpaceDE w:val="0"/>
        <w:autoSpaceDN w:val="0"/>
        <w:adjustRightInd w:val="0"/>
        <w:rPr>
          <w:bCs/>
          <w:sz w:val="22"/>
          <w:szCs w:val="22"/>
        </w:rPr>
      </w:pPr>
      <w:r w:rsidRPr="008B4269">
        <w:rPr>
          <w:bCs/>
          <w:sz w:val="22"/>
          <w:szCs w:val="22"/>
        </w:rPr>
        <w:t>setmelanotyd</w:t>
      </w:r>
    </w:p>
    <w:p w14:paraId="3FE5DFF2" w14:textId="77777777" w:rsidR="00C30811" w:rsidRPr="008B4269" w:rsidRDefault="00C30811" w:rsidP="00C30811">
      <w:pPr>
        <w:autoSpaceDE w:val="0"/>
        <w:autoSpaceDN w:val="0"/>
        <w:adjustRightInd w:val="0"/>
        <w:rPr>
          <w:bCs/>
          <w:sz w:val="22"/>
          <w:szCs w:val="22"/>
        </w:rPr>
      </w:pPr>
    </w:p>
    <w:p w14:paraId="038630EC" w14:textId="7BB65B69" w:rsidR="00523C92" w:rsidRPr="008B4269" w:rsidRDefault="00DA32FC" w:rsidP="00DA32FC">
      <w:pPr>
        <w:autoSpaceDE w:val="0"/>
        <w:autoSpaceDN w:val="0"/>
        <w:adjustRightInd w:val="0"/>
        <w:spacing w:after="240"/>
        <w:jc w:val="both"/>
        <w:rPr>
          <w:sz w:val="28"/>
          <w:szCs w:val="28"/>
        </w:rPr>
      </w:pPr>
      <w:r w:rsidRPr="008B4269">
        <w:rPr>
          <w:b/>
          <w:sz w:val="28"/>
          <w:szCs w:val="28"/>
        </w:rPr>
        <w:t xml:space="preserve">LECZENIE </w:t>
      </w:r>
      <w:r w:rsidRPr="008B4269">
        <w:rPr>
          <w:b/>
          <w:bCs/>
          <w:sz w:val="28"/>
          <w:szCs w:val="28"/>
        </w:rPr>
        <w:t xml:space="preserve">OTYŁOŚCI U PACJENTÓW Z POTWIERDZONĄ </w:t>
      </w:r>
      <w:r w:rsidR="000075BF" w:rsidRPr="008B4269">
        <w:rPr>
          <w:b/>
          <w:bCs/>
          <w:sz w:val="28"/>
          <w:szCs w:val="28"/>
        </w:rPr>
        <w:t>–</w:t>
      </w:r>
      <w:r w:rsidRPr="008B4269">
        <w:rPr>
          <w:b/>
          <w:bCs/>
          <w:sz w:val="28"/>
          <w:szCs w:val="28"/>
        </w:rPr>
        <w:t xml:space="preserve"> BIALLELICZNĄ UTRATĄ FUNKCJI NIEDOBOROWI PROOPIOMELANOKORTYNY (POMC) </w:t>
      </w:r>
      <w:r w:rsidR="000075BF" w:rsidRPr="008B4269">
        <w:rPr>
          <w:b/>
          <w:bCs/>
          <w:sz w:val="28"/>
          <w:szCs w:val="28"/>
        </w:rPr>
        <w:t>–</w:t>
      </w:r>
      <w:r w:rsidRPr="008B4269">
        <w:rPr>
          <w:b/>
          <w:bCs/>
          <w:sz w:val="28"/>
          <w:szCs w:val="28"/>
        </w:rPr>
        <w:t xml:space="preserve"> W TYM PCSK1, LUB RECEPTORA LEPTYNY (LEPR) U OSÓB DOROSŁYCH I </w:t>
      </w:r>
      <w:r w:rsidR="007A6E3A" w:rsidRPr="008B4269">
        <w:rPr>
          <w:b/>
          <w:bCs/>
          <w:sz w:val="28"/>
          <w:szCs w:val="28"/>
        </w:rPr>
        <w:t>DZIECI ≥</w:t>
      </w:r>
      <w:r w:rsidR="007A6E3A">
        <w:rPr>
          <w:b/>
          <w:bCs/>
          <w:sz w:val="28"/>
          <w:szCs w:val="28"/>
        </w:rPr>
        <w:t xml:space="preserve"> </w:t>
      </w:r>
      <w:r w:rsidRPr="008B4269">
        <w:rPr>
          <w:b/>
          <w:bCs/>
          <w:sz w:val="28"/>
          <w:szCs w:val="28"/>
        </w:rPr>
        <w:t>6 LAT (ICD-10</w:t>
      </w:r>
      <w:r w:rsidR="000075BF" w:rsidRPr="008B4269">
        <w:rPr>
          <w:b/>
          <w:bCs/>
          <w:sz w:val="28"/>
          <w:szCs w:val="28"/>
        </w:rPr>
        <w:t>:</w:t>
      </w:r>
      <w:r w:rsidRPr="008B4269">
        <w:rPr>
          <w:b/>
          <w:bCs/>
          <w:sz w:val="28"/>
          <w:szCs w:val="28"/>
        </w:rPr>
        <w:t xml:space="preserve"> E66.9)</w:t>
      </w:r>
    </w:p>
    <w:tbl>
      <w:tblPr>
        <w:tblW w:w="5000" w:type="pct"/>
        <w:tblCellMar>
          <w:left w:w="70" w:type="dxa"/>
          <w:right w:w="70" w:type="dxa"/>
        </w:tblCellMar>
        <w:tblLook w:val="0000" w:firstRow="0" w:lastRow="0" w:firstColumn="0" w:lastColumn="0" w:noHBand="0" w:noVBand="0"/>
      </w:tblPr>
      <w:tblGrid>
        <w:gridCol w:w="5661"/>
        <w:gridCol w:w="4113"/>
        <w:gridCol w:w="5608"/>
      </w:tblGrid>
      <w:tr w:rsidR="008B4269" w:rsidRPr="008B4269" w14:paraId="44AE9CD9" w14:textId="77777777" w:rsidTr="0173FFEF">
        <w:trPr>
          <w:trHeight w:val="567"/>
        </w:trPr>
        <w:tc>
          <w:tcPr>
            <w:tcW w:w="5000" w:type="pct"/>
            <w:gridSpan w:val="3"/>
            <w:tcBorders>
              <w:top w:val="single" w:sz="6" w:space="0" w:color="auto"/>
              <w:left w:val="single" w:sz="6" w:space="0" w:color="auto"/>
              <w:bottom w:val="single" w:sz="6" w:space="0" w:color="auto"/>
              <w:right w:val="single" w:sz="6" w:space="0" w:color="auto"/>
            </w:tcBorders>
            <w:vAlign w:val="center"/>
          </w:tcPr>
          <w:p w14:paraId="4E0F86AE" w14:textId="77777777" w:rsidR="00565830" w:rsidRPr="008B4269" w:rsidRDefault="00565830" w:rsidP="00322842">
            <w:pPr>
              <w:autoSpaceDE w:val="0"/>
              <w:autoSpaceDN w:val="0"/>
              <w:adjustRightInd w:val="0"/>
              <w:jc w:val="center"/>
              <w:rPr>
                <w:sz w:val="20"/>
                <w:szCs w:val="20"/>
              </w:rPr>
            </w:pPr>
            <w:r w:rsidRPr="008B4269">
              <w:rPr>
                <w:b/>
                <w:bCs/>
                <w:sz w:val="20"/>
                <w:szCs w:val="20"/>
              </w:rPr>
              <w:t>ZAKRES</w:t>
            </w:r>
            <w:r w:rsidR="002803BD" w:rsidRPr="008B4269">
              <w:rPr>
                <w:b/>
                <w:bCs/>
                <w:sz w:val="20"/>
                <w:szCs w:val="20"/>
              </w:rPr>
              <w:t xml:space="preserve"> </w:t>
            </w:r>
            <w:r w:rsidRPr="008B4269">
              <w:rPr>
                <w:b/>
                <w:bCs/>
                <w:sz w:val="20"/>
                <w:szCs w:val="20"/>
              </w:rPr>
              <w:t>ŚWIADCZENIA</w:t>
            </w:r>
            <w:r w:rsidR="002803BD" w:rsidRPr="008B4269">
              <w:rPr>
                <w:b/>
                <w:bCs/>
                <w:sz w:val="20"/>
                <w:szCs w:val="20"/>
              </w:rPr>
              <w:t xml:space="preserve"> </w:t>
            </w:r>
            <w:r w:rsidRPr="008B4269">
              <w:rPr>
                <w:b/>
                <w:bCs/>
                <w:sz w:val="20"/>
                <w:szCs w:val="20"/>
              </w:rPr>
              <w:t>GWARANTOWANEGO</w:t>
            </w:r>
          </w:p>
        </w:tc>
      </w:tr>
      <w:tr w:rsidR="008B4269" w:rsidRPr="008B4269" w14:paraId="327A301D" w14:textId="77777777" w:rsidTr="0098734B">
        <w:trPr>
          <w:trHeight w:val="567"/>
        </w:trPr>
        <w:tc>
          <w:tcPr>
            <w:tcW w:w="1840" w:type="pct"/>
            <w:tcBorders>
              <w:top w:val="single" w:sz="6" w:space="0" w:color="auto"/>
              <w:left w:val="single" w:sz="6" w:space="0" w:color="auto"/>
              <w:bottom w:val="single" w:sz="6" w:space="0" w:color="auto"/>
              <w:right w:val="single" w:sz="6" w:space="0" w:color="auto"/>
            </w:tcBorders>
            <w:vAlign w:val="center"/>
          </w:tcPr>
          <w:p w14:paraId="79C4104A" w14:textId="77777777" w:rsidR="00565830" w:rsidRPr="008B4269" w:rsidRDefault="00565830" w:rsidP="00322842">
            <w:pPr>
              <w:autoSpaceDE w:val="0"/>
              <w:autoSpaceDN w:val="0"/>
              <w:adjustRightInd w:val="0"/>
              <w:jc w:val="center"/>
              <w:rPr>
                <w:sz w:val="20"/>
                <w:szCs w:val="20"/>
              </w:rPr>
            </w:pPr>
            <w:r w:rsidRPr="008B4269">
              <w:rPr>
                <w:b/>
                <w:bCs/>
                <w:sz w:val="20"/>
                <w:szCs w:val="20"/>
              </w:rPr>
              <w:t>ŚWIADCZENIOBIORCY</w:t>
            </w:r>
          </w:p>
        </w:tc>
        <w:tc>
          <w:tcPr>
            <w:tcW w:w="1337" w:type="pct"/>
            <w:tcBorders>
              <w:top w:val="single" w:sz="6" w:space="0" w:color="auto"/>
              <w:left w:val="single" w:sz="6" w:space="0" w:color="auto"/>
              <w:bottom w:val="single" w:sz="6" w:space="0" w:color="auto"/>
              <w:right w:val="single" w:sz="6" w:space="0" w:color="auto"/>
            </w:tcBorders>
            <w:vAlign w:val="center"/>
          </w:tcPr>
          <w:p w14:paraId="71B1D074" w14:textId="77777777" w:rsidR="00565830" w:rsidRPr="008B4269" w:rsidRDefault="00565830" w:rsidP="00322842">
            <w:pPr>
              <w:autoSpaceDE w:val="0"/>
              <w:autoSpaceDN w:val="0"/>
              <w:adjustRightInd w:val="0"/>
              <w:jc w:val="center"/>
              <w:rPr>
                <w:sz w:val="20"/>
                <w:szCs w:val="20"/>
              </w:rPr>
            </w:pPr>
            <w:r w:rsidRPr="008B4269">
              <w:rPr>
                <w:b/>
                <w:bCs/>
                <w:sz w:val="20"/>
                <w:szCs w:val="20"/>
              </w:rPr>
              <w:t>SCHEMAT</w:t>
            </w:r>
            <w:r w:rsidR="002803BD" w:rsidRPr="008B4269">
              <w:rPr>
                <w:b/>
                <w:bCs/>
                <w:sz w:val="20"/>
                <w:szCs w:val="20"/>
              </w:rPr>
              <w:t xml:space="preserve"> </w:t>
            </w:r>
            <w:r w:rsidRPr="008B4269">
              <w:rPr>
                <w:b/>
                <w:bCs/>
                <w:sz w:val="20"/>
                <w:szCs w:val="20"/>
              </w:rPr>
              <w:t>DAWKOWANIA</w:t>
            </w:r>
            <w:r w:rsidR="002803BD" w:rsidRPr="008B4269">
              <w:rPr>
                <w:b/>
                <w:bCs/>
                <w:sz w:val="20"/>
                <w:szCs w:val="20"/>
              </w:rPr>
              <w:t xml:space="preserve"> </w:t>
            </w:r>
            <w:r w:rsidRPr="008B4269">
              <w:rPr>
                <w:b/>
                <w:bCs/>
                <w:sz w:val="20"/>
                <w:szCs w:val="20"/>
              </w:rPr>
              <w:t>LEKÓW</w:t>
            </w:r>
            <w:r w:rsidR="002803BD" w:rsidRPr="008B4269">
              <w:rPr>
                <w:b/>
                <w:bCs/>
                <w:sz w:val="20"/>
                <w:szCs w:val="20"/>
              </w:rPr>
              <w:t xml:space="preserve"> </w:t>
            </w:r>
            <w:r w:rsidR="002803BD" w:rsidRPr="008B4269">
              <w:rPr>
                <w:b/>
                <w:bCs/>
                <w:sz w:val="20"/>
                <w:szCs w:val="20"/>
              </w:rPr>
              <w:br/>
            </w:r>
            <w:r w:rsidRPr="008B4269">
              <w:rPr>
                <w:b/>
                <w:bCs/>
                <w:sz w:val="20"/>
                <w:szCs w:val="20"/>
              </w:rPr>
              <w:t>W</w:t>
            </w:r>
            <w:r w:rsidR="002803BD" w:rsidRPr="008B4269">
              <w:rPr>
                <w:b/>
                <w:bCs/>
                <w:sz w:val="20"/>
                <w:szCs w:val="20"/>
              </w:rPr>
              <w:t xml:space="preserve"> </w:t>
            </w:r>
            <w:r w:rsidRPr="008B4269">
              <w:rPr>
                <w:b/>
                <w:bCs/>
                <w:sz w:val="20"/>
                <w:szCs w:val="20"/>
              </w:rPr>
              <w:t>PROGRAMIE</w:t>
            </w:r>
          </w:p>
        </w:tc>
        <w:tc>
          <w:tcPr>
            <w:tcW w:w="1823" w:type="pct"/>
            <w:tcBorders>
              <w:top w:val="single" w:sz="6" w:space="0" w:color="auto"/>
              <w:left w:val="single" w:sz="6" w:space="0" w:color="auto"/>
              <w:bottom w:val="single" w:sz="6" w:space="0" w:color="auto"/>
              <w:right w:val="single" w:sz="6" w:space="0" w:color="auto"/>
            </w:tcBorders>
            <w:vAlign w:val="center"/>
          </w:tcPr>
          <w:p w14:paraId="4D96EFCB" w14:textId="77777777" w:rsidR="00565830" w:rsidRPr="008B4269" w:rsidRDefault="00565830" w:rsidP="00322842">
            <w:pPr>
              <w:autoSpaceDE w:val="0"/>
              <w:autoSpaceDN w:val="0"/>
              <w:adjustRightInd w:val="0"/>
              <w:jc w:val="center"/>
              <w:rPr>
                <w:sz w:val="20"/>
                <w:szCs w:val="20"/>
              </w:rPr>
            </w:pPr>
            <w:r w:rsidRPr="008B4269">
              <w:rPr>
                <w:b/>
                <w:bCs/>
                <w:sz w:val="20"/>
                <w:szCs w:val="20"/>
              </w:rPr>
              <w:t>BADANIA</w:t>
            </w:r>
            <w:r w:rsidR="002803BD" w:rsidRPr="008B4269">
              <w:rPr>
                <w:b/>
                <w:bCs/>
                <w:sz w:val="20"/>
                <w:szCs w:val="20"/>
              </w:rPr>
              <w:t xml:space="preserve"> </w:t>
            </w:r>
            <w:r w:rsidRPr="008B4269">
              <w:rPr>
                <w:b/>
                <w:bCs/>
                <w:sz w:val="20"/>
                <w:szCs w:val="20"/>
              </w:rPr>
              <w:t>DIAGNOSTYCZNE</w:t>
            </w:r>
            <w:r w:rsidR="002803BD" w:rsidRPr="008B4269">
              <w:rPr>
                <w:b/>
                <w:bCs/>
                <w:sz w:val="20"/>
                <w:szCs w:val="20"/>
              </w:rPr>
              <w:t xml:space="preserve"> </w:t>
            </w:r>
            <w:r w:rsidRPr="008B4269">
              <w:rPr>
                <w:b/>
                <w:bCs/>
                <w:sz w:val="20"/>
                <w:szCs w:val="20"/>
              </w:rPr>
              <w:t>WYKONYWANE</w:t>
            </w:r>
            <w:r w:rsidR="002803BD" w:rsidRPr="008B4269">
              <w:rPr>
                <w:b/>
                <w:bCs/>
                <w:sz w:val="20"/>
                <w:szCs w:val="20"/>
              </w:rPr>
              <w:t xml:space="preserve"> </w:t>
            </w:r>
            <w:r w:rsidR="002803BD" w:rsidRPr="008B4269">
              <w:rPr>
                <w:b/>
                <w:bCs/>
                <w:sz w:val="20"/>
                <w:szCs w:val="20"/>
              </w:rPr>
              <w:br/>
            </w:r>
            <w:r w:rsidRPr="008B4269">
              <w:rPr>
                <w:b/>
                <w:bCs/>
                <w:sz w:val="20"/>
                <w:szCs w:val="20"/>
              </w:rPr>
              <w:t>W</w:t>
            </w:r>
            <w:r w:rsidR="002803BD" w:rsidRPr="008B4269">
              <w:rPr>
                <w:b/>
                <w:bCs/>
                <w:sz w:val="20"/>
                <w:szCs w:val="20"/>
              </w:rPr>
              <w:t xml:space="preserve"> </w:t>
            </w:r>
            <w:r w:rsidRPr="008B4269">
              <w:rPr>
                <w:b/>
                <w:bCs/>
                <w:sz w:val="20"/>
                <w:szCs w:val="20"/>
              </w:rPr>
              <w:t>RAMACH</w:t>
            </w:r>
            <w:r w:rsidR="002803BD" w:rsidRPr="008B4269">
              <w:rPr>
                <w:b/>
                <w:bCs/>
                <w:sz w:val="20"/>
                <w:szCs w:val="20"/>
              </w:rPr>
              <w:t xml:space="preserve"> </w:t>
            </w:r>
            <w:r w:rsidRPr="008B4269">
              <w:rPr>
                <w:b/>
                <w:bCs/>
                <w:sz w:val="20"/>
                <w:szCs w:val="20"/>
              </w:rPr>
              <w:t>PROGRAMU</w:t>
            </w:r>
          </w:p>
        </w:tc>
      </w:tr>
      <w:tr w:rsidR="0098734B" w:rsidRPr="008B4269" w14:paraId="24D138D5" w14:textId="77777777" w:rsidTr="0098734B">
        <w:trPr>
          <w:trHeight w:val="20"/>
        </w:trPr>
        <w:tc>
          <w:tcPr>
            <w:tcW w:w="1840" w:type="pct"/>
            <w:tcBorders>
              <w:top w:val="single" w:sz="6" w:space="0" w:color="auto"/>
              <w:left w:val="single" w:sz="6" w:space="0" w:color="auto"/>
              <w:bottom w:val="single" w:sz="6" w:space="0" w:color="auto"/>
              <w:right w:val="single" w:sz="6" w:space="0" w:color="auto"/>
            </w:tcBorders>
          </w:tcPr>
          <w:p w14:paraId="06333DC6" w14:textId="75D8832B" w:rsidR="12722054" w:rsidRPr="0098734B" w:rsidRDefault="12722054" w:rsidP="0098734B">
            <w:pPr>
              <w:pStyle w:val="Akapitzlist"/>
              <w:numPr>
                <w:ilvl w:val="0"/>
                <w:numId w:val="16"/>
              </w:numPr>
              <w:spacing w:before="120" w:after="60" w:line="276" w:lineRule="auto"/>
              <w:ind w:right="34"/>
              <w:contextualSpacing w:val="0"/>
              <w:jc w:val="both"/>
              <w:rPr>
                <w:b/>
                <w:bCs/>
                <w:sz w:val="20"/>
                <w:szCs w:val="20"/>
              </w:rPr>
            </w:pPr>
            <w:r w:rsidRPr="0098734B">
              <w:rPr>
                <w:b/>
                <w:bCs/>
                <w:sz w:val="20"/>
                <w:szCs w:val="20"/>
              </w:rPr>
              <w:t xml:space="preserve">Kryteria kwalifikacji do programu </w:t>
            </w:r>
          </w:p>
          <w:p w14:paraId="64DD2FF1" w14:textId="29F714E4" w:rsidR="12722054" w:rsidRPr="0098734B" w:rsidRDefault="12722054" w:rsidP="0098734B">
            <w:pPr>
              <w:spacing w:after="60" w:line="276" w:lineRule="auto"/>
              <w:jc w:val="both"/>
              <w:rPr>
                <w:sz w:val="20"/>
                <w:szCs w:val="20"/>
              </w:rPr>
            </w:pPr>
            <w:r w:rsidRPr="0098734B">
              <w:rPr>
                <w:sz w:val="20"/>
                <w:szCs w:val="20"/>
              </w:rPr>
              <w:t xml:space="preserve">Do programu są kwalifikowani świadczeniobiorcy spełniający poniższe kryteria: </w:t>
            </w:r>
          </w:p>
          <w:p w14:paraId="431736E6" w14:textId="6299E2FB" w:rsidR="12722054" w:rsidRPr="0098734B" w:rsidRDefault="12722054" w:rsidP="0098734B">
            <w:pPr>
              <w:pStyle w:val="Akapitzlist"/>
              <w:numPr>
                <w:ilvl w:val="3"/>
                <w:numId w:val="16"/>
              </w:numPr>
              <w:spacing w:after="60" w:line="276" w:lineRule="auto"/>
              <w:contextualSpacing w:val="0"/>
              <w:jc w:val="both"/>
              <w:rPr>
                <w:sz w:val="20"/>
                <w:szCs w:val="20"/>
              </w:rPr>
            </w:pPr>
            <w:r w:rsidRPr="0098734B">
              <w:rPr>
                <w:sz w:val="20"/>
                <w:szCs w:val="20"/>
              </w:rPr>
              <w:t>potwierdzon</w:t>
            </w:r>
            <w:r w:rsidR="00544462" w:rsidRPr="0098734B">
              <w:rPr>
                <w:sz w:val="20"/>
                <w:szCs w:val="20"/>
              </w:rPr>
              <w:t>a</w:t>
            </w:r>
            <w:r w:rsidR="002D4CDD" w:rsidRPr="0098734B">
              <w:rPr>
                <w:sz w:val="20"/>
                <w:szCs w:val="20"/>
              </w:rPr>
              <w:t xml:space="preserve"> w </w:t>
            </w:r>
            <w:r w:rsidRPr="0098734B">
              <w:rPr>
                <w:sz w:val="20"/>
                <w:szCs w:val="20"/>
              </w:rPr>
              <w:t>badaniach genetycznych</w:t>
            </w:r>
            <w:r w:rsidR="002D4CDD" w:rsidRPr="0098734B">
              <w:rPr>
                <w:sz w:val="20"/>
                <w:szCs w:val="20"/>
              </w:rPr>
              <w:t> </w:t>
            </w:r>
            <w:r w:rsidRPr="0098734B">
              <w:rPr>
                <w:sz w:val="20"/>
                <w:szCs w:val="20"/>
              </w:rPr>
              <w:t>bialleliczn</w:t>
            </w:r>
            <w:r w:rsidR="00544462" w:rsidRPr="0098734B">
              <w:rPr>
                <w:sz w:val="20"/>
                <w:szCs w:val="20"/>
              </w:rPr>
              <w:t>a</w:t>
            </w:r>
            <w:r w:rsidR="005A7705" w:rsidRPr="0098734B">
              <w:rPr>
                <w:sz w:val="20"/>
                <w:szCs w:val="20"/>
              </w:rPr>
              <w:t xml:space="preserve"> </w:t>
            </w:r>
            <w:r w:rsidRPr="0098734B">
              <w:rPr>
                <w:sz w:val="20"/>
                <w:szCs w:val="20"/>
              </w:rPr>
              <w:t>utrat</w:t>
            </w:r>
            <w:r w:rsidR="00544462" w:rsidRPr="0098734B">
              <w:rPr>
                <w:sz w:val="20"/>
                <w:szCs w:val="20"/>
              </w:rPr>
              <w:t>a</w:t>
            </w:r>
            <w:r w:rsidRPr="0098734B">
              <w:rPr>
                <w:sz w:val="20"/>
                <w:szCs w:val="20"/>
              </w:rPr>
              <w:t xml:space="preserve"> funkcji niedobór proopiomelanokortyny (POMC),</w:t>
            </w:r>
            <w:r w:rsidR="002D4CDD" w:rsidRPr="0098734B">
              <w:rPr>
                <w:sz w:val="20"/>
                <w:szCs w:val="20"/>
              </w:rPr>
              <w:t xml:space="preserve"> w </w:t>
            </w:r>
            <w:r w:rsidRPr="0098734B">
              <w:rPr>
                <w:sz w:val="20"/>
                <w:szCs w:val="20"/>
              </w:rPr>
              <w:t>tym PCSK1, lub receptora leptyny (LEPR)</w:t>
            </w:r>
            <w:r w:rsidR="00B361AF" w:rsidRPr="0098734B">
              <w:rPr>
                <w:sz w:val="20"/>
                <w:szCs w:val="20"/>
              </w:rPr>
              <w:t>;</w:t>
            </w:r>
            <w:r w:rsidRPr="0098734B">
              <w:rPr>
                <w:sz w:val="20"/>
                <w:szCs w:val="20"/>
              </w:rPr>
              <w:t xml:space="preserve"> </w:t>
            </w:r>
          </w:p>
          <w:p w14:paraId="43596EB3" w14:textId="44A5AB19" w:rsidR="12722054" w:rsidRPr="0098734B" w:rsidRDefault="12722054" w:rsidP="0098734B">
            <w:pPr>
              <w:pStyle w:val="Akapitzlist"/>
              <w:numPr>
                <w:ilvl w:val="3"/>
                <w:numId w:val="16"/>
              </w:numPr>
              <w:spacing w:after="60" w:line="276" w:lineRule="auto"/>
              <w:contextualSpacing w:val="0"/>
              <w:jc w:val="both"/>
              <w:rPr>
                <w:sz w:val="20"/>
                <w:szCs w:val="20"/>
              </w:rPr>
            </w:pPr>
            <w:r w:rsidRPr="0098734B">
              <w:rPr>
                <w:sz w:val="20"/>
                <w:szCs w:val="20"/>
              </w:rPr>
              <w:t>wiek 6 lat</w:t>
            </w:r>
            <w:r w:rsidR="002D4CDD" w:rsidRPr="0098734B">
              <w:rPr>
                <w:sz w:val="20"/>
                <w:szCs w:val="20"/>
              </w:rPr>
              <w:t xml:space="preserve"> i </w:t>
            </w:r>
            <w:r w:rsidRPr="0098734B">
              <w:rPr>
                <w:sz w:val="20"/>
                <w:szCs w:val="20"/>
              </w:rPr>
              <w:t>powyżej</w:t>
            </w:r>
            <w:r w:rsidR="00B361AF" w:rsidRPr="0098734B">
              <w:rPr>
                <w:sz w:val="20"/>
                <w:szCs w:val="20"/>
              </w:rPr>
              <w:t>;</w:t>
            </w:r>
          </w:p>
          <w:p w14:paraId="029C78BF" w14:textId="6ECD0488" w:rsidR="36505A20" w:rsidRPr="0098734B" w:rsidRDefault="00B93008" w:rsidP="0098734B">
            <w:pPr>
              <w:pStyle w:val="Akapitzlist"/>
              <w:numPr>
                <w:ilvl w:val="3"/>
                <w:numId w:val="16"/>
              </w:numPr>
              <w:spacing w:after="60" w:line="276" w:lineRule="auto"/>
              <w:contextualSpacing w:val="0"/>
              <w:jc w:val="both"/>
              <w:rPr>
                <w:sz w:val="20"/>
                <w:szCs w:val="20"/>
              </w:rPr>
            </w:pPr>
            <w:r w:rsidRPr="0098734B">
              <w:rPr>
                <w:sz w:val="20"/>
                <w:szCs w:val="20"/>
              </w:rPr>
              <w:t xml:space="preserve">otyłość rozumiana jako </w:t>
            </w:r>
            <w:r w:rsidR="12722054" w:rsidRPr="0098734B">
              <w:rPr>
                <w:sz w:val="20"/>
                <w:szCs w:val="20"/>
              </w:rPr>
              <w:t>BMI ≥30 kg/m2</w:t>
            </w:r>
            <w:r w:rsidRPr="0098734B">
              <w:rPr>
                <w:sz w:val="20"/>
                <w:szCs w:val="20"/>
              </w:rPr>
              <w:t xml:space="preserve"> (w przypadku osób dorosłych)</w:t>
            </w:r>
            <w:r w:rsidR="12722054" w:rsidRPr="0098734B">
              <w:rPr>
                <w:sz w:val="20"/>
                <w:szCs w:val="20"/>
              </w:rPr>
              <w:t xml:space="preserve"> lub ≥95 percentyla </w:t>
            </w:r>
            <w:r w:rsidRPr="0098734B">
              <w:rPr>
                <w:sz w:val="20"/>
                <w:szCs w:val="20"/>
              </w:rPr>
              <w:t xml:space="preserve">wg. </w:t>
            </w:r>
            <w:r w:rsidR="12722054" w:rsidRPr="0098734B">
              <w:rPr>
                <w:sz w:val="20"/>
                <w:szCs w:val="20"/>
              </w:rPr>
              <w:t>siatek centylowych</w:t>
            </w:r>
            <w:r w:rsidR="002D4CDD" w:rsidRPr="0098734B">
              <w:rPr>
                <w:sz w:val="20"/>
                <w:szCs w:val="20"/>
              </w:rPr>
              <w:t xml:space="preserve"> </w:t>
            </w:r>
            <w:r w:rsidRPr="0098734B">
              <w:rPr>
                <w:sz w:val="20"/>
                <w:szCs w:val="20"/>
              </w:rPr>
              <w:t>(</w:t>
            </w:r>
            <w:r w:rsidR="002D4CDD" w:rsidRPr="0098734B">
              <w:rPr>
                <w:sz w:val="20"/>
                <w:szCs w:val="20"/>
              </w:rPr>
              <w:t>w </w:t>
            </w:r>
            <w:r w:rsidR="12722054" w:rsidRPr="0098734B">
              <w:rPr>
                <w:sz w:val="20"/>
                <w:szCs w:val="20"/>
              </w:rPr>
              <w:t xml:space="preserve">przypadku </w:t>
            </w:r>
            <w:r w:rsidRPr="0098734B">
              <w:rPr>
                <w:sz w:val="20"/>
                <w:szCs w:val="20"/>
              </w:rPr>
              <w:t>dzieci)</w:t>
            </w:r>
            <w:r w:rsidR="008B4269" w:rsidRPr="0098734B">
              <w:rPr>
                <w:sz w:val="20"/>
                <w:szCs w:val="20"/>
              </w:rPr>
              <w:t>.</w:t>
            </w:r>
          </w:p>
          <w:p w14:paraId="73E10B67" w14:textId="77777777" w:rsidR="006F342B" w:rsidRPr="0098734B" w:rsidRDefault="006F342B" w:rsidP="0098734B">
            <w:pPr>
              <w:spacing w:after="60" w:line="276" w:lineRule="auto"/>
              <w:jc w:val="both"/>
              <w:rPr>
                <w:sz w:val="20"/>
                <w:szCs w:val="20"/>
              </w:rPr>
            </w:pPr>
          </w:p>
          <w:p w14:paraId="2CD594DD" w14:textId="51AA0E92" w:rsidR="12722054" w:rsidRPr="0098734B" w:rsidRDefault="12722054" w:rsidP="0098734B">
            <w:pPr>
              <w:pStyle w:val="Akapitzlist"/>
              <w:numPr>
                <w:ilvl w:val="0"/>
                <w:numId w:val="16"/>
              </w:numPr>
              <w:spacing w:after="60" w:line="276" w:lineRule="auto"/>
              <w:contextualSpacing w:val="0"/>
              <w:jc w:val="both"/>
              <w:rPr>
                <w:b/>
                <w:bCs/>
                <w:sz w:val="20"/>
                <w:szCs w:val="20"/>
              </w:rPr>
            </w:pPr>
            <w:r w:rsidRPr="0098734B">
              <w:rPr>
                <w:b/>
                <w:bCs/>
                <w:sz w:val="20"/>
                <w:szCs w:val="20"/>
              </w:rPr>
              <w:t xml:space="preserve">Kryteria wykluczenia </w:t>
            </w:r>
          </w:p>
          <w:p w14:paraId="02ED321A" w14:textId="42E8CA2E" w:rsidR="12722054" w:rsidRPr="0098734B" w:rsidRDefault="12722054" w:rsidP="0098734B">
            <w:pPr>
              <w:pStyle w:val="Akapitzlist"/>
              <w:numPr>
                <w:ilvl w:val="3"/>
                <w:numId w:val="16"/>
              </w:numPr>
              <w:spacing w:after="60" w:line="276" w:lineRule="auto"/>
              <w:contextualSpacing w:val="0"/>
              <w:jc w:val="both"/>
              <w:rPr>
                <w:sz w:val="20"/>
                <w:szCs w:val="20"/>
              </w:rPr>
            </w:pPr>
            <w:r w:rsidRPr="0098734B">
              <w:rPr>
                <w:sz w:val="20"/>
                <w:szCs w:val="20"/>
              </w:rPr>
              <w:t>stosowanie intensywnej diety lub wysiłku</w:t>
            </w:r>
            <w:r w:rsidR="00B361AF" w:rsidRPr="0098734B">
              <w:rPr>
                <w:sz w:val="20"/>
                <w:szCs w:val="20"/>
              </w:rPr>
              <w:t>;</w:t>
            </w:r>
            <w:r w:rsidRPr="0098734B">
              <w:rPr>
                <w:sz w:val="20"/>
                <w:szCs w:val="20"/>
              </w:rPr>
              <w:t xml:space="preserve"> </w:t>
            </w:r>
          </w:p>
          <w:p w14:paraId="649EE448" w14:textId="22A1B7D9" w:rsidR="12722054" w:rsidRPr="0098734B" w:rsidRDefault="12722054" w:rsidP="0098734B">
            <w:pPr>
              <w:pStyle w:val="Akapitzlist"/>
              <w:numPr>
                <w:ilvl w:val="3"/>
                <w:numId w:val="16"/>
              </w:numPr>
              <w:spacing w:after="60" w:line="276" w:lineRule="auto"/>
              <w:contextualSpacing w:val="0"/>
              <w:jc w:val="both"/>
              <w:rPr>
                <w:sz w:val="20"/>
                <w:szCs w:val="20"/>
              </w:rPr>
            </w:pPr>
            <w:r w:rsidRPr="0098734B">
              <w:rPr>
                <w:sz w:val="20"/>
                <w:szCs w:val="20"/>
              </w:rPr>
              <w:t>przebyty zabieg ominięcia żołądkowego</w:t>
            </w:r>
            <w:r w:rsidR="00B361AF" w:rsidRPr="0098734B">
              <w:rPr>
                <w:sz w:val="20"/>
                <w:szCs w:val="20"/>
              </w:rPr>
              <w:t>;</w:t>
            </w:r>
          </w:p>
          <w:p w14:paraId="618B364E" w14:textId="3116CA89" w:rsidR="12722054" w:rsidRPr="0098734B" w:rsidRDefault="12722054" w:rsidP="0098734B">
            <w:pPr>
              <w:pStyle w:val="Akapitzlist"/>
              <w:numPr>
                <w:ilvl w:val="3"/>
                <w:numId w:val="16"/>
              </w:numPr>
              <w:spacing w:after="60" w:line="276" w:lineRule="auto"/>
              <w:contextualSpacing w:val="0"/>
              <w:jc w:val="both"/>
              <w:rPr>
                <w:sz w:val="20"/>
                <w:szCs w:val="20"/>
              </w:rPr>
            </w:pPr>
            <w:r w:rsidRPr="0098734B">
              <w:rPr>
                <w:sz w:val="20"/>
                <w:szCs w:val="20"/>
              </w:rPr>
              <w:t>rozpoznanie schizofrenii, choroby dwubiegunowej, zaburzeń osobowości lub innych określonych</w:t>
            </w:r>
            <w:r w:rsidR="002D4CDD" w:rsidRPr="0098734B">
              <w:rPr>
                <w:sz w:val="20"/>
                <w:szCs w:val="20"/>
              </w:rPr>
              <w:t xml:space="preserve"> w </w:t>
            </w:r>
            <w:r w:rsidRPr="0098734B">
              <w:rPr>
                <w:sz w:val="20"/>
                <w:szCs w:val="20"/>
              </w:rPr>
              <w:t xml:space="preserve">klasyfikacji </w:t>
            </w:r>
            <w:hyperlink r:id="rId8">
              <w:r w:rsidRPr="0098734B">
                <w:rPr>
                  <w:rStyle w:val="Hipercze"/>
                  <w:color w:val="auto"/>
                  <w:sz w:val="20"/>
                  <w:szCs w:val="20"/>
                </w:rPr>
                <w:t>DSM-III</w:t>
              </w:r>
            </w:hyperlink>
            <w:r w:rsidR="00B361AF" w:rsidRPr="0098734B">
              <w:rPr>
                <w:sz w:val="20"/>
                <w:szCs w:val="20"/>
              </w:rPr>
              <w:t>;</w:t>
            </w:r>
          </w:p>
          <w:p w14:paraId="79E8D246" w14:textId="5264C747" w:rsidR="12722054" w:rsidRPr="0098734B" w:rsidRDefault="12722054" w:rsidP="0098734B">
            <w:pPr>
              <w:pStyle w:val="Akapitzlist"/>
              <w:numPr>
                <w:ilvl w:val="3"/>
                <w:numId w:val="16"/>
              </w:numPr>
              <w:spacing w:after="60" w:line="276" w:lineRule="auto"/>
              <w:contextualSpacing w:val="0"/>
              <w:jc w:val="both"/>
              <w:rPr>
                <w:sz w:val="20"/>
                <w:szCs w:val="20"/>
              </w:rPr>
            </w:pPr>
            <w:r w:rsidRPr="0098734B">
              <w:rPr>
                <w:sz w:val="20"/>
                <w:szCs w:val="20"/>
              </w:rPr>
              <w:t xml:space="preserve">wynik powyżej 15 pkt wg kwestionariusza zdrowia pacjenta </w:t>
            </w:r>
            <w:hyperlink r:id="rId9">
              <w:r w:rsidRPr="0098734B">
                <w:rPr>
                  <w:rStyle w:val="Hipercze"/>
                  <w:color w:val="auto"/>
                  <w:sz w:val="20"/>
                  <w:szCs w:val="20"/>
                </w:rPr>
                <w:t>PHQ-9</w:t>
              </w:r>
            </w:hyperlink>
            <w:r w:rsidRPr="0098734B">
              <w:rPr>
                <w:sz w:val="20"/>
                <w:szCs w:val="20"/>
              </w:rPr>
              <w:t xml:space="preserve"> (przesiewowe badanie</w:t>
            </w:r>
            <w:r w:rsidR="002D4CDD" w:rsidRPr="0098734B">
              <w:rPr>
                <w:sz w:val="20"/>
                <w:szCs w:val="20"/>
              </w:rPr>
              <w:t xml:space="preserve"> w </w:t>
            </w:r>
            <w:r w:rsidRPr="0098734B">
              <w:rPr>
                <w:sz w:val="20"/>
                <w:szCs w:val="20"/>
              </w:rPr>
              <w:t>kierunku depresji)</w:t>
            </w:r>
            <w:r w:rsidR="00B361AF" w:rsidRPr="0098734B">
              <w:rPr>
                <w:sz w:val="20"/>
                <w:szCs w:val="20"/>
              </w:rPr>
              <w:t>;</w:t>
            </w:r>
          </w:p>
          <w:p w14:paraId="65A4D8F8" w14:textId="7F3DE301" w:rsidR="12722054" w:rsidRPr="0098734B" w:rsidRDefault="12722054" w:rsidP="0098734B">
            <w:pPr>
              <w:pStyle w:val="Akapitzlist"/>
              <w:numPr>
                <w:ilvl w:val="3"/>
                <w:numId w:val="16"/>
              </w:numPr>
              <w:spacing w:after="60" w:line="276" w:lineRule="auto"/>
              <w:contextualSpacing w:val="0"/>
              <w:jc w:val="both"/>
              <w:rPr>
                <w:sz w:val="20"/>
                <w:szCs w:val="20"/>
              </w:rPr>
            </w:pPr>
            <w:r w:rsidRPr="0098734B">
              <w:rPr>
                <w:sz w:val="20"/>
                <w:szCs w:val="20"/>
              </w:rPr>
              <w:t>myśli</w:t>
            </w:r>
            <w:r w:rsidR="002D4CDD" w:rsidRPr="0098734B">
              <w:rPr>
                <w:sz w:val="20"/>
                <w:szCs w:val="20"/>
              </w:rPr>
              <w:t xml:space="preserve"> i </w:t>
            </w:r>
            <w:r w:rsidRPr="0098734B">
              <w:rPr>
                <w:sz w:val="20"/>
                <w:szCs w:val="20"/>
              </w:rPr>
              <w:t>zachowania samobójcze</w:t>
            </w:r>
            <w:r w:rsidR="002D4CDD" w:rsidRPr="0098734B">
              <w:rPr>
                <w:sz w:val="20"/>
                <w:szCs w:val="20"/>
              </w:rPr>
              <w:t xml:space="preserve"> w </w:t>
            </w:r>
            <w:r w:rsidRPr="0098734B">
              <w:rPr>
                <w:sz w:val="20"/>
                <w:szCs w:val="20"/>
              </w:rPr>
              <w:t xml:space="preserve">przeszłości </w:t>
            </w:r>
            <w:r w:rsidR="00463A0E" w:rsidRPr="0098734B">
              <w:rPr>
                <w:sz w:val="20"/>
                <w:szCs w:val="20"/>
              </w:rPr>
              <w:t>i/lub w trakcie trwania terapii</w:t>
            </w:r>
            <w:r w:rsidR="00B361AF" w:rsidRPr="0098734B">
              <w:rPr>
                <w:sz w:val="20"/>
                <w:szCs w:val="20"/>
              </w:rPr>
              <w:t>;</w:t>
            </w:r>
          </w:p>
          <w:p w14:paraId="6BE985E2" w14:textId="7BCCE653" w:rsidR="12722054" w:rsidRPr="0098734B" w:rsidRDefault="12722054" w:rsidP="0098734B">
            <w:pPr>
              <w:pStyle w:val="Akapitzlist"/>
              <w:numPr>
                <w:ilvl w:val="3"/>
                <w:numId w:val="16"/>
              </w:numPr>
              <w:spacing w:after="60" w:line="276" w:lineRule="auto"/>
              <w:contextualSpacing w:val="0"/>
              <w:jc w:val="both"/>
              <w:rPr>
                <w:sz w:val="20"/>
                <w:szCs w:val="20"/>
              </w:rPr>
            </w:pPr>
            <w:r w:rsidRPr="0098734B">
              <w:rPr>
                <w:sz w:val="20"/>
                <w:szCs w:val="20"/>
              </w:rPr>
              <w:t>obecna ciężka, stabilna, restrykcyjna lub obturacyjna choroba płuc będącej objawem skrajnej otyłości</w:t>
            </w:r>
            <w:r w:rsidR="00B361AF" w:rsidRPr="0098734B">
              <w:rPr>
                <w:sz w:val="20"/>
                <w:szCs w:val="20"/>
              </w:rPr>
              <w:t>;</w:t>
            </w:r>
            <w:r w:rsidRPr="0098734B">
              <w:rPr>
                <w:sz w:val="20"/>
                <w:szCs w:val="20"/>
              </w:rPr>
              <w:t xml:space="preserve"> </w:t>
            </w:r>
          </w:p>
          <w:p w14:paraId="072A9968" w14:textId="043A9301" w:rsidR="12722054" w:rsidRPr="0098734B" w:rsidRDefault="12722054" w:rsidP="0098734B">
            <w:pPr>
              <w:pStyle w:val="Akapitzlist"/>
              <w:numPr>
                <w:ilvl w:val="3"/>
                <w:numId w:val="16"/>
              </w:numPr>
              <w:spacing w:after="60" w:line="276" w:lineRule="auto"/>
              <w:contextualSpacing w:val="0"/>
              <w:jc w:val="both"/>
              <w:rPr>
                <w:sz w:val="20"/>
                <w:szCs w:val="20"/>
              </w:rPr>
            </w:pPr>
            <w:r w:rsidRPr="0098734B">
              <w:rPr>
                <w:sz w:val="20"/>
                <w:szCs w:val="20"/>
              </w:rPr>
              <w:t>oznaki niewydolności serca lub choroby nowotworowej</w:t>
            </w:r>
            <w:r w:rsidR="00B361AF" w:rsidRPr="0098734B">
              <w:rPr>
                <w:sz w:val="20"/>
                <w:szCs w:val="20"/>
              </w:rPr>
              <w:t>;</w:t>
            </w:r>
          </w:p>
          <w:p w14:paraId="344BC7F9" w14:textId="4A14A3EE" w:rsidR="12722054" w:rsidRPr="0098734B" w:rsidRDefault="12722054" w:rsidP="0098734B">
            <w:pPr>
              <w:pStyle w:val="Akapitzlist"/>
              <w:numPr>
                <w:ilvl w:val="3"/>
                <w:numId w:val="16"/>
              </w:numPr>
              <w:spacing w:after="60" w:line="276" w:lineRule="auto"/>
              <w:contextualSpacing w:val="0"/>
              <w:jc w:val="both"/>
              <w:rPr>
                <w:sz w:val="20"/>
                <w:szCs w:val="20"/>
              </w:rPr>
            </w:pPr>
            <w:r w:rsidRPr="0098734B">
              <w:rPr>
                <w:sz w:val="20"/>
                <w:szCs w:val="20"/>
              </w:rPr>
              <w:t>aktualny nieprawidłowy wynik testu wątrobowego (transaminazy alaninowej i/lub asparaginowej)</w:t>
            </w:r>
            <w:r w:rsidR="00B361AF" w:rsidRPr="0098734B">
              <w:rPr>
                <w:sz w:val="20"/>
                <w:szCs w:val="20"/>
              </w:rPr>
              <w:t>;</w:t>
            </w:r>
            <w:r w:rsidRPr="0098734B">
              <w:rPr>
                <w:sz w:val="20"/>
                <w:szCs w:val="20"/>
              </w:rPr>
              <w:t xml:space="preserve"> </w:t>
            </w:r>
          </w:p>
          <w:p w14:paraId="06CF686B" w14:textId="562647BB" w:rsidR="12722054" w:rsidRPr="0098734B" w:rsidRDefault="12722054" w:rsidP="0098734B">
            <w:pPr>
              <w:pStyle w:val="Akapitzlist"/>
              <w:numPr>
                <w:ilvl w:val="3"/>
                <w:numId w:val="16"/>
              </w:numPr>
              <w:spacing w:after="60" w:line="276" w:lineRule="auto"/>
              <w:contextualSpacing w:val="0"/>
              <w:jc w:val="both"/>
              <w:rPr>
                <w:sz w:val="20"/>
                <w:szCs w:val="20"/>
              </w:rPr>
            </w:pPr>
            <w:r w:rsidRPr="0098734B">
              <w:rPr>
                <w:sz w:val="20"/>
                <w:szCs w:val="20"/>
              </w:rPr>
              <w:t>obecność zaburzeń czynności nerek obecna lub</w:t>
            </w:r>
            <w:r w:rsidR="002D4CDD" w:rsidRPr="0098734B">
              <w:rPr>
                <w:sz w:val="20"/>
                <w:szCs w:val="20"/>
              </w:rPr>
              <w:t xml:space="preserve"> w </w:t>
            </w:r>
            <w:r w:rsidRPr="0098734B">
              <w:rPr>
                <w:sz w:val="20"/>
                <w:szCs w:val="20"/>
              </w:rPr>
              <w:t>wywiadzie</w:t>
            </w:r>
            <w:r w:rsidR="00B361AF" w:rsidRPr="0098734B">
              <w:rPr>
                <w:sz w:val="20"/>
                <w:szCs w:val="20"/>
              </w:rPr>
              <w:t>;</w:t>
            </w:r>
          </w:p>
          <w:p w14:paraId="46818940" w14:textId="159ABDE2" w:rsidR="12722054" w:rsidRPr="0098734B" w:rsidRDefault="12722054" w:rsidP="0098734B">
            <w:pPr>
              <w:pStyle w:val="Akapitzlist"/>
              <w:numPr>
                <w:ilvl w:val="3"/>
                <w:numId w:val="16"/>
              </w:numPr>
              <w:spacing w:after="60" w:line="276" w:lineRule="auto"/>
              <w:contextualSpacing w:val="0"/>
              <w:jc w:val="both"/>
              <w:rPr>
                <w:sz w:val="20"/>
                <w:szCs w:val="20"/>
              </w:rPr>
            </w:pPr>
            <w:r w:rsidRPr="0098734B">
              <w:rPr>
                <w:sz w:val="20"/>
                <w:szCs w:val="20"/>
              </w:rPr>
              <w:t>bliska rodzinna historia raka skóry lub czerniaka lub albinizmu skórno-gałkowego</w:t>
            </w:r>
            <w:r w:rsidR="00B361AF" w:rsidRPr="0098734B">
              <w:rPr>
                <w:sz w:val="20"/>
                <w:szCs w:val="20"/>
              </w:rPr>
              <w:t>;</w:t>
            </w:r>
          </w:p>
          <w:p w14:paraId="2B775A19" w14:textId="5C8DC6BE" w:rsidR="12722054" w:rsidRPr="0098734B" w:rsidRDefault="12722054" w:rsidP="0098734B">
            <w:pPr>
              <w:pStyle w:val="Akapitzlist"/>
              <w:numPr>
                <w:ilvl w:val="3"/>
                <w:numId w:val="16"/>
              </w:numPr>
              <w:spacing w:after="60" w:line="276" w:lineRule="auto"/>
              <w:contextualSpacing w:val="0"/>
              <w:jc w:val="both"/>
              <w:rPr>
                <w:sz w:val="20"/>
                <w:szCs w:val="20"/>
              </w:rPr>
            </w:pPr>
            <w:r w:rsidRPr="0098734B">
              <w:rPr>
                <w:sz w:val="20"/>
                <w:szCs w:val="20"/>
              </w:rPr>
              <w:t>znaczące zmiany dermatologiczne dotyczące czerniaka lub zmian skórnych przed nowotworowych</w:t>
            </w:r>
            <w:r w:rsidR="00B361AF" w:rsidRPr="0098734B">
              <w:rPr>
                <w:sz w:val="20"/>
                <w:szCs w:val="20"/>
              </w:rPr>
              <w:t>;</w:t>
            </w:r>
            <w:r w:rsidRPr="0098734B">
              <w:rPr>
                <w:sz w:val="20"/>
                <w:szCs w:val="20"/>
              </w:rPr>
              <w:t xml:space="preserve"> </w:t>
            </w:r>
          </w:p>
          <w:p w14:paraId="373B9754" w14:textId="6C733E9F" w:rsidR="00463A0E" w:rsidRPr="0098734B" w:rsidRDefault="00463A0E" w:rsidP="0098734B">
            <w:pPr>
              <w:pStyle w:val="Akapitzlist"/>
              <w:numPr>
                <w:ilvl w:val="3"/>
                <w:numId w:val="16"/>
              </w:numPr>
              <w:spacing w:after="60" w:line="276" w:lineRule="auto"/>
              <w:contextualSpacing w:val="0"/>
              <w:jc w:val="both"/>
              <w:rPr>
                <w:sz w:val="20"/>
                <w:szCs w:val="20"/>
              </w:rPr>
            </w:pPr>
            <w:r w:rsidRPr="0098734B">
              <w:rPr>
                <w:sz w:val="20"/>
                <w:szCs w:val="20"/>
              </w:rPr>
              <w:t>nadwrażliwość na setmelanotyd</w:t>
            </w:r>
            <w:r w:rsidR="00B361AF" w:rsidRPr="0098734B">
              <w:rPr>
                <w:sz w:val="20"/>
                <w:szCs w:val="20"/>
              </w:rPr>
              <w:t>;</w:t>
            </w:r>
          </w:p>
          <w:p w14:paraId="1DD75F21" w14:textId="2DE9384B" w:rsidR="00463A0E" w:rsidRPr="0098734B" w:rsidRDefault="00463A0E" w:rsidP="0098734B">
            <w:pPr>
              <w:pStyle w:val="Akapitzlist"/>
              <w:numPr>
                <w:ilvl w:val="3"/>
                <w:numId w:val="16"/>
              </w:numPr>
              <w:spacing w:after="60" w:line="276" w:lineRule="auto"/>
              <w:contextualSpacing w:val="0"/>
              <w:jc w:val="both"/>
              <w:rPr>
                <w:sz w:val="20"/>
                <w:szCs w:val="20"/>
              </w:rPr>
            </w:pPr>
            <w:r w:rsidRPr="0098734B">
              <w:rPr>
                <w:sz w:val="20"/>
                <w:szCs w:val="20"/>
              </w:rPr>
              <w:t>niezadowalający efekt leczenia (</w:t>
            </w:r>
            <w:r w:rsidR="00931F06" w:rsidRPr="0098734B">
              <w:rPr>
                <w:sz w:val="20"/>
                <w:szCs w:val="20"/>
              </w:rPr>
              <w:t>spadek masy ciała poniżej 10% po roku terapii w porównaniu z wartością wyjściową)</w:t>
            </w:r>
            <w:r w:rsidR="00B361AF" w:rsidRPr="0098734B">
              <w:rPr>
                <w:sz w:val="20"/>
                <w:szCs w:val="20"/>
              </w:rPr>
              <w:t>.</w:t>
            </w:r>
          </w:p>
          <w:p w14:paraId="59A7013D" w14:textId="6A4AF849" w:rsidR="12722054" w:rsidRPr="0098734B" w:rsidRDefault="12722054" w:rsidP="0098734B">
            <w:pPr>
              <w:spacing w:after="60" w:line="276" w:lineRule="auto"/>
              <w:jc w:val="both"/>
              <w:rPr>
                <w:sz w:val="20"/>
                <w:szCs w:val="20"/>
              </w:rPr>
            </w:pPr>
            <w:r w:rsidRPr="0098734B">
              <w:rPr>
                <w:sz w:val="20"/>
                <w:szCs w:val="20"/>
              </w:rPr>
              <w:t>Zapobiegawczo nie należy rozpoczynania leczenia podczas ciąży lub prób zajścia</w:t>
            </w:r>
            <w:r w:rsidR="002D4CDD" w:rsidRPr="0098734B">
              <w:rPr>
                <w:sz w:val="20"/>
                <w:szCs w:val="20"/>
              </w:rPr>
              <w:t xml:space="preserve"> w </w:t>
            </w:r>
            <w:r w:rsidRPr="0098734B">
              <w:rPr>
                <w:sz w:val="20"/>
                <w:szCs w:val="20"/>
              </w:rPr>
              <w:t>ciążę, ponieważ spadek masy ciała</w:t>
            </w:r>
            <w:r w:rsidR="002D4CDD" w:rsidRPr="0098734B">
              <w:rPr>
                <w:sz w:val="20"/>
                <w:szCs w:val="20"/>
              </w:rPr>
              <w:t xml:space="preserve"> w </w:t>
            </w:r>
            <w:r w:rsidRPr="0098734B">
              <w:rPr>
                <w:sz w:val="20"/>
                <w:szCs w:val="20"/>
              </w:rPr>
              <w:t xml:space="preserve">trakcie ciąży może powodować uszkodzenie płodu.   </w:t>
            </w:r>
          </w:p>
          <w:p w14:paraId="186FE34E" w14:textId="37DCDEE2" w:rsidR="36505A20" w:rsidRPr="0098734B" w:rsidRDefault="36505A20" w:rsidP="0098734B">
            <w:pPr>
              <w:spacing w:after="60" w:line="276" w:lineRule="auto"/>
              <w:jc w:val="both"/>
              <w:rPr>
                <w:sz w:val="20"/>
                <w:szCs w:val="20"/>
              </w:rPr>
            </w:pPr>
          </w:p>
          <w:p w14:paraId="0EA4E37E" w14:textId="13915EC8" w:rsidR="12722054" w:rsidRPr="0098734B" w:rsidRDefault="12722054" w:rsidP="0098734B">
            <w:pPr>
              <w:pStyle w:val="Akapitzlist"/>
              <w:numPr>
                <w:ilvl w:val="0"/>
                <w:numId w:val="16"/>
              </w:numPr>
              <w:spacing w:after="60" w:line="276" w:lineRule="auto"/>
              <w:contextualSpacing w:val="0"/>
              <w:jc w:val="both"/>
              <w:rPr>
                <w:b/>
                <w:bCs/>
                <w:sz w:val="20"/>
                <w:szCs w:val="20"/>
              </w:rPr>
            </w:pPr>
            <w:r w:rsidRPr="0098734B">
              <w:rPr>
                <w:b/>
                <w:bCs/>
                <w:sz w:val="20"/>
                <w:szCs w:val="20"/>
              </w:rPr>
              <w:t>Określenie czasu leczenia</w:t>
            </w:r>
            <w:r w:rsidR="002D4CDD" w:rsidRPr="0098734B">
              <w:rPr>
                <w:b/>
                <w:bCs/>
                <w:sz w:val="20"/>
                <w:szCs w:val="20"/>
              </w:rPr>
              <w:t xml:space="preserve"> w </w:t>
            </w:r>
            <w:r w:rsidRPr="0098734B">
              <w:rPr>
                <w:b/>
                <w:bCs/>
                <w:sz w:val="20"/>
                <w:szCs w:val="20"/>
              </w:rPr>
              <w:t xml:space="preserve">programie </w:t>
            </w:r>
          </w:p>
          <w:p w14:paraId="09E82ACF" w14:textId="77777777" w:rsidR="00A45E05" w:rsidRPr="0098734B" w:rsidRDefault="12722054" w:rsidP="0098734B">
            <w:pPr>
              <w:spacing w:after="60" w:line="276" w:lineRule="auto"/>
              <w:jc w:val="both"/>
              <w:rPr>
                <w:sz w:val="20"/>
                <w:szCs w:val="20"/>
              </w:rPr>
            </w:pPr>
            <w:r w:rsidRPr="0098734B">
              <w:rPr>
                <w:sz w:val="20"/>
                <w:szCs w:val="20"/>
              </w:rPr>
              <w:t xml:space="preserve">Terapię należy stosować </w:t>
            </w:r>
            <w:r w:rsidR="0091446B" w:rsidRPr="0098734B">
              <w:rPr>
                <w:sz w:val="20"/>
                <w:szCs w:val="20"/>
              </w:rPr>
              <w:t xml:space="preserve">do czasu osiągnięcia przez pacjenta </w:t>
            </w:r>
            <w:r w:rsidR="00463A0E" w:rsidRPr="0098734B">
              <w:rPr>
                <w:sz w:val="20"/>
                <w:szCs w:val="20"/>
              </w:rPr>
              <w:t>wartości BMI&lt;25,0 lub &lt;85 centyla w przypadku dzieci.</w:t>
            </w:r>
            <w:r w:rsidR="002D12A5" w:rsidRPr="0098734B">
              <w:rPr>
                <w:sz w:val="20"/>
                <w:szCs w:val="20"/>
              </w:rPr>
              <w:t xml:space="preserve"> W przypadku ponownego przekroczenia wartości BMI≥30 kg/m2 (w przypadku osób dorosłych) lub ≥95 percentyla wg. siatek centylowych (w przypadku dzieci) </w:t>
            </w:r>
            <w:r w:rsidR="006F342B" w:rsidRPr="0098734B">
              <w:rPr>
                <w:sz w:val="20"/>
                <w:szCs w:val="20"/>
              </w:rPr>
              <w:t xml:space="preserve">oraz spełnieniu kryteriów kwalifikacji zawartych w punkcie 1 - </w:t>
            </w:r>
            <w:r w:rsidR="002D12A5" w:rsidRPr="0098734B">
              <w:rPr>
                <w:sz w:val="20"/>
                <w:szCs w:val="20"/>
              </w:rPr>
              <w:t xml:space="preserve">pacjent może zostać ponownie włączony do </w:t>
            </w:r>
            <w:r w:rsidR="00B361AF" w:rsidRPr="0098734B">
              <w:rPr>
                <w:sz w:val="20"/>
                <w:szCs w:val="20"/>
              </w:rPr>
              <w:t>leczenia w programie.</w:t>
            </w:r>
            <w:r w:rsidR="006F342B" w:rsidRPr="0098734B">
              <w:rPr>
                <w:sz w:val="20"/>
                <w:szCs w:val="20"/>
              </w:rPr>
              <w:t xml:space="preserve"> </w:t>
            </w:r>
          </w:p>
          <w:p w14:paraId="6FD046E2" w14:textId="42BDE432" w:rsidR="008B4269" w:rsidRPr="0098734B" w:rsidRDefault="008B4269" w:rsidP="0098734B">
            <w:pPr>
              <w:spacing w:after="60" w:line="276" w:lineRule="auto"/>
              <w:jc w:val="both"/>
              <w:rPr>
                <w:sz w:val="20"/>
                <w:szCs w:val="20"/>
              </w:rPr>
            </w:pPr>
          </w:p>
        </w:tc>
        <w:tc>
          <w:tcPr>
            <w:tcW w:w="1337" w:type="pct"/>
            <w:tcBorders>
              <w:top w:val="single" w:sz="6" w:space="0" w:color="auto"/>
              <w:left w:val="single" w:sz="6" w:space="0" w:color="auto"/>
              <w:bottom w:val="single" w:sz="6" w:space="0" w:color="auto"/>
              <w:right w:val="single" w:sz="6" w:space="0" w:color="auto"/>
            </w:tcBorders>
          </w:tcPr>
          <w:p w14:paraId="243C4809" w14:textId="12B9413B" w:rsidR="00565830" w:rsidRPr="0098734B" w:rsidRDefault="00B853C3" w:rsidP="0098734B">
            <w:pPr>
              <w:pStyle w:val="Akapitzlist"/>
              <w:numPr>
                <w:ilvl w:val="0"/>
                <w:numId w:val="17"/>
              </w:numPr>
              <w:autoSpaceDE w:val="0"/>
              <w:autoSpaceDN w:val="0"/>
              <w:adjustRightInd w:val="0"/>
              <w:spacing w:before="120" w:after="60" w:line="276" w:lineRule="auto"/>
              <w:contextualSpacing w:val="0"/>
              <w:jc w:val="both"/>
              <w:rPr>
                <w:b/>
                <w:bCs/>
                <w:sz w:val="20"/>
                <w:szCs w:val="20"/>
              </w:rPr>
            </w:pPr>
            <w:r w:rsidRPr="0098734B">
              <w:rPr>
                <w:b/>
                <w:bCs/>
                <w:sz w:val="20"/>
                <w:szCs w:val="20"/>
              </w:rPr>
              <w:t>Dorośli</w:t>
            </w:r>
            <w:r w:rsidR="002D4CDD" w:rsidRPr="0098734B">
              <w:rPr>
                <w:b/>
                <w:bCs/>
                <w:sz w:val="20"/>
                <w:szCs w:val="20"/>
              </w:rPr>
              <w:t xml:space="preserve"> i </w:t>
            </w:r>
            <w:r w:rsidRPr="0098734B">
              <w:rPr>
                <w:b/>
                <w:bCs/>
                <w:sz w:val="20"/>
                <w:szCs w:val="20"/>
              </w:rPr>
              <w:t>dzieci</w:t>
            </w:r>
            <w:r w:rsidR="002D4CDD" w:rsidRPr="0098734B">
              <w:rPr>
                <w:b/>
                <w:bCs/>
                <w:sz w:val="20"/>
                <w:szCs w:val="20"/>
              </w:rPr>
              <w:t xml:space="preserve"> w </w:t>
            </w:r>
            <w:r w:rsidRPr="0098734B">
              <w:rPr>
                <w:b/>
                <w:bCs/>
                <w:sz w:val="20"/>
                <w:szCs w:val="20"/>
              </w:rPr>
              <w:t>wieku &gt; 12 lat</w:t>
            </w:r>
          </w:p>
          <w:p w14:paraId="2A60D348" w14:textId="650EFF13" w:rsidR="00446F9A" w:rsidRPr="0098734B" w:rsidRDefault="00446F9A" w:rsidP="0098734B">
            <w:pPr>
              <w:pStyle w:val="Akapitzlist"/>
              <w:numPr>
                <w:ilvl w:val="1"/>
                <w:numId w:val="17"/>
              </w:numPr>
              <w:autoSpaceDE w:val="0"/>
              <w:autoSpaceDN w:val="0"/>
              <w:adjustRightInd w:val="0"/>
              <w:spacing w:after="60" w:line="276" w:lineRule="auto"/>
              <w:ind w:right="23"/>
              <w:contextualSpacing w:val="0"/>
              <w:jc w:val="both"/>
              <w:rPr>
                <w:sz w:val="20"/>
                <w:szCs w:val="20"/>
              </w:rPr>
            </w:pPr>
            <w:r w:rsidRPr="0098734B">
              <w:rPr>
                <w:sz w:val="20"/>
                <w:szCs w:val="20"/>
              </w:rPr>
              <w:t>dawka początkowa wynosi 1 mg/dobę we wstrzyknięciu podskórnym przez 2 tygodnie</w:t>
            </w:r>
            <w:r w:rsidR="00A8082F" w:rsidRPr="0098734B">
              <w:rPr>
                <w:sz w:val="20"/>
                <w:szCs w:val="20"/>
              </w:rPr>
              <w:t>;</w:t>
            </w:r>
          </w:p>
          <w:p w14:paraId="4AB8AA49" w14:textId="38615AA0" w:rsidR="002B44DE" w:rsidRPr="0098734B" w:rsidRDefault="00446F9A" w:rsidP="0098734B">
            <w:pPr>
              <w:pStyle w:val="Akapitzlist"/>
              <w:numPr>
                <w:ilvl w:val="1"/>
                <w:numId w:val="17"/>
              </w:numPr>
              <w:autoSpaceDE w:val="0"/>
              <w:autoSpaceDN w:val="0"/>
              <w:adjustRightInd w:val="0"/>
              <w:spacing w:after="60" w:line="276" w:lineRule="auto"/>
              <w:ind w:right="23"/>
              <w:contextualSpacing w:val="0"/>
              <w:jc w:val="both"/>
              <w:rPr>
                <w:sz w:val="20"/>
                <w:szCs w:val="20"/>
              </w:rPr>
            </w:pPr>
            <w:r w:rsidRPr="0098734B">
              <w:rPr>
                <w:sz w:val="20"/>
                <w:szCs w:val="20"/>
              </w:rPr>
              <w:t>po 2 tygodn</w:t>
            </w:r>
            <w:r w:rsidR="00A8082F" w:rsidRPr="0098734B">
              <w:rPr>
                <w:sz w:val="20"/>
                <w:szCs w:val="20"/>
              </w:rPr>
              <w:t>iach</w:t>
            </w:r>
            <w:r w:rsidRPr="0098734B">
              <w:rPr>
                <w:sz w:val="20"/>
                <w:szCs w:val="20"/>
              </w:rPr>
              <w:t>, jeśli setmelanotyd jest dobrze tolerowany, dawkę można zwiększyć do 2 mg raz na dobę we wstrzyknięciu podskórnym. Jeśli zwiększona dawka nie jest tolerowana, pacjenci mogą</w:t>
            </w:r>
            <w:r w:rsidR="002D4CDD" w:rsidRPr="0098734B">
              <w:rPr>
                <w:sz w:val="20"/>
                <w:szCs w:val="20"/>
              </w:rPr>
              <w:t xml:space="preserve"> w </w:t>
            </w:r>
            <w:r w:rsidRPr="0098734B">
              <w:rPr>
                <w:sz w:val="20"/>
                <w:szCs w:val="20"/>
              </w:rPr>
              <w:t>dalszym ciągu stosować dawkę 1 mg raz na dobę</w:t>
            </w:r>
            <w:r w:rsidR="00A8082F" w:rsidRPr="0098734B">
              <w:rPr>
                <w:sz w:val="20"/>
                <w:szCs w:val="20"/>
              </w:rPr>
              <w:t>;</w:t>
            </w:r>
          </w:p>
          <w:p w14:paraId="7FBB7F0F" w14:textId="1A03B023" w:rsidR="00446F9A" w:rsidRPr="0098734B" w:rsidRDefault="00A8082F" w:rsidP="0098734B">
            <w:pPr>
              <w:pStyle w:val="Akapitzlist"/>
              <w:numPr>
                <w:ilvl w:val="1"/>
                <w:numId w:val="17"/>
              </w:numPr>
              <w:autoSpaceDE w:val="0"/>
              <w:autoSpaceDN w:val="0"/>
              <w:adjustRightInd w:val="0"/>
              <w:spacing w:after="60" w:line="276" w:lineRule="auto"/>
              <w:ind w:right="23"/>
              <w:contextualSpacing w:val="0"/>
              <w:jc w:val="both"/>
              <w:rPr>
                <w:sz w:val="20"/>
                <w:szCs w:val="20"/>
              </w:rPr>
            </w:pPr>
            <w:r w:rsidRPr="0098734B">
              <w:rPr>
                <w:sz w:val="20"/>
                <w:szCs w:val="20"/>
              </w:rPr>
              <w:t>jeśli</w:t>
            </w:r>
            <w:r w:rsidR="002D4CDD" w:rsidRPr="0098734B">
              <w:rPr>
                <w:sz w:val="20"/>
                <w:szCs w:val="20"/>
              </w:rPr>
              <w:t xml:space="preserve"> u </w:t>
            </w:r>
            <w:r w:rsidRPr="0098734B">
              <w:rPr>
                <w:sz w:val="20"/>
                <w:szCs w:val="20"/>
              </w:rPr>
              <w:t>dorosłych pacjentów pożądane jest dodatkowe zmniejszenie masy ciała, dawka może być zwiększona do 2,5 mg raz na dobę we wstrzyknięciu podskórnym. Jeśli dawka 2,5 mg jest dobrze tolerowana, dawkę można zwiększyć do 3 mg raz na dobę;</w:t>
            </w:r>
          </w:p>
          <w:p w14:paraId="53B2715C" w14:textId="2C041481" w:rsidR="00A8082F" w:rsidRPr="0098734B" w:rsidRDefault="00A8082F" w:rsidP="0098734B">
            <w:pPr>
              <w:pStyle w:val="Akapitzlist"/>
              <w:numPr>
                <w:ilvl w:val="1"/>
                <w:numId w:val="17"/>
              </w:numPr>
              <w:autoSpaceDE w:val="0"/>
              <w:autoSpaceDN w:val="0"/>
              <w:adjustRightInd w:val="0"/>
              <w:spacing w:after="60" w:line="276" w:lineRule="auto"/>
              <w:ind w:right="23"/>
              <w:contextualSpacing w:val="0"/>
              <w:jc w:val="both"/>
              <w:rPr>
                <w:sz w:val="20"/>
                <w:szCs w:val="20"/>
              </w:rPr>
            </w:pPr>
            <w:r w:rsidRPr="0098734B">
              <w:rPr>
                <w:sz w:val="20"/>
                <w:szCs w:val="20"/>
              </w:rPr>
              <w:t>u pacjentów</w:t>
            </w:r>
            <w:r w:rsidR="002D4CDD" w:rsidRPr="0098734B">
              <w:rPr>
                <w:sz w:val="20"/>
                <w:szCs w:val="20"/>
              </w:rPr>
              <w:t xml:space="preserve"> w </w:t>
            </w:r>
            <w:r w:rsidRPr="0098734B">
              <w:rPr>
                <w:sz w:val="20"/>
                <w:szCs w:val="20"/>
              </w:rPr>
              <w:t>wieku od 12 do 17 lat, jeśli masa ciała pozostaje powyżej 90 percentyl</w:t>
            </w:r>
            <w:r w:rsidR="007A6E3A">
              <w:rPr>
                <w:sz w:val="20"/>
                <w:szCs w:val="20"/>
              </w:rPr>
              <w:t>a</w:t>
            </w:r>
            <w:r w:rsidR="002D4CDD" w:rsidRPr="0098734B">
              <w:rPr>
                <w:sz w:val="20"/>
                <w:szCs w:val="20"/>
              </w:rPr>
              <w:t xml:space="preserve"> w </w:t>
            </w:r>
            <w:r w:rsidRPr="0098734B">
              <w:rPr>
                <w:sz w:val="20"/>
                <w:szCs w:val="20"/>
              </w:rPr>
              <w:t>przypadku stosowania dawki 2 mg raz na dobę we wstrzyknięciu podskórnym</w:t>
            </w:r>
            <w:r w:rsidR="002D4CDD" w:rsidRPr="0098734B">
              <w:rPr>
                <w:sz w:val="20"/>
                <w:szCs w:val="20"/>
              </w:rPr>
              <w:t xml:space="preserve"> i </w:t>
            </w:r>
            <w:r w:rsidRPr="0098734B">
              <w:rPr>
                <w:sz w:val="20"/>
                <w:szCs w:val="20"/>
              </w:rPr>
              <w:t>pożądane jest dodatkowe zmniejszenie masy ciała, dawka może być zwiększona do 2,5 mg</w:t>
            </w:r>
            <w:r w:rsidR="00931F06" w:rsidRPr="0098734B">
              <w:rPr>
                <w:sz w:val="20"/>
                <w:szCs w:val="20"/>
              </w:rPr>
              <w:t>.</w:t>
            </w:r>
          </w:p>
          <w:p w14:paraId="296998E0" w14:textId="77777777" w:rsidR="0010197E" w:rsidRPr="0098734B" w:rsidRDefault="0010197E" w:rsidP="0098734B">
            <w:pPr>
              <w:autoSpaceDE w:val="0"/>
              <w:autoSpaceDN w:val="0"/>
              <w:adjustRightInd w:val="0"/>
              <w:spacing w:after="60" w:line="276" w:lineRule="auto"/>
              <w:ind w:right="23"/>
              <w:jc w:val="both"/>
              <w:rPr>
                <w:sz w:val="20"/>
                <w:szCs w:val="20"/>
              </w:rPr>
            </w:pPr>
          </w:p>
          <w:p w14:paraId="2DC0B69D" w14:textId="77777777" w:rsidR="00A8082F" w:rsidRPr="0098734B" w:rsidRDefault="00A8082F" w:rsidP="0098734B">
            <w:pPr>
              <w:pStyle w:val="Akapitzlist"/>
              <w:numPr>
                <w:ilvl w:val="0"/>
                <w:numId w:val="17"/>
              </w:numPr>
              <w:autoSpaceDE w:val="0"/>
              <w:autoSpaceDN w:val="0"/>
              <w:adjustRightInd w:val="0"/>
              <w:spacing w:after="60" w:line="276" w:lineRule="auto"/>
              <w:ind w:right="23"/>
              <w:contextualSpacing w:val="0"/>
              <w:jc w:val="both"/>
              <w:rPr>
                <w:sz w:val="20"/>
                <w:szCs w:val="20"/>
              </w:rPr>
            </w:pPr>
            <w:r w:rsidRPr="0098734B">
              <w:rPr>
                <w:b/>
                <w:bCs/>
                <w:sz w:val="20"/>
                <w:szCs w:val="20"/>
              </w:rPr>
              <w:t>Dzieci (w wieku od 6 do &lt;12 lat)</w:t>
            </w:r>
          </w:p>
          <w:p w14:paraId="0BE66831" w14:textId="16D50B15" w:rsidR="008943AE" w:rsidRPr="0098734B" w:rsidRDefault="008943AE" w:rsidP="0098734B">
            <w:pPr>
              <w:pStyle w:val="Akapitzlist"/>
              <w:numPr>
                <w:ilvl w:val="1"/>
                <w:numId w:val="17"/>
              </w:numPr>
              <w:autoSpaceDE w:val="0"/>
              <w:autoSpaceDN w:val="0"/>
              <w:adjustRightInd w:val="0"/>
              <w:spacing w:after="60" w:line="276" w:lineRule="auto"/>
              <w:ind w:right="23"/>
              <w:contextualSpacing w:val="0"/>
              <w:jc w:val="both"/>
              <w:rPr>
                <w:sz w:val="20"/>
                <w:szCs w:val="20"/>
              </w:rPr>
            </w:pPr>
            <w:r w:rsidRPr="0098734B">
              <w:rPr>
                <w:sz w:val="20"/>
                <w:szCs w:val="20"/>
              </w:rPr>
              <w:t>u</w:t>
            </w:r>
            <w:r w:rsidR="00A8082F" w:rsidRPr="0098734B">
              <w:rPr>
                <w:sz w:val="20"/>
                <w:szCs w:val="20"/>
              </w:rPr>
              <w:t xml:space="preserve"> dzieci</w:t>
            </w:r>
            <w:r w:rsidR="002D4CDD" w:rsidRPr="0098734B">
              <w:rPr>
                <w:sz w:val="20"/>
                <w:szCs w:val="20"/>
              </w:rPr>
              <w:t xml:space="preserve"> w </w:t>
            </w:r>
            <w:r w:rsidR="00A8082F" w:rsidRPr="0098734B">
              <w:rPr>
                <w:sz w:val="20"/>
                <w:szCs w:val="20"/>
              </w:rPr>
              <w:t>wieku od 6 do &lt;12 lat dawka początkowa wynosi 0,5 mg raz na dobę we wstrzyknięciu podskórnym przez 2 tygodnie</w:t>
            </w:r>
            <w:r w:rsidRPr="0098734B">
              <w:rPr>
                <w:sz w:val="20"/>
                <w:szCs w:val="20"/>
              </w:rPr>
              <w:t xml:space="preserve">; </w:t>
            </w:r>
          </w:p>
          <w:p w14:paraId="53FC732B" w14:textId="6CD0D74D" w:rsidR="008943AE" w:rsidRPr="0098734B" w:rsidRDefault="008943AE" w:rsidP="0098734B">
            <w:pPr>
              <w:pStyle w:val="Akapitzlist"/>
              <w:numPr>
                <w:ilvl w:val="1"/>
                <w:numId w:val="17"/>
              </w:numPr>
              <w:autoSpaceDE w:val="0"/>
              <w:autoSpaceDN w:val="0"/>
              <w:adjustRightInd w:val="0"/>
              <w:spacing w:after="60" w:line="276" w:lineRule="auto"/>
              <w:ind w:right="23"/>
              <w:contextualSpacing w:val="0"/>
              <w:jc w:val="both"/>
              <w:rPr>
                <w:sz w:val="20"/>
                <w:szCs w:val="20"/>
              </w:rPr>
            </w:pPr>
            <w:r w:rsidRPr="0098734B">
              <w:rPr>
                <w:sz w:val="20"/>
                <w:szCs w:val="20"/>
              </w:rPr>
              <w:t>j</w:t>
            </w:r>
            <w:r w:rsidR="00A8082F" w:rsidRPr="0098734B">
              <w:rPr>
                <w:sz w:val="20"/>
                <w:szCs w:val="20"/>
              </w:rPr>
              <w:t>eśli po 2 tygodniach dawka jest tolerowana, możliwe jest jej zwiększenie do 1 mg raz na dobę. Jeśli zwiększona dawka nie jest tolerowana, dzieci mogą</w:t>
            </w:r>
            <w:r w:rsidR="002D4CDD" w:rsidRPr="0098734B">
              <w:rPr>
                <w:sz w:val="20"/>
                <w:szCs w:val="20"/>
              </w:rPr>
              <w:t xml:space="preserve"> w </w:t>
            </w:r>
            <w:r w:rsidR="00A8082F" w:rsidRPr="0098734B">
              <w:rPr>
                <w:sz w:val="20"/>
                <w:szCs w:val="20"/>
              </w:rPr>
              <w:t>dalszym ciągu stosować dawkę 0,5 mg raz na dobę</w:t>
            </w:r>
            <w:r w:rsidRPr="0098734B">
              <w:rPr>
                <w:sz w:val="20"/>
                <w:szCs w:val="20"/>
              </w:rPr>
              <w:t>;</w:t>
            </w:r>
          </w:p>
          <w:p w14:paraId="61FF8FC5" w14:textId="3C6C744A" w:rsidR="008943AE" w:rsidRPr="0098734B" w:rsidRDefault="008943AE" w:rsidP="0098734B">
            <w:pPr>
              <w:pStyle w:val="Akapitzlist"/>
              <w:numPr>
                <w:ilvl w:val="1"/>
                <w:numId w:val="17"/>
              </w:numPr>
              <w:autoSpaceDE w:val="0"/>
              <w:autoSpaceDN w:val="0"/>
              <w:adjustRightInd w:val="0"/>
              <w:spacing w:after="60" w:line="276" w:lineRule="auto"/>
              <w:ind w:right="23"/>
              <w:contextualSpacing w:val="0"/>
              <w:jc w:val="both"/>
              <w:rPr>
                <w:sz w:val="20"/>
                <w:szCs w:val="20"/>
              </w:rPr>
            </w:pPr>
            <w:r w:rsidRPr="0098734B">
              <w:rPr>
                <w:sz w:val="20"/>
                <w:szCs w:val="20"/>
              </w:rPr>
              <w:t>j</w:t>
            </w:r>
            <w:r w:rsidR="00A8082F" w:rsidRPr="0098734B">
              <w:rPr>
                <w:sz w:val="20"/>
                <w:szCs w:val="20"/>
              </w:rPr>
              <w:t>eśli po 2 tygodniach dawka 1 mg jest tolerowana, możliwe jest jej zwiększenie do 2 mg raz na dobę. Jeśli masa ciała pozostaje powyżej 90 percentyl</w:t>
            </w:r>
            <w:r w:rsidR="00931F06" w:rsidRPr="0098734B">
              <w:rPr>
                <w:sz w:val="20"/>
                <w:szCs w:val="20"/>
              </w:rPr>
              <w:t>a</w:t>
            </w:r>
            <w:r w:rsidR="002D4CDD" w:rsidRPr="0098734B">
              <w:rPr>
                <w:sz w:val="20"/>
                <w:szCs w:val="20"/>
              </w:rPr>
              <w:t xml:space="preserve"> w </w:t>
            </w:r>
            <w:r w:rsidR="00A8082F" w:rsidRPr="0098734B">
              <w:rPr>
                <w:sz w:val="20"/>
                <w:szCs w:val="20"/>
              </w:rPr>
              <w:t>przypadku stosowania dawki 2 mg raz na</w:t>
            </w:r>
            <w:r w:rsidR="00931F06" w:rsidRPr="0098734B">
              <w:rPr>
                <w:sz w:val="20"/>
                <w:szCs w:val="20"/>
              </w:rPr>
              <w:t xml:space="preserve"> </w:t>
            </w:r>
            <w:r w:rsidR="00A8082F" w:rsidRPr="0098734B">
              <w:rPr>
                <w:sz w:val="20"/>
                <w:szCs w:val="20"/>
              </w:rPr>
              <w:t>dobę we wstrzyknięciu podskórnym</w:t>
            </w:r>
            <w:r w:rsidR="002D4CDD" w:rsidRPr="0098734B">
              <w:rPr>
                <w:sz w:val="20"/>
                <w:szCs w:val="20"/>
              </w:rPr>
              <w:t xml:space="preserve"> i </w:t>
            </w:r>
            <w:r w:rsidR="00A8082F" w:rsidRPr="0098734B">
              <w:rPr>
                <w:sz w:val="20"/>
                <w:szCs w:val="20"/>
              </w:rPr>
              <w:t>pożądane jest dodatkowe zmniejszenie masy ciała, dawka może być zwiększona do 2,5 mg raz na dobę</w:t>
            </w:r>
            <w:r w:rsidRPr="0098734B">
              <w:rPr>
                <w:sz w:val="20"/>
                <w:szCs w:val="20"/>
              </w:rPr>
              <w:t>.</w:t>
            </w:r>
          </w:p>
          <w:p w14:paraId="01A375E7" w14:textId="73641827" w:rsidR="008B4269" w:rsidRPr="0098734B" w:rsidRDefault="008B4269" w:rsidP="0098734B">
            <w:pPr>
              <w:pStyle w:val="Akapitzlist"/>
              <w:autoSpaceDE w:val="0"/>
              <w:autoSpaceDN w:val="0"/>
              <w:adjustRightInd w:val="0"/>
              <w:spacing w:after="60" w:line="276" w:lineRule="auto"/>
              <w:ind w:left="227" w:right="23"/>
              <w:contextualSpacing w:val="0"/>
              <w:jc w:val="both"/>
              <w:rPr>
                <w:sz w:val="20"/>
                <w:szCs w:val="20"/>
              </w:rPr>
            </w:pPr>
          </w:p>
        </w:tc>
        <w:tc>
          <w:tcPr>
            <w:tcW w:w="1823" w:type="pct"/>
            <w:tcBorders>
              <w:top w:val="single" w:sz="6" w:space="0" w:color="auto"/>
              <w:left w:val="single" w:sz="6" w:space="0" w:color="auto"/>
              <w:bottom w:val="single" w:sz="6" w:space="0" w:color="auto"/>
              <w:right w:val="single" w:sz="6" w:space="0" w:color="auto"/>
            </w:tcBorders>
          </w:tcPr>
          <w:p w14:paraId="76EECF52" w14:textId="54462615" w:rsidR="00693A9C" w:rsidRPr="0098734B" w:rsidRDefault="00693A9C" w:rsidP="0098734B">
            <w:pPr>
              <w:pStyle w:val="Akapitzlist"/>
              <w:numPr>
                <w:ilvl w:val="0"/>
                <w:numId w:val="18"/>
              </w:numPr>
              <w:autoSpaceDE w:val="0"/>
              <w:autoSpaceDN w:val="0"/>
              <w:adjustRightInd w:val="0"/>
              <w:spacing w:before="120" w:after="60" w:line="276" w:lineRule="auto"/>
              <w:contextualSpacing w:val="0"/>
              <w:jc w:val="both"/>
              <w:rPr>
                <w:b/>
                <w:bCs/>
                <w:sz w:val="20"/>
                <w:szCs w:val="20"/>
              </w:rPr>
            </w:pPr>
            <w:r w:rsidRPr="0098734B">
              <w:rPr>
                <w:b/>
                <w:bCs/>
                <w:sz w:val="20"/>
                <w:szCs w:val="20"/>
              </w:rPr>
              <w:t>Badania</w:t>
            </w:r>
            <w:r w:rsidR="002803BD" w:rsidRPr="0098734B">
              <w:rPr>
                <w:b/>
                <w:bCs/>
                <w:sz w:val="20"/>
                <w:szCs w:val="20"/>
              </w:rPr>
              <w:t xml:space="preserve"> </w:t>
            </w:r>
            <w:r w:rsidRPr="0098734B">
              <w:rPr>
                <w:b/>
                <w:bCs/>
                <w:sz w:val="20"/>
                <w:szCs w:val="20"/>
              </w:rPr>
              <w:t>przy</w:t>
            </w:r>
            <w:r w:rsidR="002803BD" w:rsidRPr="0098734B">
              <w:rPr>
                <w:b/>
                <w:bCs/>
                <w:sz w:val="20"/>
                <w:szCs w:val="20"/>
              </w:rPr>
              <w:t xml:space="preserve"> </w:t>
            </w:r>
            <w:r w:rsidRPr="0098734B">
              <w:rPr>
                <w:b/>
                <w:bCs/>
                <w:sz w:val="20"/>
                <w:szCs w:val="20"/>
              </w:rPr>
              <w:t>kwalifikacji</w:t>
            </w:r>
            <w:r w:rsidR="002803BD" w:rsidRPr="0098734B">
              <w:rPr>
                <w:b/>
                <w:bCs/>
                <w:sz w:val="20"/>
                <w:szCs w:val="20"/>
              </w:rPr>
              <w:t xml:space="preserve"> </w:t>
            </w:r>
            <w:r w:rsidRPr="0098734B">
              <w:rPr>
                <w:b/>
                <w:bCs/>
                <w:sz w:val="20"/>
                <w:szCs w:val="20"/>
              </w:rPr>
              <w:t>do</w:t>
            </w:r>
            <w:r w:rsidR="002803BD" w:rsidRPr="0098734B">
              <w:rPr>
                <w:b/>
                <w:bCs/>
                <w:sz w:val="20"/>
                <w:szCs w:val="20"/>
              </w:rPr>
              <w:t xml:space="preserve"> </w:t>
            </w:r>
            <w:r w:rsidRPr="0098734B">
              <w:rPr>
                <w:b/>
                <w:bCs/>
                <w:sz w:val="20"/>
                <w:szCs w:val="20"/>
              </w:rPr>
              <w:t>leczenia</w:t>
            </w:r>
            <w:r w:rsidR="002803BD" w:rsidRPr="0098734B">
              <w:rPr>
                <w:b/>
                <w:bCs/>
                <w:sz w:val="20"/>
                <w:szCs w:val="20"/>
              </w:rPr>
              <w:t xml:space="preserve"> </w:t>
            </w:r>
            <w:r w:rsidR="00D501ED" w:rsidRPr="0098734B">
              <w:rPr>
                <w:b/>
                <w:bCs/>
                <w:sz w:val="20"/>
                <w:szCs w:val="20"/>
              </w:rPr>
              <w:t xml:space="preserve">setmelanotydem </w:t>
            </w:r>
          </w:p>
          <w:p w14:paraId="7A4F0AC1" w14:textId="6445EB70" w:rsidR="09894640" w:rsidRPr="0098734B" w:rsidRDefault="09894640" w:rsidP="0098734B">
            <w:pPr>
              <w:pStyle w:val="Akapitzlist"/>
              <w:numPr>
                <w:ilvl w:val="3"/>
                <w:numId w:val="18"/>
              </w:numPr>
              <w:spacing w:after="60" w:line="276" w:lineRule="auto"/>
              <w:contextualSpacing w:val="0"/>
              <w:jc w:val="both"/>
              <w:rPr>
                <w:sz w:val="20"/>
                <w:szCs w:val="20"/>
              </w:rPr>
            </w:pPr>
            <w:r w:rsidRPr="0098734B">
              <w:rPr>
                <w:sz w:val="20"/>
                <w:szCs w:val="20"/>
              </w:rPr>
              <w:t>ocena masy</w:t>
            </w:r>
            <w:r w:rsidR="002D4CDD" w:rsidRPr="0098734B">
              <w:rPr>
                <w:sz w:val="20"/>
                <w:szCs w:val="20"/>
              </w:rPr>
              <w:t xml:space="preserve"> i </w:t>
            </w:r>
            <w:r w:rsidRPr="0098734B">
              <w:rPr>
                <w:sz w:val="20"/>
                <w:szCs w:val="20"/>
              </w:rPr>
              <w:t>wysokości ciała</w:t>
            </w:r>
            <w:r w:rsidR="00B361AF" w:rsidRPr="0098734B">
              <w:rPr>
                <w:sz w:val="20"/>
                <w:szCs w:val="20"/>
              </w:rPr>
              <w:t>;</w:t>
            </w:r>
          </w:p>
          <w:p w14:paraId="6511C73B" w14:textId="69661B73" w:rsidR="0043248A" w:rsidRPr="0098734B" w:rsidRDefault="0043248A" w:rsidP="0098734B">
            <w:pPr>
              <w:pStyle w:val="Akapitzlist"/>
              <w:numPr>
                <w:ilvl w:val="3"/>
                <w:numId w:val="18"/>
              </w:numPr>
              <w:spacing w:after="60" w:line="276" w:lineRule="auto"/>
              <w:contextualSpacing w:val="0"/>
              <w:jc w:val="both"/>
              <w:rPr>
                <w:sz w:val="20"/>
                <w:szCs w:val="20"/>
              </w:rPr>
            </w:pPr>
            <w:r w:rsidRPr="0098734B">
              <w:rPr>
                <w:sz w:val="20"/>
                <w:szCs w:val="20"/>
              </w:rPr>
              <w:t>badania</w:t>
            </w:r>
            <w:r w:rsidR="002D4CDD" w:rsidRPr="0098734B">
              <w:rPr>
                <w:sz w:val="20"/>
                <w:szCs w:val="20"/>
              </w:rPr>
              <w:t xml:space="preserve"> w </w:t>
            </w:r>
            <w:r w:rsidRPr="0098734B">
              <w:rPr>
                <w:sz w:val="20"/>
                <w:szCs w:val="20"/>
              </w:rPr>
              <w:t>kierunku oceny czynności nerek</w:t>
            </w:r>
            <w:r w:rsidR="002D4CDD" w:rsidRPr="0098734B">
              <w:rPr>
                <w:sz w:val="20"/>
                <w:szCs w:val="20"/>
              </w:rPr>
              <w:t xml:space="preserve"> i </w:t>
            </w:r>
            <w:r w:rsidRPr="0098734B">
              <w:rPr>
                <w:sz w:val="20"/>
                <w:szCs w:val="20"/>
              </w:rPr>
              <w:t>wątroby</w:t>
            </w:r>
            <w:r w:rsidR="68970830" w:rsidRPr="0098734B">
              <w:rPr>
                <w:sz w:val="20"/>
                <w:szCs w:val="20"/>
              </w:rPr>
              <w:t xml:space="preserve"> (kreatynina, GFR, ASPAT, ALAT, bilirubina)</w:t>
            </w:r>
            <w:r w:rsidR="00B361AF" w:rsidRPr="0098734B">
              <w:rPr>
                <w:sz w:val="20"/>
                <w:szCs w:val="20"/>
              </w:rPr>
              <w:t>;</w:t>
            </w:r>
          </w:p>
          <w:p w14:paraId="37F4F550" w14:textId="2488A98C" w:rsidR="0043248A" w:rsidRPr="0098734B" w:rsidRDefault="23D03D43" w:rsidP="0098734B">
            <w:pPr>
              <w:pStyle w:val="Akapitzlist"/>
              <w:numPr>
                <w:ilvl w:val="3"/>
                <w:numId w:val="18"/>
              </w:numPr>
              <w:spacing w:after="60" w:line="276" w:lineRule="auto"/>
              <w:contextualSpacing w:val="0"/>
              <w:jc w:val="both"/>
              <w:rPr>
                <w:sz w:val="20"/>
                <w:szCs w:val="20"/>
              </w:rPr>
            </w:pPr>
            <w:r w:rsidRPr="0098734B">
              <w:rPr>
                <w:sz w:val="20"/>
                <w:szCs w:val="20"/>
              </w:rPr>
              <w:t>badania genetyczne</w:t>
            </w:r>
            <w:r w:rsidR="002D4CDD" w:rsidRPr="0098734B">
              <w:rPr>
                <w:sz w:val="20"/>
                <w:szCs w:val="20"/>
              </w:rPr>
              <w:t xml:space="preserve"> w </w:t>
            </w:r>
            <w:r w:rsidRPr="0098734B">
              <w:rPr>
                <w:sz w:val="20"/>
                <w:szCs w:val="20"/>
              </w:rPr>
              <w:t>kierunku mutacji POMC, LEPR</w:t>
            </w:r>
            <w:r w:rsidR="00B361AF" w:rsidRPr="0098734B">
              <w:rPr>
                <w:sz w:val="20"/>
                <w:szCs w:val="20"/>
              </w:rPr>
              <w:t>;</w:t>
            </w:r>
          </w:p>
          <w:p w14:paraId="3202EACA" w14:textId="29DD2BD7" w:rsidR="0043248A" w:rsidRPr="0098734B" w:rsidRDefault="726E7DE1" w:rsidP="0098734B">
            <w:pPr>
              <w:pStyle w:val="Akapitzlist"/>
              <w:numPr>
                <w:ilvl w:val="3"/>
                <w:numId w:val="18"/>
              </w:numPr>
              <w:spacing w:after="60" w:line="276" w:lineRule="auto"/>
              <w:contextualSpacing w:val="0"/>
              <w:jc w:val="both"/>
              <w:rPr>
                <w:sz w:val="20"/>
                <w:szCs w:val="20"/>
              </w:rPr>
            </w:pPr>
            <w:r w:rsidRPr="0098734B">
              <w:rPr>
                <w:sz w:val="20"/>
                <w:szCs w:val="20"/>
              </w:rPr>
              <w:t>ocena parametrów kardiologicznych (tętno, ciśnienie krwi)</w:t>
            </w:r>
            <w:r w:rsidR="00B361AF" w:rsidRPr="0098734B">
              <w:rPr>
                <w:sz w:val="20"/>
                <w:szCs w:val="20"/>
              </w:rPr>
              <w:t>;</w:t>
            </w:r>
          </w:p>
          <w:p w14:paraId="1DDF46CA" w14:textId="24E791A0" w:rsidR="0062113A" w:rsidRPr="0098734B" w:rsidRDefault="0062113A" w:rsidP="0098734B">
            <w:pPr>
              <w:pStyle w:val="Akapitzlist"/>
              <w:numPr>
                <w:ilvl w:val="3"/>
                <w:numId w:val="18"/>
              </w:numPr>
              <w:spacing w:after="60" w:line="276" w:lineRule="auto"/>
              <w:contextualSpacing w:val="0"/>
              <w:jc w:val="both"/>
              <w:rPr>
                <w:sz w:val="20"/>
                <w:szCs w:val="20"/>
              </w:rPr>
            </w:pPr>
            <w:r w:rsidRPr="0098734B">
              <w:rPr>
                <w:sz w:val="20"/>
                <w:szCs w:val="20"/>
              </w:rPr>
              <w:t>ocena zdrowia pacjenta kwestionariuszem PHQ-9, do przesiewowego wykrycia depresji</w:t>
            </w:r>
            <w:r w:rsidR="00B361AF" w:rsidRPr="0098734B">
              <w:rPr>
                <w:sz w:val="20"/>
                <w:szCs w:val="20"/>
              </w:rPr>
              <w:t>;</w:t>
            </w:r>
          </w:p>
          <w:p w14:paraId="766D9623" w14:textId="62CA7BA4" w:rsidR="00A62583" w:rsidRPr="0098734B" w:rsidRDefault="00A62583" w:rsidP="0098734B">
            <w:pPr>
              <w:pStyle w:val="Akapitzlist"/>
              <w:numPr>
                <w:ilvl w:val="3"/>
                <w:numId w:val="18"/>
              </w:numPr>
              <w:spacing w:after="60" w:line="276" w:lineRule="auto"/>
              <w:contextualSpacing w:val="0"/>
              <w:jc w:val="both"/>
              <w:rPr>
                <w:sz w:val="20"/>
                <w:szCs w:val="20"/>
              </w:rPr>
            </w:pPr>
            <w:r w:rsidRPr="0098734B">
              <w:rPr>
                <w:sz w:val="20"/>
                <w:szCs w:val="20"/>
              </w:rPr>
              <w:t>badanie</w:t>
            </w:r>
            <w:r w:rsidR="002D4CDD" w:rsidRPr="0098734B">
              <w:rPr>
                <w:sz w:val="20"/>
                <w:szCs w:val="20"/>
              </w:rPr>
              <w:t xml:space="preserve"> w </w:t>
            </w:r>
            <w:r w:rsidRPr="0098734B">
              <w:rPr>
                <w:sz w:val="20"/>
                <w:szCs w:val="20"/>
              </w:rPr>
              <w:t>kierunku rozpoznania schizofrenii, choroby dwubiegunowej, zaburzeń osobowości lub innych określonych</w:t>
            </w:r>
            <w:r w:rsidR="002D4CDD" w:rsidRPr="0098734B">
              <w:rPr>
                <w:sz w:val="20"/>
                <w:szCs w:val="20"/>
              </w:rPr>
              <w:t xml:space="preserve"> w </w:t>
            </w:r>
            <w:r w:rsidRPr="0098734B">
              <w:rPr>
                <w:sz w:val="20"/>
                <w:szCs w:val="20"/>
              </w:rPr>
              <w:t xml:space="preserve">klasyfikacji </w:t>
            </w:r>
            <w:hyperlink r:id="rId10">
              <w:r w:rsidRPr="0098734B">
                <w:rPr>
                  <w:rStyle w:val="Hipercze"/>
                  <w:color w:val="auto"/>
                  <w:sz w:val="20"/>
                  <w:szCs w:val="20"/>
                </w:rPr>
                <w:t>DSM-III</w:t>
              </w:r>
            </w:hyperlink>
            <w:r w:rsidR="00B361AF" w:rsidRPr="0098734B">
              <w:rPr>
                <w:rStyle w:val="Hipercze"/>
                <w:color w:val="auto"/>
                <w:sz w:val="20"/>
                <w:szCs w:val="20"/>
              </w:rPr>
              <w:t>;</w:t>
            </w:r>
          </w:p>
          <w:p w14:paraId="7A99A451" w14:textId="0E03DD5E" w:rsidR="00A62583" w:rsidRPr="0098734B" w:rsidRDefault="002D12A5" w:rsidP="0098734B">
            <w:pPr>
              <w:pStyle w:val="Akapitzlist"/>
              <w:numPr>
                <w:ilvl w:val="3"/>
                <w:numId w:val="18"/>
              </w:numPr>
              <w:spacing w:after="60" w:line="276" w:lineRule="auto"/>
              <w:contextualSpacing w:val="0"/>
              <w:jc w:val="both"/>
              <w:rPr>
                <w:sz w:val="20"/>
                <w:szCs w:val="20"/>
              </w:rPr>
            </w:pPr>
            <w:r w:rsidRPr="0098734B">
              <w:rPr>
                <w:sz w:val="20"/>
                <w:szCs w:val="20"/>
              </w:rPr>
              <w:t>ocena derma</w:t>
            </w:r>
            <w:r w:rsidR="007A6E3A">
              <w:rPr>
                <w:sz w:val="20"/>
                <w:szCs w:val="20"/>
              </w:rPr>
              <w:t>to</w:t>
            </w:r>
            <w:r w:rsidRPr="0098734B">
              <w:rPr>
                <w:sz w:val="20"/>
                <w:szCs w:val="20"/>
              </w:rPr>
              <w:t>skopowa znamion;</w:t>
            </w:r>
          </w:p>
          <w:p w14:paraId="3CBA4BBA" w14:textId="52FEDB87" w:rsidR="4577F5D4" w:rsidRPr="0098734B" w:rsidRDefault="4577F5D4" w:rsidP="0098734B">
            <w:pPr>
              <w:pStyle w:val="Akapitzlist"/>
              <w:numPr>
                <w:ilvl w:val="3"/>
                <w:numId w:val="18"/>
              </w:numPr>
              <w:spacing w:after="60" w:line="276" w:lineRule="auto"/>
              <w:contextualSpacing w:val="0"/>
              <w:jc w:val="both"/>
              <w:rPr>
                <w:sz w:val="20"/>
                <w:szCs w:val="20"/>
              </w:rPr>
            </w:pPr>
            <w:r w:rsidRPr="0098734B">
              <w:rPr>
                <w:sz w:val="20"/>
                <w:szCs w:val="20"/>
              </w:rPr>
              <w:t>test ciążowy</w:t>
            </w:r>
            <w:r w:rsidR="00B361AF" w:rsidRPr="0098734B">
              <w:rPr>
                <w:sz w:val="20"/>
                <w:szCs w:val="20"/>
              </w:rPr>
              <w:t>.</w:t>
            </w:r>
          </w:p>
          <w:p w14:paraId="3839436C" w14:textId="77777777" w:rsidR="00444F9E" w:rsidRPr="0098734B" w:rsidRDefault="00444F9E" w:rsidP="0098734B">
            <w:pPr>
              <w:autoSpaceDE w:val="0"/>
              <w:autoSpaceDN w:val="0"/>
              <w:adjustRightInd w:val="0"/>
              <w:spacing w:after="60" w:line="276" w:lineRule="auto"/>
              <w:jc w:val="both"/>
              <w:rPr>
                <w:sz w:val="20"/>
                <w:szCs w:val="20"/>
              </w:rPr>
            </w:pPr>
          </w:p>
          <w:p w14:paraId="4E4EF2EB" w14:textId="157E0C14" w:rsidR="00693A9C" w:rsidRPr="0098734B" w:rsidRDefault="00693A9C" w:rsidP="0098734B">
            <w:pPr>
              <w:pStyle w:val="Akapitzlist"/>
              <w:numPr>
                <w:ilvl w:val="0"/>
                <w:numId w:val="18"/>
              </w:numPr>
              <w:autoSpaceDE w:val="0"/>
              <w:autoSpaceDN w:val="0"/>
              <w:adjustRightInd w:val="0"/>
              <w:spacing w:after="60" w:line="276" w:lineRule="auto"/>
              <w:contextualSpacing w:val="0"/>
              <w:jc w:val="both"/>
              <w:rPr>
                <w:b/>
                <w:bCs/>
                <w:sz w:val="20"/>
                <w:szCs w:val="20"/>
              </w:rPr>
            </w:pPr>
            <w:r w:rsidRPr="0098734B">
              <w:rPr>
                <w:b/>
                <w:bCs/>
                <w:sz w:val="20"/>
                <w:szCs w:val="20"/>
              </w:rPr>
              <w:t>Monitorowanie</w:t>
            </w:r>
            <w:r w:rsidR="002803BD" w:rsidRPr="0098734B">
              <w:rPr>
                <w:b/>
                <w:bCs/>
                <w:sz w:val="20"/>
                <w:szCs w:val="20"/>
              </w:rPr>
              <w:t xml:space="preserve"> </w:t>
            </w:r>
            <w:r w:rsidRPr="0098734B">
              <w:rPr>
                <w:b/>
                <w:bCs/>
                <w:sz w:val="20"/>
                <w:szCs w:val="20"/>
              </w:rPr>
              <w:t>leczenia</w:t>
            </w:r>
            <w:r w:rsidR="002803BD" w:rsidRPr="0098734B">
              <w:rPr>
                <w:b/>
                <w:bCs/>
                <w:sz w:val="20"/>
                <w:szCs w:val="20"/>
              </w:rPr>
              <w:t xml:space="preserve"> </w:t>
            </w:r>
            <w:r w:rsidR="003C16DD" w:rsidRPr="0098734B">
              <w:rPr>
                <w:b/>
                <w:bCs/>
                <w:sz w:val="20"/>
                <w:szCs w:val="20"/>
              </w:rPr>
              <w:t>setmelanotydem</w:t>
            </w:r>
          </w:p>
          <w:p w14:paraId="7291CDE7" w14:textId="3A7ED338" w:rsidR="00B11596" w:rsidRPr="0098734B" w:rsidRDefault="0019783A" w:rsidP="0098734B">
            <w:pPr>
              <w:pStyle w:val="Akapitzlist"/>
              <w:numPr>
                <w:ilvl w:val="3"/>
                <w:numId w:val="18"/>
              </w:numPr>
              <w:spacing w:after="60" w:line="276" w:lineRule="auto"/>
              <w:contextualSpacing w:val="0"/>
              <w:jc w:val="both"/>
              <w:rPr>
                <w:sz w:val="20"/>
                <w:szCs w:val="20"/>
              </w:rPr>
            </w:pPr>
            <w:r w:rsidRPr="0098734B">
              <w:rPr>
                <w:sz w:val="20"/>
                <w:szCs w:val="20"/>
              </w:rPr>
              <w:t xml:space="preserve">ocena </w:t>
            </w:r>
            <w:r w:rsidR="00590774" w:rsidRPr="0098734B">
              <w:rPr>
                <w:sz w:val="20"/>
                <w:szCs w:val="20"/>
              </w:rPr>
              <w:t>zmiany</w:t>
            </w:r>
            <w:r w:rsidRPr="0098734B">
              <w:rPr>
                <w:sz w:val="20"/>
                <w:szCs w:val="20"/>
              </w:rPr>
              <w:t xml:space="preserve"> masy ciała</w:t>
            </w:r>
            <w:r w:rsidR="00434EEC" w:rsidRPr="0098734B">
              <w:rPr>
                <w:sz w:val="20"/>
                <w:szCs w:val="20"/>
              </w:rPr>
              <w:t>;</w:t>
            </w:r>
          </w:p>
          <w:p w14:paraId="235F395C" w14:textId="26ACCDDA" w:rsidR="0019783A" w:rsidRPr="0098734B" w:rsidRDefault="0019783A" w:rsidP="0098734B">
            <w:pPr>
              <w:pStyle w:val="Akapitzlist"/>
              <w:numPr>
                <w:ilvl w:val="3"/>
                <w:numId w:val="18"/>
              </w:numPr>
              <w:spacing w:after="60" w:line="276" w:lineRule="auto"/>
              <w:contextualSpacing w:val="0"/>
              <w:jc w:val="both"/>
              <w:rPr>
                <w:sz w:val="20"/>
                <w:szCs w:val="20"/>
              </w:rPr>
            </w:pPr>
            <w:r w:rsidRPr="0098734B">
              <w:rPr>
                <w:sz w:val="20"/>
                <w:szCs w:val="20"/>
              </w:rPr>
              <w:t>ocena zmiany odczuwania głodu za pomocą skali Likerta</w:t>
            </w:r>
            <w:r w:rsidR="00434EEC" w:rsidRPr="0098734B">
              <w:rPr>
                <w:sz w:val="20"/>
                <w:szCs w:val="20"/>
              </w:rPr>
              <w:t>;</w:t>
            </w:r>
          </w:p>
          <w:p w14:paraId="4E61E289" w14:textId="33463C0E" w:rsidR="00590774" w:rsidRPr="0098734B" w:rsidRDefault="00590774" w:rsidP="0098734B">
            <w:pPr>
              <w:pStyle w:val="Akapitzlist"/>
              <w:numPr>
                <w:ilvl w:val="3"/>
                <w:numId w:val="18"/>
              </w:numPr>
              <w:spacing w:after="60" w:line="276" w:lineRule="auto"/>
              <w:contextualSpacing w:val="0"/>
              <w:jc w:val="both"/>
              <w:rPr>
                <w:sz w:val="20"/>
                <w:szCs w:val="20"/>
              </w:rPr>
            </w:pPr>
            <w:r w:rsidRPr="0098734B">
              <w:rPr>
                <w:sz w:val="20"/>
                <w:szCs w:val="20"/>
              </w:rPr>
              <w:t>ocena zmiany obwodu talii;</w:t>
            </w:r>
          </w:p>
          <w:p w14:paraId="287AB244" w14:textId="1BFF8A14" w:rsidR="00590774" w:rsidRPr="0098734B" w:rsidRDefault="00590774" w:rsidP="0098734B">
            <w:pPr>
              <w:pStyle w:val="Akapitzlist"/>
              <w:numPr>
                <w:ilvl w:val="3"/>
                <w:numId w:val="18"/>
              </w:numPr>
              <w:spacing w:after="60" w:line="276" w:lineRule="auto"/>
              <w:contextualSpacing w:val="0"/>
              <w:jc w:val="both"/>
              <w:rPr>
                <w:sz w:val="20"/>
                <w:szCs w:val="20"/>
              </w:rPr>
            </w:pPr>
            <w:r w:rsidRPr="0098734B">
              <w:rPr>
                <w:sz w:val="20"/>
                <w:szCs w:val="20"/>
              </w:rPr>
              <w:t>ocena zmian parametrów metabolicznych</w:t>
            </w:r>
            <w:r w:rsidR="00B361AF" w:rsidRPr="0098734B">
              <w:rPr>
                <w:sz w:val="20"/>
                <w:szCs w:val="20"/>
              </w:rPr>
              <w:t>;</w:t>
            </w:r>
          </w:p>
          <w:p w14:paraId="5E9501B0" w14:textId="3560EE11" w:rsidR="002803BD" w:rsidRPr="0098734B" w:rsidRDefault="00434EEC" w:rsidP="0098734B">
            <w:pPr>
              <w:pStyle w:val="Akapitzlist"/>
              <w:numPr>
                <w:ilvl w:val="3"/>
                <w:numId w:val="18"/>
              </w:numPr>
              <w:spacing w:after="60" w:line="276" w:lineRule="auto"/>
              <w:contextualSpacing w:val="0"/>
              <w:jc w:val="both"/>
              <w:rPr>
                <w:sz w:val="20"/>
                <w:szCs w:val="20"/>
              </w:rPr>
            </w:pPr>
            <w:r w:rsidRPr="0098734B">
              <w:rPr>
                <w:sz w:val="20"/>
                <w:szCs w:val="20"/>
              </w:rPr>
              <w:t>monitorowanie wystąpienia epizodów depresyjnych</w:t>
            </w:r>
            <w:r w:rsidR="00B361AF" w:rsidRPr="0098734B">
              <w:rPr>
                <w:sz w:val="20"/>
                <w:szCs w:val="20"/>
              </w:rPr>
              <w:t>.</w:t>
            </w:r>
          </w:p>
          <w:p w14:paraId="0BF59800" w14:textId="6118F694" w:rsidR="04C5C0B4" w:rsidRPr="0098734B" w:rsidRDefault="04C5C0B4" w:rsidP="0098734B">
            <w:pPr>
              <w:spacing w:after="60" w:line="276" w:lineRule="auto"/>
              <w:jc w:val="both"/>
              <w:rPr>
                <w:sz w:val="20"/>
                <w:szCs w:val="20"/>
              </w:rPr>
            </w:pPr>
          </w:p>
          <w:p w14:paraId="156EB700" w14:textId="3A683376" w:rsidR="00690FA9" w:rsidRPr="0098734B" w:rsidRDefault="00690FA9" w:rsidP="0098734B">
            <w:pPr>
              <w:pStyle w:val="Akapitzlist"/>
              <w:widowControl w:val="0"/>
              <w:numPr>
                <w:ilvl w:val="0"/>
                <w:numId w:val="18"/>
              </w:numPr>
              <w:spacing w:after="60" w:line="276" w:lineRule="auto"/>
              <w:ind w:right="28"/>
              <w:contextualSpacing w:val="0"/>
              <w:jc w:val="both"/>
              <w:rPr>
                <w:b/>
                <w:bCs/>
                <w:sz w:val="20"/>
                <w:szCs w:val="20"/>
                <w:lang w:eastAsia="en-US"/>
              </w:rPr>
            </w:pPr>
            <w:r w:rsidRPr="0098734B">
              <w:rPr>
                <w:rFonts w:eastAsia="Calibri"/>
                <w:b/>
                <w:bCs/>
                <w:sz w:val="20"/>
                <w:szCs w:val="20"/>
                <w:lang w:eastAsia="en-US"/>
              </w:rPr>
              <w:t>Monitorowanie</w:t>
            </w:r>
            <w:r w:rsidR="002803BD" w:rsidRPr="0098734B">
              <w:rPr>
                <w:rFonts w:eastAsia="Calibri"/>
                <w:b/>
                <w:bCs/>
                <w:sz w:val="20"/>
                <w:szCs w:val="20"/>
                <w:lang w:eastAsia="en-US"/>
              </w:rPr>
              <w:t xml:space="preserve"> </w:t>
            </w:r>
            <w:r w:rsidRPr="0098734B">
              <w:rPr>
                <w:rFonts w:eastAsia="Calibri"/>
                <w:b/>
                <w:bCs/>
                <w:sz w:val="20"/>
                <w:szCs w:val="20"/>
                <w:lang w:eastAsia="en-US"/>
              </w:rPr>
              <w:t>programu</w:t>
            </w:r>
          </w:p>
          <w:p w14:paraId="536F2A5B" w14:textId="29CDCB7A" w:rsidR="00766318" w:rsidRPr="0098734B" w:rsidRDefault="00766318" w:rsidP="0098734B">
            <w:pPr>
              <w:numPr>
                <w:ilvl w:val="3"/>
                <w:numId w:val="18"/>
              </w:numPr>
              <w:autoSpaceDE w:val="0"/>
              <w:autoSpaceDN w:val="0"/>
              <w:adjustRightInd w:val="0"/>
              <w:spacing w:after="60" w:line="276" w:lineRule="auto"/>
              <w:jc w:val="both"/>
              <w:rPr>
                <w:sz w:val="20"/>
                <w:szCs w:val="20"/>
              </w:rPr>
            </w:pPr>
            <w:r w:rsidRPr="0098734B">
              <w:rPr>
                <w:sz w:val="20"/>
                <w:szCs w:val="20"/>
              </w:rPr>
              <w:t>gromadzenie</w:t>
            </w:r>
            <w:r w:rsidR="002D4CDD" w:rsidRPr="0098734B">
              <w:rPr>
                <w:sz w:val="20"/>
                <w:szCs w:val="20"/>
              </w:rPr>
              <w:t xml:space="preserve"> w </w:t>
            </w:r>
            <w:r w:rsidRPr="0098734B">
              <w:rPr>
                <w:sz w:val="20"/>
                <w:szCs w:val="20"/>
              </w:rPr>
              <w:t>dokumentacji</w:t>
            </w:r>
            <w:r w:rsidR="002803BD" w:rsidRPr="0098734B">
              <w:rPr>
                <w:sz w:val="20"/>
                <w:szCs w:val="20"/>
              </w:rPr>
              <w:t xml:space="preserve"> </w:t>
            </w:r>
            <w:r w:rsidRPr="0098734B">
              <w:rPr>
                <w:sz w:val="20"/>
                <w:szCs w:val="20"/>
              </w:rPr>
              <w:t>medycznej</w:t>
            </w:r>
            <w:r w:rsidR="002803BD" w:rsidRPr="0098734B">
              <w:rPr>
                <w:sz w:val="20"/>
                <w:szCs w:val="20"/>
              </w:rPr>
              <w:t xml:space="preserve"> </w:t>
            </w:r>
            <w:r w:rsidRPr="0098734B">
              <w:rPr>
                <w:sz w:val="20"/>
                <w:szCs w:val="20"/>
              </w:rPr>
              <w:t>pacjenta</w:t>
            </w:r>
            <w:r w:rsidR="002803BD" w:rsidRPr="0098734B">
              <w:rPr>
                <w:sz w:val="20"/>
                <w:szCs w:val="20"/>
              </w:rPr>
              <w:t xml:space="preserve"> </w:t>
            </w:r>
            <w:r w:rsidRPr="0098734B">
              <w:rPr>
                <w:sz w:val="20"/>
                <w:szCs w:val="20"/>
              </w:rPr>
              <w:t>danych</w:t>
            </w:r>
            <w:r w:rsidR="002803BD" w:rsidRPr="0098734B">
              <w:rPr>
                <w:sz w:val="20"/>
                <w:szCs w:val="20"/>
              </w:rPr>
              <w:t xml:space="preserve"> </w:t>
            </w:r>
            <w:r w:rsidRPr="0098734B">
              <w:rPr>
                <w:sz w:val="20"/>
                <w:szCs w:val="20"/>
              </w:rPr>
              <w:t>dotyczących</w:t>
            </w:r>
            <w:r w:rsidR="002803BD" w:rsidRPr="0098734B">
              <w:rPr>
                <w:sz w:val="20"/>
                <w:szCs w:val="20"/>
              </w:rPr>
              <w:t xml:space="preserve"> </w:t>
            </w:r>
            <w:r w:rsidRPr="0098734B">
              <w:rPr>
                <w:sz w:val="20"/>
                <w:szCs w:val="20"/>
              </w:rPr>
              <w:t>monitorowania</w:t>
            </w:r>
            <w:r w:rsidR="002803BD" w:rsidRPr="0098734B">
              <w:rPr>
                <w:sz w:val="20"/>
                <w:szCs w:val="20"/>
              </w:rPr>
              <w:t xml:space="preserve"> </w:t>
            </w:r>
            <w:r w:rsidRPr="0098734B">
              <w:rPr>
                <w:sz w:val="20"/>
                <w:szCs w:val="20"/>
              </w:rPr>
              <w:t>leczenia</w:t>
            </w:r>
            <w:r w:rsidR="002D4CDD" w:rsidRPr="0098734B">
              <w:rPr>
                <w:sz w:val="20"/>
                <w:szCs w:val="20"/>
              </w:rPr>
              <w:t xml:space="preserve"> i </w:t>
            </w:r>
            <w:r w:rsidRPr="0098734B">
              <w:rPr>
                <w:sz w:val="20"/>
                <w:szCs w:val="20"/>
              </w:rPr>
              <w:t>każdorazowe</w:t>
            </w:r>
            <w:r w:rsidR="002803BD" w:rsidRPr="0098734B">
              <w:rPr>
                <w:sz w:val="20"/>
                <w:szCs w:val="20"/>
              </w:rPr>
              <w:t xml:space="preserve"> </w:t>
            </w:r>
            <w:r w:rsidRPr="0098734B">
              <w:rPr>
                <w:sz w:val="20"/>
                <w:szCs w:val="20"/>
              </w:rPr>
              <w:t>ich</w:t>
            </w:r>
            <w:r w:rsidR="002803BD" w:rsidRPr="0098734B">
              <w:rPr>
                <w:sz w:val="20"/>
                <w:szCs w:val="20"/>
              </w:rPr>
              <w:t xml:space="preserve"> </w:t>
            </w:r>
            <w:r w:rsidRPr="0098734B">
              <w:rPr>
                <w:sz w:val="20"/>
                <w:szCs w:val="20"/>
              </w:rPr>
              <w:t>przedst</w:t>
            </w:r>
            <w:r w:rsidR="00240BE1" w:rsidRPr="0098734B">
              <w:rPr>
                <w:sz w:val="20"/>
                <w:szCs w:val="20"/>
              </w:rPr>
              <w:t>awianie</w:t>
            </w:r>
            <w:r w:rsidR="002803BD" w:rsidRPr="0098734B">
              <w:rPr>
                <w:sz w:val="20"/>
                <w:szCs w:val="20"/>
              </w:rPr>
              <w:t xml:space="preserve"> </w:t>
            </w:r>
            <w:r w:rsidR="00240BE1" w:rsidRPr="0098734B">
              <w:rPr>
                <w:sz w:val="20"/>
                <w:szCs w:val="20"/>
              </w:rPr>
              <w:t>na</w:t>
            </w:r>
            <w:r w:rsidR="002803BD" w:rsidRPr="0098734B">
              <w:rPr>
                <w:sz w:val="20"/>
                <w:szCs w:val="20"/>
              </w:rPr>
              <w:t xml:space="preserve"> </w:t>
            </w:r>
            <w:r w:rsidR="00240BE1" w:rsidRPr="0098734B">
              <w:rPr>
                <w:sz w:val="20"/>
                <w:szCs w:val="20"/>
              </w:rPr>
              <w:t>żądanie</w:t>
            </w:r>
            <w:r w:rsidR="002803BD" w:rsidRPr="0098734B">
              <w:rPr>
                <w:sz w:val="20"/>
                <w:szCs w:val="20"/>
              </w:rPr>
              <w:t xml:space="preserve"> </w:t>
            </w:r>
            <w:r w:rsidR="00240BE1" w:rsidRPr="0098734B">
              <w:rPr>
                <w:sz w:val="20"/>
                <w:szCs w:val="20"/>
              </w:rPr>
              <w:t>kontrolerów</w:t>
            </w:r>
            <w:r w:rsidR="002803BD" w:rsidRPr="0098734B">
              <w:rPr>
                <w:sz w:val="20"/>
                <w:szCs w:val="20"/>
              </w:rPr>
              <w:t xml:space="preserve"> </w:t>
            </w:r>
            <w:r w:rsidRPr="0098734B">
              <w:rPr>
                <w:sz w:val="20"/>
                <w:szCs w:val="20"/>
              </w:rPr>
              <w:t>Narodowego</w:t>
            </w:r>
            <w:r w:rsidR="002803BD" w:rsidRPr="0098734B">
              <w:rPr>
                <w:sz w:val="20"/>
                <w:szCs w:val="20"/>
              </w:rPr>
              <w:t xml:space="preserve"> </w:t>
            </w:r>
            <w:r w:rsidRPr="0098734B">
              <w:rPr>
                <w:sz w:val="20"/>
                <w:szCs w:val="20"/>
              </w:rPr>
              <w:t>Funduszu</w:t>
            </w:r>
            <w:r w:rsidR="002803BD" w:rsidRPr="0098734B">
              <w:rPr>
                <w:sz w:val="20"/>
                <w:szCs w:val="20"/>
              </w:rPr>
              <w:t xml:space="preserve"> </w:t>
            </w:r>
            <w:r w:rsidRPr="0098734B">
              <w:rPr>
                <w:sz w:val="20"/>
                <w:szCs w:val="20"/>
              </w:rPr>
              <w:t>Zdrowia;</w:t>
            </w:r>
          </w:p>
          <w:p w14:paraId="6AB8B71A" w14:textId="0B0BEE99" w:rsidR="00766318" w:rsidRPr="0098734B" w:rsidRDefault="00766318" w:rsidP="0098734B">
            <w:pPr>
              <w:numPr>
                <w:ilvl w:val="3"/>
                <w:numId w:val="18"/>
              </w:numPr>
              <w:autoSpaceDE w:val="0"/>
              <w:autoSpaceDN w:val="0"/>
              <w:adjustRightInd w:val="0"/>
              <w:spacing w:after="60" w:line="276" w:lineRule="auto"/>
              <w:jc w:val="both"/>
              <w:rPr>
                <w:sz w:val="20"/>
                <w:szCs w:val="20"/>
              </w:rPr>
            </w:pPr>
            <w:r w:rsidRPr="0098734B">
              <w:rPr>
                <w:sz w:val="20"/>
                <w:szCs w:val="20"/>
              </w:rPr>
              <w:t>uzupełnienie</w:t>
            </w:r>
            <w:r w:rsidR="002803BD" w:rsidRPr="0098734B">
              <w:rPr>
                <w:sz w:val="20"/>
                <w:szCs w:val="20"/>
              </w:rPr>
              <w:t xml:space="preserve"> </w:t>
            </w:r>
            <w:r w:rsidRPr="0098734B">
              <w:rPr>
                <w:sz w:val="20"/>
                <w:szCs w:val="20"/>
              </w:rPr>
              <w:t>danych</w:t>
            </w:r>
            <w:r w:rsidR="002803BD" w:rsidRPr="0098734B">
              <w:rPr>
                <w:sz w:val="20"/>
                <w:szCs w:val="20"/>
              </w:rPr>
              <w:t xml:space="preserve"> </w:t>
            </w:r>
            <w:r w:rsidRPr="0098734B">
              <w:rPr>
                <w:sz w:val="20"/>
                <w:szCs w:val="20"/>
              </w:rPr>
              <w:t>zawartych</w:t>
            </w:r>
            <w:r w:rsidR="002D4CDD" w:rsidRPr="0098734B">
              <w:rPr>
                <w:sz w:val="20"/>
                <w:szCs w:val="20"/>
              </w:rPr>
              <w:t xml:space="preserve"> w </w:t>
            </w:r>
            <w:r w:rsidRPr="0098734B">
              <w:rPr>
                <w:sz w:val="20"/>
                <w:szCs w:val="20"/>
              </w:rPr>
              <w:t>rejestrze</w:t>
            </w:r>
            <w:r w:rsidR="002803BD" w:rsidRPr="0098734B">
              <w:rPr>
                <w:sz w:val="20"/>
                <w:szCs w:val="20"/>
              </w:rPr>
              <w:t xml:space="preserve"> </w:t>
            </w:r>
            <w:r w:rsidRPr="0098734B">
              <w:rPr>
                <w:sz w:val="20"/>
                <w:szCs w:val="20"/>
              </w:rPr>
              <w:t>(SMPT)</w:t>
            </w:r>
            <w:r w:rsidR="002803BD" w:rsidRPr="0098734B">
              <w:rPr>
                <w:sz w:val="20"/>
                <w:szCs w:val="20"/>
              </w:rPr>
              <w:t xml:space="preserve"> </w:t>
            </w:r>
            <w:r w:rsidRPr="0098734B">
              <w:rPr>
                <w:sz w:val="20"/>
                <w:szCs w:val="20"/>
              </w:rPr>
              <w:t>dostępnym</w:t>
            </w:r>
            <w:r w:rsidR="002803BD" w:rsidRPr="0098734B">
              <w:rPr>
                <w:sz w:val="20"/>
                <w:szCs w:val="20"/>
              </w:rPr>
              <w:t xml:space="preserve"> </w:t>
            </w:r>
            <w:r w:rsidRPr="0098734B">
              <w:rPr>
                <w:sz w:val="20"/>
                <w:szCs w:val="20"/>
              </w:rPr>
              <w:t>za</w:t>
            </w:r>
            <w:r w:rsidR="002803BD" w:rsidRPr="0098734B">
              <w:rPr>
                <w:sz w:val="20"/>
                <w:szCs w:val="20"/>
              </w:rPr>
              <w:t xml:space="preserve"> </w:t>
            </w:r>
            <w:r w:rsidRPr="0098734B">
              <w:rPr>
                <w:sz w:val="20"/>
                <w:szCs w:val="20"/>
              </w:rPr>
              <w:t>pomocą</w:t>
            </w:r>
            <w:r w:rsidR="002803BD" w:rsidRPr="0098734B">
              <w:rPr>
                <w:sz w:val="20"/>
                <w:szCs w:val="20"/>
              </w:rPr>
              <w:t xml:space="preserve"> </w:t>
            </w:r>
            <w:r w:rsidRPr="0098734B">
              <w:rPr>
                <w:sz w:val="20"/>
                <w:szCs w:val="20"/>
              </w:rPr>
              <w:t>aplikacji</w:t>
            </w:r>
            <w:r w:rsidR="002803BD" w:rsidRPr="0098734B">
              <w:rPr>
                <w:sz w:val="20"/>
                <w:szCs w:val="20"/>
              </w:rPr>
              <w:t xml:space="preserve"> </w:t>
            </w:r>
            <w:r w:rsidRPr="0098734B">
              <w:rPr>
                <w:sz w:val="20"/>
                <w:szCs w:val="20"/>
              </w:rPr>
              <w:t>internetowej</w:t>
            </w:r>
            <w:r w:rsidR="002803BD" w:rsidRPr="0098734B">
              <w:rPr>
                <w:sz w:val="20"/>
                <w:szCs w:val="20"/>
              </w:rPr>
              <w:t xml:space="preserve"> </w:t>
            </w:r>
            <w:r w:rsidRPr="0098734B">
              <w:rPr>
                <w:sz w:val="20"/>
                <w:szCs w:val="20"/>
              </w:rPr>
              <w:t>udostępnionej</w:t>
            </w:r>
            <w:r w:rsidR="002803BD" w:rsidRPr="0098734B">
              <w:rPr>
                <w:sz w:val="20"/>
                <w:szCs w:val="20"/>
              </w:rPr>
              <w:t xml:space="preserve"> </w:t>
            </w:r>
            <w:r w:rsidRPr="0098734B">
              <w:rPr>
                <w:sz w:val="20"/>
                <w:szCs w:val="20"/>
              </w:rPr>
              <w:t>przez</w:t>
            </w:r>
            <w:r w:rsidR="002803BD" w:rsidRPr="0098734B">
              <w:rPr>
                <w:sz w:val="20"/>
                <w:szCs w:val="20"/>
              </w:rPr>
              <w:t xml:space="preserve"> </w:t>
            </w:r>
            <w:r w:rsidRPr="0098734B">
              <w:rPr>
                <w:sz w:val="20"/>
                <w:szCs w:val="20"/>
              </w:rPr>
              <w:t>OW</w:t>
            </w:r>
            <w:r w:rsidR="002803BD" w:rsidRPr="0098734B">
              <w:rPr>
                <w:sz w:val="20"/>
                <w:szCs w:val="20"/>
              </w:rPr>
              <w:t xml:space="preserve"> </w:t>
            </w:r>
            <w:r w:rsidRPr="0098734B">
              <w:rPr>
                <w:sz w:val="20"/>
                <w:szCs w:val="20"/>
              </w:rPr>
              <w:t>NFZ,</w:t>
            </w:r>
            <w:r w:rsidR="002D4CDD" w:rsidRPr="0098734B">
              <w:rPr>
                <w:sz w:val="20"/>
                <w:szCs w:val="20"/>
              </w:rPr>
              <w:t xml:space="preserve"> z </w:t>
            </w:r>
            <w:r w:rsidRPr="0098734B">
              <w:rPr>
                <w:sz w:val="20"/>
                <w:szCs w:val="20"/>
              </w:rPr>
              <w:t>częstotliwością</w:t>
            </w:r>
            <w:r w:rsidR="002803BD" w:rsidRPr="0098734B">
              <w:rPr>
                <w:sz w:val="20"/>
                <w:szCs w:val="20"/>
              </w:rPr>
              <w:t xml:space="preserve"> </w:t>
            </w:r>
            <w:r w:rsidRPr="0098734B">
              <w:rPr>
                <w:sz w:val="20"/>
                <w:szCs w:val="20"/>
              </w:rPr>
              <w:t>zgodną</w:t>
            </w:r>
            <w:r w:rsidR="002D4CDD" w:rsidRPr="0098734B">
              <w:rPr>
                <w:sz w:val="20"/>
                <w:szCs w:val="20"/>
              </w:rPr>
              <w:t xml:space="preserve"> z </w:t>
            </w:r>
            <w:r w:rsidRPr="0098734B">
              <w:rPr>
                <w:sz w:val="20"/>
                <w:szCs w:val="20"/>
              </w:rPr>
              <w:t>opisem</w:t>
            </w:r>
            <w:r w:rsidR="002803BD" w:rsidRPr="0098734B">
              <w:rPr>
                <w:sz w:val="20"/>
                <w:szCs w:val="20"/>
              </w:rPr>
              <w:t xml:space="preserve"> </w:t>
            </w:r>
            <w:r w:rsidRPr="0098734B">
              <w:rPr>
                <w:sz w:val="20"/>
                <w:szCs w:val="20"/>
              </w:rPr>
              <w:t>programu</w:t>
            </w:r>
            <w:r w:rsidR="002803BD" w:rsidRPr="0098734B">
              <w:rPr>
                <w:sz w:val="20"/>
                <w:szCs w:val="20"/>
              </w:rPr>
              <w:t xml:space="preserve"> </w:t>
            </w:r>
            <w:r w:rsidRPr="0098734B">
              <w:rPr>
                <w:sz w:val="20"/>
                <w:szCs w:val="20"/>
              </w:rPr>
              <w:t>oraz</w:t>
            </w:r>
            <w:r w:rsidR="002803BD" w:rsidRPr="0098734B">
              <w:rPr>
                <w:sz w:val="20"/>
                <w:szCs w:val="20"/>
              </w:rPr>
              <w:t xml:space="preserve"> </w:t>
            </w:r>
            <w:r w:rsidRPr="0098734B">
              <w:rPr>
                <w:sz w:val="20"/>
                <w:szCs w:val="20"/>
              </w:rPr>
              <w:t>na</w:t>
            </w:r>
            <w:r w:rsidR="002803BD" w:rsidRPr="0098734B">
              <w:rPr>
                <w:sz w:val="20"/>
                <w:szCs w:val="20"/>
              </w:rPr>
              <w:t xml:space="preserve"> </w:t>
            </w:r>
            <w:r w:rsidRPr="0098734B">
              <w:rPr>
                <w:sz w:val="20"/>
                <w:szCs w:val="20"/>
              </w:rPr>
              <w:t>zakończenie</w:t>
            </w:r>
            <w:r w:rsidR="002803BD" w:rsidRPr="0098734B">
              <w:rPr>
                <w:sz w:val="20"/>
                <w:szCs w:val="20"/>
              </w:rPr>
              <w:t xml:space="preserve"> </w:t>
            </w:r>
            <w:r w:rsidRPr="0098734B">
              <w:rPr>
                <w:sz w:val="20"/>
                <w:szCs w:val="20"/>
              </w:rPr>
              <w:t>leczenia;</w:t>
            </w:r>
          </w:p>
          <w:p w14:paraId="4B555CAD" w14:textId="44E68621" w:rsidR="00690FA9" w:rsidRPr="0098734B" w:rsidRDefault="00766318" w:rsidP="0098734B">
            <w:pPr>
              <w:numPr>
                <w:ilvl w:val="3"/>
                <w:numId w:val="18"/>
              </w:numPr>
              <w:autoSpaceDE w:val="0"/>
              <w:autoSpaceDN w:val="0"/>
              <w:adjustRightInd w:val="0"/>
              <w:spacing w:after="60" w:line="276" w:lineRule="auto"/>
              <w:jc w:val="both"/>
              <w:rPr>
                <w:sz w:val="20"/>
                <w:szCs w:val="20"/>
              </w:rPr>
            </w:pPr>
            <w:r w:rsidRPr="0098734B">
              <w:rPr>
                <w:sz w:val="20"/>
                <w:szCs w:val="20"/>
              </w:rPr>
              <w:t>przekazywanie</w:t>
            </w:r>
            <w:r w:rsidR="002803BD" w:rsidRPr="0098734B">
              <w:rPr>
                <w:sz w:val="20"/>
                <w:szCs w:val="20"/>
              </w:rPr>
              <w:t xml:space="preserve"> </w:t>
            </w:r>
            <w:r w:rsidRPr="0098734B">
              <w:rPr>
                <w:sz w:val="20"/>
                <w:szCs w:val="20"/>
              </w:rPr>
              <w:t>informacji</w:t>
            </w:r>
            <w:r w:rsidR="002803BD" w:rsidRPr="0098734B">
              <w:rPr>
                <w:sz w:val="20"/>
                <w:szCs w:val="20"/>
              </w:rPr>
              <w:t xml:space="preserve"> </w:t>
            </w:r>
            <w:r w:rsidRPr="0098734B">
              <w:rPr>
                <w:sz w:val="20"/>
                <w:szCs w:val="20"/>
              </w:rPr>
              <w:t>sprawozdawczo-rozliczeniowych</w:t>
            </w:r>
            <w:r w:rsidR="002803BD" w:rsidRPr="0098734B">
              <w:rPr>
                <w:sz w:val="20"/>
                <w:szCs w:val="20"/>
              </w:rPr>
              <w:t xml:space="preserve"> </w:t>
            </w:r>
            <w:r w:rsidRPr="0098734B">
              <w:rPr>
                <w:sz w:val="20"/>
                <w:szCs w:val="20"/>
              </w:rPr>
              <w:t>do</w:t>
            </w:r>
            <w:r w:rsidR="002803BD" w:rsidRPr="0098734B">
              <w:rPr>
                <w:sz w:val="20"/>
                <w:szCs w:val="20"/>
              </w:rPr>
              <w:t xml:space="preserve"> </w:t>
            </w:r>
            <w:r w:rsidRPr="0098734B">
              <w:rPr>
                <w:sz w:val="20"/>
                <w:szCs w:val="20"/>
              </w:rPr>
              <w:t>NFZ:</w:t>
            </w:r>
            <w:r w:rsidR="002803BD" w:rsidRPr="0098734B">
              <w:rPr>
                <w:sz w:val="20"/>
                <w:szCs w:val="20"/>
              </w:rPr>
              <w:t xml:space="preserve"> </w:t>
            </w:r>
            <w:r w:rsidRPr="0098734B">
              <w:rPr>
                <w:sz w:val="20"/>
                <w:szCs w:val="20"/>
              </w:rPr>
              <w:t>informacje</w:t>
            </w:r>
            <w:r w:rsidR="002803BD" w:rsidRPr="0098734B">
              <w:rPr>
                <w:sz w:val="20"/>
                <w:szCs w:val="20"/>
              </w:rPr>
              <w:t xml:space="preserve"> </w:t>
            </w:r>
            <w:r w:rsidRPr="0098734B">
              <w:rPr>
                <w:sz w:val="20"/>
                <w:szCs w:val="20"/>
              </w:rPr>
              <w:t>przekazuje</w:t>
            </w:r>
            <w:r w:rsidR="002803BD" w:rsidRPr="0098734B">
              <w:rPr>
                <w:sz w:val="20"/>
                <w:szCs w:val="20"/>
              </w:rPr>
              <w:t xml:space="preserve"> </w:t>
            </w:r>
            <w:r w:rsidRPr="0098734B">
              <w:rPr>
                <w:sz w:val="20"/>
                <w:szCs w:val="20"/>
              </w:rPr>
              <w:t>się</w:t>
            </w:r>
            <w:r w:rsidR="002803BD" w:rsidRPr="0098734B">
              <w:rPr>
                <w:sz w:val="20"/>
                <w:szCs w:val="20"/>
              </w:rPr>
              <w:t xml:space="preserve"> </w:t>
            </w:r>
            <w:r w:rsidRPr="0098734B">
              <w:rPr>
                <w:sz w:val="20"/>
                <w:szCs w:val="20"/>
              </w:rPr>
              <w:t>do</w:t>
            </w:r>
            <w:r w:rsidR="002803BD" w:rsidRPr="0098734B">
              <w:rPr>
                <w:sz w:val="20"/>
                <w:szCs w:val="20"/>
              </w:rPr>
              <w:t xml:space="preserve"> </w:t>
            </w:r>
            <w:r w:rsidRPr="0098734B">
              <w:rPr>
                <w:sz w:val="20"/>
                <w:szCs w:val="20"/>
              </w:rPr>
              <w:t>NFZ</w:t>
            </w:r>
            <w:r w:rsidR="002D4CDD" w:rsidRPr="0098734B">
              <w:rPr>
                <w:sz w:val="20"/>
                <w:szCs w:val="20"/>
              </w:rPr>
              <w:t xml:space="preserve"> w </w:t>
            </w:r>
            <w:r w:rsidRPr="0098734B">
              <w:rPr>
                <w:sz w:val="20"/>
                <w:szCs w:val="20"/>
              </w:rPr>
              <w:t>formie</w:t>
            </w:r>
            <w:r w:rsidR="002803BD" w:rsidRPr="0098734B">
              <w:rPr>
                <w:sz w:val="20"/>
                <w:szCs w:val="20"/>
              </w:rPr>
              <w:t xml:space="preserve"> </w:t>
            </w:r>
            <w:r w:rsidRPr="0098734B">
              <w:rPr>
                <w:sz w:val="20"/>
                <w:szCs w:val="20"/>
              </w:rPr>
              <w:t>papierowej</w:t>
            </w:r>
            <w:r w:rsidR="002803BD" w:rsidRPr="0098734B">
              <w:rPr>
                <w:sz w:val="20"/>
                <w:szCs w:val="20"/>
              </w:rPr>
              <w:t xml:space="preserve"> </w:t>
            </w:r>
            <w:r w:rsidRPr="0098734B">
              <w:rPr>
                <w:sz w:val="20"/>
                <w:szCs w:val="20"/>
              </w:rPr>
              <w:t>lub</w:t>
            </w:r>
            <w:r w:rsidR="002D4CDD" w:rsidRPr="0098734B">
              <w:rPr>
                <w:sz w:val="20"/>
                <w:szCs w:val="20"/>
              </w:rPr>
              <w:t xml:space="preserve"> w </w:t>
            </w:r>
            <w:r w:rsidRPr="0098734B">
              <w:rPr>
                <w:sz w:val="20"/>
                <w:szCs w:val="20"/>
              </w:rPr>
              <w:t>formie</w:t>
            </w:r>
            <w:r w:rsidR="002803BD" w:rsidRPr="0098734B">
              <w:rPr>
                <w:sz w:val="20"/>
                <w:szCs w:val="20"/>
              </w:rPr>
              <w:t xml:space="preserve"> </w:t>
            </w:r>
            <w:r w:rsidRPr="0098734B">
              <w:rPr>
                <w:sz w:val="20"/>
                <w:szCs w:val="20"/>
              </w:rPr>
              <w:t>elektronicznej,</w:t>
            </w:r>
            <w:r w:rsidR="002803BD" w:rsidRPr="0098734B">
              <w:rPr>
                <w:sz w:val="20"/>
                <w:szCs w:val="20"/>
              </w:rPr>
              <w:t xml:space="preserve"> </w:t>
            </w:r>
            <w:r w:rsidRPr="0098734B">
              <w:rPr>
                <w:sz w:val="20"/>
                <w:szCs w:val="20"/>
              </w:rPr>
              <w:t>zgodnie</w:t>
            </w:r>
            <w:r w:rsidR="002D4CDD" w:rsidRPr="0098734B">
              <w:rPr>
                <w:sz w:val="20"/>
                <w:szCs w:val="20"/>
              </w:rPr>
              <w:t xml:space="preserve"> z </w:t>
            </w:r>
            <w:r w:rsidRPr="0098734B">
              <w:rPr>
                <w:sz w:val="20"/>
                <w:szCs w:val="20"/>
              </w:rPr>
              <w:t>wymaganiami</w:t>
            </w:r>
            <w:r w:rsidR="002803BD" w:rsidRPr="0098734B">
              <w:rPr>
                <w:sz w:val="20"/>
                <w:szCs w:val="20"/>
              </w:rPr>
              <w:t xml:space="preserve"> </w:t>
            </w:r>
            <w:r w:rsidRPr="0098734B">
              <w:rPr>
                <w:sz w:val="20"/>
                <w:szCs w:val="20"/>
              </w:rPr>
              <w:t>opublikowanymi</w:t>
            </w:r>
            <w:r w:rsidR="002803BD" w:rsidRPr="0098734B">
              <w:rPr>
                <w:sz w:val="20"/>
                <w:szCs w:val="20"/>
              </w:rPr>
              <w:t xml:space="preserve"> </w:t>
            </w:r>
            <w:r w:rsidRPr="0098734B">
              <w:rPr>
                <w:sz w:val="20"/>
                <w:szCs w:val="20"/>
              </w:rPr>
              <w:t>przez</w:t>
            </w:r>
            <w:r w:rsidR="002803BD" w:rsidRPr="0098734B">
              <w:rPr>
                <w:sz w:val="20"/>
                <w:szCs w:val="20"/>
              </w:rPr>
              <w:t xml:space="preserve"> </w:t>
            </w:r>
            <w:r w:rsidR="008B4269" w:rsidRPr="0098734B">
              <w:rPr>
                <w:sz w:val="20"/>
                <w:szCs w:val="20"/>
              </w:rPr>
              <w:t>NFZ</w:t>
            </w:r>
            <w:r w:rsidRPr="0098734B">
              <w:rPr>
                <w:sz w:val="20"/>
                <w:szCs w:val="20"/>
              </w:rPr>
              <w:t>.</w:t>
            </w:r>
          </w:p>
        </w:tc>
      </w:tr>
    </w:tbl>
    <w:p w14:paraId="097E1102" w14:textId="77777777" w:rsidR="00743C43" w:rsidRPr="008B4269" w:rsidRDefault="00743C43" w:rsidP="002D4CDD">
      <w:pPr>
        <w:jc w:val="both"/>
        <w:rPr>
          <w:sz w:val="10"/>
        </w:rPr>
      </w:pPr>
    </w:p>
    <w:sectPr w:rsidR="00743C43" w:rsidRPr="008B4269" w:rsidSect="00C30811">
      <w:pgSz w:w="16838" w:h="11906" w:orient="landscape" w:code="9"/>
      <w:pgMar w:top="1588" w:right="720" w:bottom="1418"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9BA69" w14:textId="77777777" w:rsidR="000747D0" w:rsidRDefault="000747D0" w:rsidP="00BF49D7">
      <w:r>
        <w:separator/>
      </w:r>
    </w:p>
  </w:endnote>
  <w:endnote w:type="continuationSeparator" w:id="0">
    <w:p w14:paraId="3C89E365" w14:textId="77777777" w:rsidR="000747D0" w:rsidRDefault="000747D0" w:rsidP="00BF49D7">
      <w:r>
        <w:continuationSeparator/>
      </w:r>
    </w:p>
  </w:endnote>
  <w:endnote w:type="continuationNotice" w:id="1">
    <w:p w14:paraId="4EC46C1C" w14:textId="77777777" w:rsidR="000747D0" w:rsidRDefault="000747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687B4" w14:textId="77777777" w:rsidR="000747D0" w:rsidRDefault="000747D0" w:rsidP="00BF49D7">
      <w:r>
        <w:separator/>
      </w:r>
    </w:p>
  </w:footnote>
  <w:footnote w:type="continuationSeparator" w:id="0">
    <w:p w14:paraId="48B4238A" w14:textId="77777777" w:rsidR="000747D0" w:rsidRDefault="000747D0" w:rsidP="00BF49D7">
      <w:r>
        <w:continuationSeparator/>
      </w:r>
    </w:p>
  </w:footnote>
  <w:footnote w:type="continuationNotice" w:id="1">
    <w:p w14:paraId="20772AB8" w14:textId="77777777" w:rsidR="000747D0" w:rsidRDefault="000747D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B59E4"/>
    <w:multiLevelType w:val="multilevel"/>
    <w:tmpl w:val="C312425E"/>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 w15:restartNumberingAfterBreak="0">
    <w:nsid w:val="0BE500BD"/>
    <w:multiLevelType w:val="multilevel"/>
    <w:tmpl w:val="623895AE"/>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 w15:restartNumberingAfterBreak="0">
    <w:nsid w:val="0E197A92"/>
    <w:multiLevelType w:val="multilevel"/>
    <w:tmpl w:val="77381D9C"/>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 w15:restartNumberingAfterBreak="0">
    <w:nsid w:val="1CC26CDF"/>
    <w:multiLevelType w:val="multilevel"/>
    <w:tmpl w:val="623895AE"/>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 w15:restartNumberingAfterBreak="0">
    <w:nsid w:val="1D8F3BAC"/>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 w15:restartNumberingAfterBreak="0">
    <w:nsid w:val="1E803E5C"/>
    <w:multiLevelType w:val="hybridMultilevel"/>
    <w:tmpl w:val="1DB2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A3510D"/>
    <w:multiLevelType w:val="hybridMultilevel"/>
    <w:tmpl w:val="DADE1D9C"/>
    <w:lvl w:ilvl="0" w:tplc="86A633D4">
      <w:start w:val="1"/>
      <w:numFmt w:val="decimal"/>
      <w:lvlText w:val="%1."/>
      <w:lvlJc w:val="left"/>
      <w:pPr>
        <w:ind w:left="720" w:hanging="360"/>
      </w:pPr>
      <w:rPr>
        <w:rFonts w:hint="default"/>
        <w:b w:val="0"/>
        <w:color w:val="365F9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917179"/>
    <w:multiLevelType w:val="hybridMultilevel"/>
    <w:tmpl w:val="FFFFFFFF"/>
    <w:lvl w:ilvl="0" w:tplc="E7486D26">
      <w:start w:val="1"/>
      <w:numFmt w:val="lowerLetter"/>
      <w:lvlText w:val="%1)"/>
      <w:lvlJc w:val="left"/>
      <w:pPr>
        <w:ind w:left="720" w:hanging="360"/>
      </w:pPr>
    </w:lvl>
    <w:lvl w:ilvl="1" w:tplc="A9CC9090">
      <w:start w:val="1"/>
      <w:numFmt w:val="lowerLetter"/>
      <w:lvlText w:val="%2."/>
      <w:lvlJc w:val="left"/>
      <w:pPr>
        <w:ind w:left="1440" w:hanging="360"/>
      </w:pPr>
    </w:lvl>
    <w:lvl w:ilvl="2" w:tplc="688AD26E">
      <w:start w:val="1"/>
      <w:numFmt w:val="lowerRoman"/>
      <w:lvlText w:val="%3."/>
      <w:lvlJc w:val="right"/>
      <w:pPr>
        <w:ind w:left="2160" w:hanging="180"/>
      </w:pPr>
    </w:lvl>
    <w:lvl w:ilvl="3" w:tplc="4CA4C82E">
      <w:start w:val="1"/>
      <w:numFmt w:val="decimal"/>
      <w:lvlText w:val="%4."/>
      <w:lvlJc w:val="left"/>
      <w:pPr>
        <w:ind w:left="2880" w:hanging="360"/>
      </w:pPr>
    </w:lvl>
    <w:lvl w:ilvl="4" w:tplc="347495BE">
      <w:start w:val="1"/>
      <w:numFmt w:val="lowerLetter"/>
      <w:lvlText w:val="%5."/>
      <w:lvlJc w:val="left"/>
      <w:pPr>
        <w:ind w:left="3600" w:hanging="360"/>
      </w:pPr>
    </w:lvl>
    <w:lvl w:ilvl="5" w:tplc="403A65DE">
      <w:start w:val="1"/>
      <w:numFmt w:val="lowerRoman"/>
      <w:lvlText w:val="%6."/>
      <w:lvlJc w:val="right"/>
      <w:pPr>
        <w:ind w:left="4320" w:hanging="180"/>
      </w:pPr>
    </w:lvl>
    <w:lvl w:ilvl="6" w:tplc="96D03D06">
      <w:start w:val="1"/>
      <w:numFmt w:val="decimal"/>
      <w:lvlText w:val="%7."/>
      <w:lvlJc w:val="left"/>
      <w:pPr>
        <w:ind w:left="5040" w:hanging="360"/>
      </w:pPr>
    </w:lvl>
    <w:lvl w:ilvl="7" w:tplc="7CBC9C24">
      <w:start w:val="1"/>
      <w:numFmt w:val="lowerLetter"/>
      <w:lvlText w:val="%8."/>
      <w:lvlJc w:val="left"/>
      <w:pPr>
        <w:ind w:left="5760" w:hanging="360"/>
      </w:pPr>
    </w:lvl>
    <w:lvl w:ilvl="8" w:tplc="B7E08F32">
      <w:start w:val="1"/>
      <w:numFmt w:val="lowerRoman"/>
      <w:lvlText w:val="%9."/>
      <w:lvlJc w:val="right"/>
      <w:pPr>
        <w:ind w:left="6480" w:hanging="180"/>
      </w:pPr>
    </w:lvl>
  </w:abstractNum>
  <w:abstractNum w:abstractNumId="8" w15:restartNumberingAfterBreak="0">
    <w:nsid w:val="467D69F3"/>
    <w:multiLevelType w:val="hybridMultilevel"/>
    <w:tmpl w:val="CF9ADAA4"/>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 w15:restartNumberingAfterBreak="0">
    <w:nsid w:val="58516111"/>
    <w:multiLevelType w:val="hybridMultilevel"/>
    <w:tmpl w:val="FFFFFFFF"/>
    <w:lvl w:ilvl="0" w:tplc="45DEECC2">
      <w:start w:val="1"/>
      <w:numFmt w:val="lowerLetter"/>
      <w:lvlText w:val="%1)"/>
      <w:lvlJc w:val="left"/>
      <w:pPr>
        <w:ind w:left="720" w:hanging="360"/>
      </w:pPr>
    </w:lvl>
    <w:lvl w:ilvl="1" w:tplc="835E22AE">
      <w:start w:val="1"/>
      <w:numFmt w:val="lowerLetter"/>
      <w:lvlText w:val="%2."/>
      <w:lvlJc w:val="left"/>
      <w:pPr>
        <w:ind w:left="1440" w:hanging="360"/>
      </w:pPr>
    </w:lvl>
    <w:lvl w:ilvl="2" w:tplc="C0B0AA1E">
      <w:start w:val="1"/>
      <w:numFmt w:val="lowerRoman"/>
      <w:lvlText w:val="%3."/>
      <w:lvlJc w:val="right"/>
      <w:pPr>
        <w:ind w:left="2160" w:hanging="180"/>
      </w:pPr>
    </w:lvl>
    <w:lvl w:ilvl="3" w:tplc="CBB2DED2">
      <w:start w:val="1"/>
      <w:numFmt w:val="decimal"/>
      <w:lvlText w:val="%4."/>
      <w:lvlJc w:val="left"/>
      <w:pPr>
        <w:ind w:left="2880" w:hanging="360"/>
      </w:pPr>
    </w:lvl>
    <w:lvl w:ilvl="4" w:tplc="CF102AF6">
      <w:start w:val="1"/>
      <w:numFmt w:val="lowerLetter"/>
      <w:lvlText w:val="%5."/>
      <w:lvlJc w:val="left"/>
      <w:pPr>
        <w:ind w:left="3600" w:hanging="360"/>
      </w:pPr>
    </w:lvl>
    <w:lvl w:ilvl="5" w:tplc="82ACA374">
      <w:start w:val="1"/>
      <w:numFmt w:val="lowerRoman"/>
      <w:lvlText w:val="%6."/>
      <w:lvlJc w:val="right"/>
      <w:pPr>
        <w:ind w:left="4320" w:hanging="180"/>
      </w:pPr>
    </w:lvl>
    <w:lvl w:ilvl="6" w:tplc="0366DEA2">
      <w:start w:val="1"/>
      <w:numFmt w:val="decimal"/>
      <w:lvlText w:val="%7."/>
      <w:lvlJc w:val="left"/>
      <w:pPr>
        <w:ind w:left="5040" w:hanging="360"/>
      </w:pPr>
    </w:lvl>
    <w:lvl w:ilvl="7" w:tplc="7850FBCE">
      <w:start w:val="1"/>
      <w:numFmt w:val="lowerLetter"/>
      <w:lvlText w:val="%8."/>
      <w:lvlJc w:val="left"/>
      <w:pPr>
        <w:ind w:left="5760" w:hanging="360"/>
      </w:pPr>
    </w:lvl>
    <w:lvl w:ilvl="8" w:tplc="915618CE">
      <w:start w:val="1"/>
      <w:numFmt w:val="lowerRoman"/>
      <w:lvlText w:val="%9."/>
      <w:lvlJc w:val="right"/>
      <w:pPr>
        <w:ind w:left="6480" w:hanging="180"/>
      </w:pPr>
    </w:lvl>
  </w:abstractNum>
  <w:abstractNum w:abstractNumId="10" w15:restartNumberingAfterBreak="0">
    <w:nsid w:val="5C59094D"/>
    <w:multiLevelType w:val="multilevel"/>
    <w:tmpl w:val="FBB2702A"/>
    <w:lvl w:ilvl="0">
      <w:start w:val="1"/>
      <w:numFmt w:val="decimal"/>
      <w:lvlText w:val="%1)"/>
      <w:lvlJc w:val="left"/>
      <w:pPr>
        <w:ind w:left="360" w:hanging="360"/>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1" w15:restartNumberingAfterBreak="0">
    <w:nsid w:val="5EB8045E"/>
    <w:multiLevelType w:val="hybridMultilevel"/>
    <w:tmpl w:val="FFFFFFFF"/>
    <w:lvl w:ilvl="0" w:tplc="5BB492B2">
      <w:start w:val="1"/>
      <w:numFmt w:val="lowerLetter"/>
      <w:lvlText w:val="%1)"/>
      <w:lvlJc w:val="left"/>
      <w:pPr>
        <w:ind w:left="720" w:hanging="360"/>
      </w:pPr>
    </w:lvl>
    <w:lvl w:ilvl="1" w:tplc="3A8EBC98">
      <w:start w:val="1"/>
      <w:numFmt w:val="lowerLetter"/>
      <w:lvlText w:val="%2."/>
      <w:lvlJc w:val="left"/>
      <w:pPr>
        <w:ind w:left="1440" w:hanging="360"/>
      </w:pPr>
    </w:lvl>
    <w:lvl w:ilvl="2" w:tplc="9570766E">
      <w:start w:val="1"/>
      <w:numFmt w:val="lowerRoman"/>
      <w:lvlText w:val="%3."/>
      <w:lvlJc w:val="right"/>
      <w:pPr>
        <w:ind w:left="2160" w:hanging="180"/>
      </w:pPr>
    </w:lvl>
    <w:lvl w:ilvl="3" w:tplc="E98AEDE0">
      <w:start w:val="1"/>
      <w:numFmt w:val="decimal"/>
      <w:lvlText w:val="%4."/>
      <w:lvlJc w:val="left"/>
      <w:pPr>
        <w:ind w:left="2880" w:hanging="360"/>
      </w:pPr>
    </w:lvl>
    <w:lvl w:ilvl="4" w:tplc="38A8101E">
      <w:start w:val="1"/>
      <w:numFmt w:val="lowerLetter"/>
      <w:lvlText w:val="%5."/>
      <w:lvlJc w:val="left"/>
      <w:pPr>
        <w:ind w:left="3600" w:hanging="360"/>
      </w:pPr>
    </w:lvl>
    <w:lvl w:ilvl="5" w:tplc="B644C81E">
      <w:start w:val="1"/>
      <w:numFmt w:val="lowerRoman"/>
      <w:lvlText w:val="%6."/>
      <w:lvlJc w:val="right"/>
      <w:pPr>
        <w:ind w:left="4320" w:hanging="180"/>
      </w:pPr>
    </w:lvl>
    <w:lvl w:ilvl="6" w:tplc="C456C90C">
      <w:start w:val="1"/>
      <w:numFmt w:val="decimal"/>
      <w:lvlText w:val="%7."/>
      <w:lvlJc w:val="left"/>
      <w:pPr>
        <w:ind w:left="5040" w:hanging="360"/>
      </w:pPr>
    </w:lvl>
    <w:lvl w:ilvl="7" w:tplc="64AA6BE8">
      <w:start w:val="1"/>
      <w:numFmt w:val="lowerLetter"/>
      <w:lvlText w:val="%8."/>
      <w:lvlJc w:val="left"/>
      <w:pPr>
        <w:ind w:left="5760" w:hanging="360"/>
      </w:pPr>
    </w:lvl>
    <w:lvl w:ilvl="8" w:tplc="27DEF5A8">
      <w:start w:val="1"/>
      <w:numFmt w:val="lowerRoman"/>
      <w:lvlText w:val="%9."/>
      <w:lvlJc w:val="right"/>
      <w:pPr>
        <w:ind w:left="6480" w:hanging="180"/>
      </w:pPr>
    </w:lvl>
  </w:abstractNum>
  <w:abstractNum w:abstractNumId="12" w15:restartNumberingAfterBreak="0">
    <w:nsid w:val="66C031E6"/>
    <w:multiLevelType w:val="multilevel"/>
    <w:tmpl w:val="C312425E"/>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3" w15:restartNumberingAfterBreak="0">
    <w:nsid w:val="68112B27"/>
    <w:multiLevelType w:val="hybridMultilevel"/>
    <w:tmpl w:val="B3C86FC8"/>
    <w:lvl w:ilvl="0" w:tplc="DEFC1670">
      <w:start w:val="1"/>
      <w:numFmt w:val="bullet"/>
      <w:pStyle w:val="ListBullet1"/>
      <w:lvlText w:val=""/>
      <w:lvlJc w:val="left"/>
      <w:pPr>
        <w:tabs>
          <w:tab w:val="num" w:pos="720"/>
        </w:tabs>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6A3F4193"/>
    <w:multiLevelType w:val="multilevel"/>
    <w:tmpl w:val="623895AE"/>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5" w15:restartNumberingAfterBreak="0">
    <w:nsid w:val="6BC0627D"/>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6" w15:restartNumberingAfterBreak="0">
    <w:nsid w:val="6E087959"/>
    <w:multiLevelType w:val="hybridMultilevel"/>
    <w:tmpl w:val="FFFFFFFF"/>
    <w:lvl w:ilvl="0" w:tplc="312CAA76">
      <w:start w:val="1"/>
      <w:numFmt w:val="lowerLetter"/>
      <w:lvlText w:val="%1)"/>
      <w:lvlJc w:val="left"/>
      <w:pPr>
        <w:ind w:left="720" w:hanging="360"/>
      </w:pPr>
    </w:lvl>
    <w:lvl w:ilvl="1" w:tplc="F5A0BDF6">
      <w:start w:val="1"/>
      <w:numFmt w:val="lowerLetter"/>
      <w:lvlText w:val="%2."/>
      <w:lvlJc w:val="left"/>
      <w:pPr>
        <w:ind w:left="1440" w:hanging="360"/>
      </w:pPr>
    </w:lvl>
    <w:lvl w:ilvl="2" w:tplc="2FA06536">
      <w:start w:val="1"/>
      <w:numFmt w:val="lowerRoman"/>
      <w:lvlText w:val="%3."/>
      <w:lvlJc w:val="right"/>
      <w:pPr>
        <w:ind w:left="2160" w:hanging="180"/>
      </w:pPr>
    </w:lvl>
    <w:lvl w:ilvl="3" w:tplc="32AEBF34">
      <w:start w:val="1"/>
      <w:numFmt w:val="decimal"/>
      <w:lvlText w:val="%4."/>
      <w:lvlJc w:val="left"/>
      <w:pPr>
        <w:ind w:left="2880" w:hanging="360"/>
      </w:pPr>
    </w:lvl>
    <w:lvl w:ilvl="4" w:tplc="B55E4D98">
      <w:start w:val="1"/>
      <w:numFmt w:val="lowerLetter"/>
      <w:lvlText w:val="%5."/>
      <w:lvlJc w:val="left"/>
      <w:pPr>
        <w:ind w:left="3600" w:hanging="360"/>
      </w:pPr>
    </w:lvl>
    <w:lvl w:ilvl="5" w:tplc="2BE2C544">
      <w:start w:val="1"/>
      <w:numFmt w:val="lowerRoman"/>
      <w:lvlText w:val="%6."/>
      <w:lvlJc w:val="right"/>
      <w:pPr>
        <w:ind w:left="4320" w:hanging="180"/>
      </w:pPr>
    </w:lvl>
    <w:lvl w:ilvl="6" w:tplc="4704F6F8">
      <w:start w:val="1"/>
      <w:numFmt w:val="decimal"/>
      <w:lvlText w:val="%7."/>
      <w:lvlJc w:val="left"/>
      <w:pPr>
        <w:ind w:left="5040" w:hanging="360"/>
      </w:pPr>
    </w:lvl>
    <w:lvl w:ilvl="7" w:tplc="3E1C195E">
      <w:start w:val="1"/>
      <w:numFmt w:val="lowerLetter"/>
      <w:lvlText w:val="%8."/>
      <w:lvlJc w:val="left"/>
      <w:pPr>
        <w:ind w:left="5760" w:hanging="360"/>
      </w:pPr>
    </w:lvl>
    <w:lvl w:ilvl="8" w:tplc="94D41474">
      <w:start w:val="1"/>
      <w:numFmt w:val="lowerRoman"/>
      <w:lvlText w:val="%9."/>
      <w:lvlJc w:val="right"/>
      <w:pPr>
        <w:ind w:left="6480" w:hanging="180"/>
      </w:pPr>
    </w:lvl>
  </w:abstractNum>
  <w:abstractNum w:abstractNumId="17" w15:restartNumberingAfterBreak="0">
    <w:nsid w:val="7FEA1118"/>
    <w:multiLevelType w:val="hybridMultilevel"/>
    <w:tmpl w:val="FFFFFFFF"/>
    <w:lvl w:ilvl="0" w:tplc="D5664704">
      <w:start w:val="1"/>
      <w:numFmt w:val="lowerLetter"/>
      <w:lvlText w:val="%1)"/>
      <w:lvlJc w:val="left"/>
      <w:pPr>
        <w:ind w:left="720" w:hanging="360"/>
      </w:pPr>
    </w:lvl>
    <w:lvl w:ilvl="1" w:tplc="D95E8A62">
      <w:start w:val="1"/>
      <w:numFmt w:val="lowerLetter"/>
      <w:lvlText w:val="%2."/>
      <w:lvlJc w:val="left"/>
      <w:pPr>
        <w:ind w:left="1440" w:hanging="360"/>
      </w:pPr>
    </w:lvl>
    <w:lvl w:ilvl="2" w:tplc="541296E6">
      <w:start w:val="1"/>
      <w:numFmt w:val="lowerRoman"/>
      <w:lvlText w:val="%3."/>
      <w:lvlJc w:val="right"/>
      <w:pPr>
        <w:ind w:left="2160" w:hanging="180"/>
      </w:pPr>
    </w:lvl>
    <w:lvl w:ilvl="3" w:tplc="A32C5C96">
      <w:start w:val="1"/>
      <w:numFmt w:val="decimal"/>
      <w:lvlText w:val="%4."/>
      <w:lvlJc w:val="left"/>
      <w:pPr>
        <w:ind w:left="2880" w:hanging="360"/>
      </w:pPr>
    </w:lvl>
    <w:lvl w:ilvl="4" w:tplc="4C028088">
      <w:start w:val="1"/>
      <w:numFmt w:val="lowerLetter"/>
      <w:lvlText w:val="%5."/>
      <w:lvlJc w:val="left"/>
      <w:pPr>
        <w:ind w:left="3600" w:hanging="360"/>
      </w:pPr>
    </w:lvl>
    <w:lvl w:ilvl="5" w:tplc="7F066E36">
      <w:start w:val="1"/>
      <w:numFmt w:val="lowerRoman"/>
      <w:lvlText w:val="%6."/>
      <w:lvlJc w:val="right"/>
      <w:pPr>
        <w:ind w:left="4320" w:hanging="180"/>
      </w:pPr>
    </w:lvl>
    <w:lvl w:ilvl="6" w:tplc="86644E72">
      <w:start w:val="1"/>
      <w:numFmt w:val="decimal"/>
      <w:lvlText w:val="%7."/>
      <w:lvlJc w:val="left"/>
      <w:pPr>
        <w:ind w:left="5040" w:hanging="360"/>
      </w:pPr>
    </w:lvl>
    <w:lvl w:ilvl="7" w:tplc="EDC2D8FE">
      <w:start w:val="1"/>
      <w:numFmt w:val="lowerLetter"/>
      <w:lvlText w:val="%8."/>
      <w:lvlJc w:val="left"/>
      <w:pPr>
        <w:ind w:left="5760" w:hanging="360"/>
      </w:pPr>
    </w:lvl>
    <w:lvl w:ilvl="8" w:tplc="1988DA70">
      <w:start w:val="1"/>
      <w:numFmt w:val="lowerRoman"/>
      <w:lvlText w:val="%9."/>
      <w:lvlJc w:val="right"/>
      <w:pPr>
        <w:ind w:left="6480" w:hanging="180"/>
      </w:pPr>
    </w:lvl>
  </w:abstractNum>
  <w:num w:numId="1" w16cid:durableId="485099108">
    <w:abstractNumId w:val="3"/>
  </w:num>
  <w:num w:numId="2" w16cid:durableId="1187522662">
    <w:abstractNumId w:val="1"/>
  </w:num>
  <w:num w:numId="3" w16cid:durableId="431513172">
    <w:abstractNumId w:val="14"/>
  </w:num>
  <w:num w:numId="4" w16cid:durableId="2135829892">
    <w:abstractNumId w:val="13"/>
  </w:num>
  <w:num w:numId="5" w16cid:durableId="508640439">
    <w:abstractNumId w:val="15"/>
  </w:num>
  <w:num w:numId="6" w16cid:durableId="852839055">
    <w:abstractNumId w:val="7"/>
  </w:num>
  <w:num w:numId="7" w16cid:durableId="1577979952">
    <w:abstractNumId w:val="17"/>
  </w:num>
  <w:num w:numId="8" w16cid:durableId="366488164">
    <w:abstractNumId w:val="9"/>
  </w:num>
  <w:num w:numId="9" w16cid:durableId="487790283">
    <w:abstractNumId w:val="16"/>
  </w:num>
  <w:num w:numId="10" w16cid:durableId="1410273144">
    <w:abstractNumId w:val="4"/>
  </w:num>
  <w:num w:numId="11" w16cid:durableId="922563743">
    <w:abstractNumId w:val="11"/>
  </w:num>
  <w:num w:numId="12" w16cid:durableId="1606426662">
    <w:abstractNumId w:val="6"/>
  </w:num>
  <w:num w:numId="13" w16cid:durableId="795870476">
    <w:abstractNumId w:val="10"/>
  </w:num>
  <w:num w:numId="14" w16cid:durableId="1434402650">
    <w:abstractNumId w:val="8"/>
  </w:num>
  <w:num w:numId="15" w16cid:durableId="828331831">
    <w:abstractNumId w:val="5"/>
  </w:num>
  <w:num w:numId="16" w16cid:durableId="336732835">
    <w:abstractNumId w:val="2"/>
  </w:num>
  <w:num w:numId="17" w16cid:durableId="1472676798">
    <w:abstractNumId w:val="0"/>
  </w:num>
  <w:num w:numId="18" w16cid:durableId="212075420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C43"/>
    <w:rsid w:val="00001AF1"/>
    <w:rsid w:val="000075BF"/>
    <w:rsid w:val="00060ECD"/>
    <w:rsid w:val="000747D0"/>
    <w:rsid w:val="000814F5"/>
    <w:rsid w:val="00084FB8"/>
    <w:rsid w:val="00093997"/>
    <w:rsid w:val="000A79AC"/>
    <w:rsid w:val="000B7F22"/>
    <w:rsid w:val="000C36D5"/>
    <w:rsid w:val="000C4794"/>
    <w:rsid w:val="000D5B38"/>
    <w:rsid w:val="000E69B2"/>
    <w:rsid w:val="0010197E"/>
    <w:rsid w:val="00120DF2"/>
    <w:rsid w:val="00126ECB"/>
    <w:rsid w:val="00133821"/>
    <w:rsid w:val="001361F1"/>
    <w:rsid w:val="001434C4"/>
    <w:rsid w:val="00144C47"/>
    <w:rsid w:val="00155825"/>
    <w:rsid w:val="00163ED3"/>
    <w:rsid w:val="001824BF"/>
    <w:rsid w:val="001843F9"/>
    <w:rsid w:val="00196B54"/>
    <w:rsid w:val="0019783A"/>
    <w:rsid w:val="001B67B4"/>
    <w:rsid w:val="001C6C74"/>
    <w:rsid w:val="001E3E14"/>
    <w:rsid w:val="001F2F10"/>
    <w:rsid w:val="00221D34"/>
    <w:rsid w:val="00240BE1"/>
    <w:rsid w:val="00265363"/>
    <w:rsid w:val="002803BD"/>
    <w:rsid w:val="0028213B"/>
    <w:rsid w:val="002B3B8C"/>
    <w:rsid w:val="002B44DE"/>
    <w:rsid w:val="002D12A5"/>
    <w:rsid w:val="002D4CDD"/>
    <w:rsid w:val="002F08EB"/>
    <w:rsid w:val="003037E3"/>
    <w:rsid w:val="0030450C"/>
    <w:rsid w:val="00322842"/>
    <w:rsid w:val="00330EF9"/>
    <w:rsid w:val="00343341"/>
    <w:rsid w:val="00347030"/>
    <w:rsid w:val="00376BE5"/>
    <w:rsid w:val="003903F9"/>
    <w:rsid w:val="003B7CF8"/>
    <w:rsid w:val="003C16DD"/>
    <w:rsid w:val="003D03C4"/>
    <w:rsid w:val="003F4A58"/>
    <w:rsid w:val="00406D76"/>
    <w:rsid w:val="004311BB"/>
    <w:rsid w:val="0043248A"/>
    <w:rsid w:val="00434EEC"/>
    <w:rsid w:val="00444F9E"/>
    <w:rsid w:val="00446F9A"/>
    <w:rsid w:val="00463A0E"/>
    <w:rsid w:val="00472B65"/>
    <w:rsid w:val="004841C6"/>
    <w:rsid w:val="00486F50"/>
    <w:rsid w:val="00497A25"/>
    <w:rsid w:val="004A797A"/>
    <w:rsid w:val="004A79EF"/>
    <w:rsid w:val="004B0757"/>
    <w:rsid w:val="004F0FBD"/>
    <w:rsid w:val="004F652C"/>
    <w:rsid w:val="00512373"/>
    <w:rsid w:val="00516934"/>
    <w:rsid w:val="00523C92"/>
    <w:rsid w:val="005257EA"/>
    <w:rsid w:val="00533DF7"/>
    <w:rsid w:val="00544462"/>
    <w:rsid w:val="00547315"/>
    <w:rsid w:val="00565830"/>
    <w:rsid w:val="00590774"/>
    <w:rsid w:val="005922FF"/>
    <w:rsid w:val="005A7705"/>
    <w:rsid w:val="005E7E45"/>
    <w:rsid w:val="00604B8D"/>
    <w:rsid w:val="0062113A"/>
    <w:rsid w:val="0062349C"/>
    <w:rsid w:val="00627BDE"/>
    <w:rsid w:val="00642045"/>
    <w:rsid w:val="00642C07"/>
    <w:rsid w:val="00660EF0"/>
    <w:rsid w:val="006636BD"/>
    <w:rsid w:val="00690FA9"/>
    <w:rsid w:val="00693A9C"/>
    <w:rsid w:val="00695229"/>
    <w:rsid w:val="006B5357"/>
    <w:rsid w:val="006F342B"/>
    <w:rsid w:val="00743C43"/>
    <w:rsid w:val="00747EB0"/>
    <w:rsid w:val="007642B8"/>
    <w:rsid w:val="007645CB"/>
    <w:rsid w:val="00766318"/>
    <w:rsid w:val="007848C7"/>
    <w:rsid w:val="00786E34"/>
    <w:rsid w:val="007966E9"/>
    <w:rsid w:val="007A5566"/>
    <w:rsid w:val="007A6E3A"/>
    <w:rsid w:val="007B34F4"/>
    <w:rsid w:val="007C1ED5"/>
    <w:rsid w:val="007D188D"/>
    <w:rsid w:val="007D2521"/>
    <w:rsid w:val="007D297F"/>
    <w:rsid w:val="007E6F7F"/>
    <w:rsid w:val="007F66F8"/>
    <w:rsid w:val="008026DC"/>
    <w:rsid w:val="008118B8"/>
    <w:rsid w:val="00830032"/>
    <w:rsid w:val="0083097B"/>
    <w:rsid w:val="00845557"/>
    <w:rsid w:val="00875299"/>
    <w:rsid w:val="008850AA"/>
    <w:rsid w:val="008943AE"/>
    <w:rsid w:val="00897C0B"/>
    <w:rsid w:val="008A3A76"/>
    <w:rsid w:val="008B4269"/>
    <w:rsid w:val="008B6EA7"/>
    <w:rsid w:val="008D7A25"/>
    <w:rsid w:val="008F1647"/>
    <w:rsid w:val="008F26E6"/>
    <w:rsid w:val="008F5F86"/>
    <w:rsid w:val="009116A6"/>
    <w:rsid w:val="0091446B"/>
    <w:rsid w:val="00931F06"/>
    <w:rsid w:val="00935247"/>
    <w:rsid w:val="00936C94"/>
    <w:rsid w:val="009530A8"/>
    <w:rsid w:val="00953C98"/>
    <w:rsid w:val="009565FC"/>
    <w:rsid w:val="00963F9B"/>
    <w:rsid w:val="00964659"/>
    <w:rsid w:val="00966F29"/>
    <w:rsid w:val="00977709"/>
    <w:rsid w:val="0098640E"/>
    <w:rsid w:val="0098734B"/>
    <w:rsid w:val="009878D2"/>
    <w:rsid w:val="009A0663"/>
    <w:rsid w:val="009B3886"/>
    <w:rsid w:val="009B4469"/>
    <w:rsid w:val="009B538D"/>
    <w:rsid w:val="00A23F3F"/>
    <w:rsid w:val="00A44BD5"/>
    <w:rsid w:val="00A45E05"/>
    <w:rsid w:val="00A6241F"/>
    <w:rsid w:val="00A62583"/>
    <w:rsid w:val="00A70DFE"/>
    <w:rsid w:val="00A8082F"/>
    <w:rsid w:val="00A8178C"/>
    <w:rsid w:val="00A8669F"/>
    <w:rsid w:val="00AB44EC"/>
    <w:rsid w:val="00AC3A93"/>
    <w:rsid w:val="00AC597A"/>
    <w:rsid w:val="00AC6621"/>
    <w:rsid w:val="00AF0963"/>
    <w:rsid w:val="00AF4EA2"/>
    <w:rsid w:val="00B11596"/>
    <w:rsid w:val="00B152A6"/>
    <w:rsid w:val="00B160D1"/>
    <w:rsid w:val="00B361AF"/>
    <w:rsid w:val="00B42D08"/>
    <w:rsid w:val="00B66BAD"/>
    <w:rsid w:val="00B819C7"/>
    <w:rsid w:val="00B853C3"/>
    <w:rsid w:val="00B85E60"/>
    <w:rsid w:val="00B900A4"/>
    <w:rsid w:val="00B90EB7"/>
    <w:rsid w:val="00B93008"/>
    <w:rsid w:val="00BA0B44"/>
    <w:rsid w:val="00BB08D1"/>
    <w:rsid w:val="00BC6CF9"/>
    <w:rsid w:val="00BD51B5"/>
    <w:rsid w:val="00BE23E8"/>
    <w:rsid w:val="00BF49D7"/>
    <w:rsid w:val="00C0762F"/>
    <w:rsid w:val="00C07DA7"/>
    <w:rsid w:val="00C2457C"/>
    <w:rsid w:val="00C2602F"/>
    <w:rsid w:val="00C30811"/>
    <w:rsid w:val="00C43C2B"/>
    <w:rsid w:val="00C60F36"/>
    <w:rsid w:val="00C65410"/>
    <w:rsid w:val="00C66063"/>
    <w:rsid w:val="00C71B35"/>
    <w:rsid w:val="00C82603"/>
    <w:rsid w:val="00C95711"/>
    <w:rsid w:val="00C96CCA"/>
    <w:rsid w:val="00CA3B21"/>
    <w:rsid w:val="00CA491B"/>
    <w:rsid w:val="00CB3D45"/>
    <w:rsid w:val="00CB5855"/>
    <w:rsid w:val="00CC1B4E"/>
    <w:rsid w:val="00CC26EC"/>
    <w:rsid w:val="00CF4389"/>
    <w:rsid w:val="00D1140D"/>
    <w:rsid w:val="00D1157B"/>
    <w:rsid w:val="00D24D72"/>
    <w:rsid w:val="00D3682B"/>
    <w:rsid w:val="00D501ED"/>
    <w:rsid w:val="00D83197"/>
    <w:rsid w:val="00D85440"/>
    <w:rsid w:val="00DA24DF"/>
    <w:rsid w:val="00DA32FC"/>
    <w:rsid w:val="00DA6460"/>
    <w:rsid w:val="00DD03AB"/>
    <w:rsid w:val="00DD7F6D"/>
    <w:rsid w:val="00E20D2B"/>
    <w:rsid w:val="00E23E9D"/>
    <w:rsid w:val="00E332DF"/>
    <w:rsid w:val="00E4743E"/>
    <w:rsid w:val="00E7549C"/>
    <w:rsid w:val="00EA0E86"/>
    <w:rsid w:val="00ED2459"/>
    <w:rsid w:val="00ED5F8B"/>
    <w:rsid w:val="00EE46A8"/>
    <w:rsid w:val="00F405A8"/>
    <w:rsid w:val="00F67349"/>
    <w:rsid w:val="00F90D66"/>
    <w:rsid w:val="00FA42BD"/>
    <w:rsid w:val="00FA6C8B"/>
    <w:rsid w:val="00FD501D"/>
    <w:rsid w:val="0173FFEF"/>
    <w:rsid w:val="038C3D84"/>
    <w:rsid w:val="04C5C0B4"/>
    <w:rsid w:val="0535BCE7"/>
    <w:rsid w:val="0596A487"/>
    <w:rsid w:val="08841D4B"/>
    <w:rsid w:val="09894640"/>
    <w:rsid w:val="0A092E0A"/>
    <w:rsid w:val="0A1A1582"/>
    <w:rsid w:val="0B668539"/>
    <w:rsid w:val="0D09C6DC"/>
    <w:rsid w:val="0EDC9F2D"/>
    <w:rsid w:val="1211D734"/>
    <w:rsid w:val="12722054"/>
    <w:rsid w:val="16CF9294"/>
    <w:rsid w:val="19770526"/>
    <w:rsid w:val="1C807F40"/>
    <w:rsid w:val="1FCB17FA"/>
    <w:rsid w:val="1FDC71CE"/>
    <w:rsid w:val="215B7EEC"/>
    <w:rsid w:val="23AC835A"/>
    <w:rsid w:val="23D03D43"/>
    <w:rsid w:val="263C9F11"/>
    <w:rsid w:val="264431EE"/>
    <w:rsid w:val="27809E0A"/>
    <w:rsid w:val="27F5318E"/>
    <w:rsid w:val="298AFF75"/>
    <w:rsid w:val="2BA6E2CB"/>
    <w:rsid w:val="2BBF2CAC"/>
    <w:rsid w:val="2C6D9E73"/>
    <w:rsid w:val="2F404145"/>
    <w:rsid w:val="2FDDBFDB"/>
    <w:rsid w:val="2FEB6EDD"/>
    <w:rsid w:val="30911390"/>
    <w:rsid w:val="31873F3E"/>
    <w:rsid w:val="3318B95E"/>
    <w:rsid w:val="33E07F24"/>
    <w:rsid w:val="35FA02FB"/>
    <w:rsid w:val="36398191"/>
    <w:rsid w:val="36505A20"/>
    <w:rsid w:val="365AB061"/>
    <w:rsid w:val="37C81ADA"/>
    <w:rsid w:val="38D40FB5"/>
    <w:rsid w:val="3ED1E36B"/>
    <w:rsid w:val="41A1DC3A"/>
    <w:rsid w:val="43D7A55A"/>
    <w:rsid w:val="44BBDB6D"/>
    <w:rsid w:val="44D29B0F"/>
    <w:rsid w:val="4577F5D4"/>
    <w:rsid w:val="473DBFBF"/>
    <w:rsid w:val="4BCEED9A"/>
    <w:rsid w:val="4C29C1C7"/>
    <w:rsid w:val="4CC1A007"/>
    <w:rsid w:val="4DAD0143"/>
    <w:rsid w:val="4E852337"/>
    <w:rsid w:val="4F281ABE"/>
    <w:rsid w:val="51F473C6"/>
    <w:rsid w:val="525FBB80"/>
    <w:rsid w:val="5357BC34"/>
    <w:rsid w:val="55135E7B"/>
    <w:rsid w:val="56056ED3"/>
    <w:rsid w:val="5F68BBEB"/>
    <w:rsid w:val="5F6A3BB5"/>
    <w:rsid w:val="636B0AA3"/>
    <w:rsid w:val="64EC4A41"/>
    <w:rsid w:val="650D0127"/>
    <w:rsid w:val="68970830"/>
    <w:rsid w:val="6BD4EF43"/>
    <w:rsid w:val="6DD5BD02"/>
    <w:rsid w:val="70F4F810"/>
    <w:rsid w:val="726E7DE1"/>
    <w:rsid w:val="7386BD18"/>
    <w:rsid w:val="75228D79"/>
    <w:rsid w:val="759940A2"/>
    <w:rsid w:val="76BE5DDA"/>
    <w:rsid w:val="76E36ED1"/>
    <w:rsid w:val="78C575A7"/>
    <w:rsid w:val="7B347DED"/>
    <w:rsid w:val="7DB7BF3B"/>
    <w:rsid w:val="7F9E7B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FE7701"/>
  <w15:docId w15:val="{48FB0DC8-39DE-4F02-96BE-9F35B9CC5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43C43"/>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F49D7"/>
    <w:pPr>
      <w:tabs>
        <w:tab w:val="center" w:pos="4536"/>
        <w:tab w:val="right" w:pos="9072"/>
      </w:tabs>
    </w:pPr>
  </w:style>
  <w:style w:type="character" w:customStyle="1" w:styleId="NagwekZnak">
    <w:name w:val="Nagłówek Znak"/>
    <w:link w:val="Nagwek"/>
    <w:rsid w:val="00BF49D7"/>
    <w:rPr>
      <w:sz w:val="24"/>
      <w:szCs w:val="24"/>
    </w:rPr>
  </w:style>
  <w:style w:type="paragraph" w:styleId="Stopka">
    <w:name w:val="footer"/>
    <w:basedOn w:val="Normalny"/>
    <w:link w:val="StopkaZnak"/>
    <w:uiPriority w:val="99"/>
    <w:rsid w:val="00BF49D7"/>
    <w:pPr>
      <w:tabs>
        <w:tab w:val="center" w:pos="4536"/>
        <w:tab w:val="right" w:pos="9072"/>
      </w:tabs>
    </w:pPr>
  </w:style>
  <w:style w:type="character" w:customStyle="1" w:styleId="StopkaZnak">
    <w:name w:val="Stopka Znak"/>
    <w:link w:val="Stopka"/>
    <w:uiPriority w:val="99"/>
    <w:rsid w:val="00BF49D7"/>
    <w:rPr>
      <w:sz w:val="24"/>
      <w:szCs w:val="24"/>
    </w:rPr>
  </w:style>
  <w:style w:type="paragraph" w:styleId="Tekstdymka">
    <w:name w:val="Balloon Text"/>
    <w:basedOn w:val="Normalny"/>
    <w:link w:val="TekstdymkaZnak"/>
    <w:rsid w:val="00BF49D7"/>
    <w:rPr>
      <w:rFonts w:ascii="Tahoma" w:hAnsi="Tahoma" w:cs="Tahoma"/>
      <w:sz w:val="16"/>
      <w:szCs w:val="16"/>
    </w:rPr>
  </w:style>
  <w:style w:type="character" w:customStyle="1" w:styleId="TekstdymkaZnak">
    <w:name w:val="Tekst dymka Znak"/>
    <w:link w:val="Tekstdymka"/>
    <w:rsid w:val="00BF49D7"/>
    <w:rPr>
      <w:rFonts w:ascii="Tahoma" w:hAnsi="Tahoma" w:cs="Tahoma"/>
      <w:sz w:val="16"/>
      <w:szCs w:val="16"/>
    </w:rPr>
  </w:style>
  <w:style w:type="paragraph" w:styleId="Akapitzlist">
    <w:name w:val="List Paragraph"/>
    <w:basedOn w:val="Normalny"/>
    <w:uiPriority w:val="34"/>
    <w:qFormat/>
    <w:rsid w:val="00766318"/>
    <w:pPr>
      <w:ind w:left="720"/>
      <w:contextualSpacing/>
    </w:pPr>
  </w:style>
  <w:style w:type="character" w:styleId="Odwoaniedokomentarza">
    <w:name w:val="annotation reference"/>
    <w:basedOn w:val="Domylnaczcionkaakapitu"/>
    <w:semiHidden/>
    <w:unhideWhenUsed/>
    <w:rsid w:val="004A79EF"/>
    <w:rPr>
      <w:sz w:val="16"/>
      <w:szCs w:val="16"/>
    </w:rPr>
  </w:style>
  <w:style w:type="paragraph" w:styleId="Tekstkomentarza">
    <w:name w:val="annotation text"/>
    <w:basedOn w:val="Normalny"/>
    <w:link w:val="TekstkomentarzaZnak"/>
    <w:semiHidden/>
    <w:unhideWhenUsed/>
    <w:rsid w:val="004A79EF"/>
    <w:rPr>
      <w:sz w:val="20"/>
      <w:szCs w:val="20"/>
    </w:rPr>
  </w:style>
  <w:style w:type="character" w:customStyle="1" w:styleId="TekstkomentarzaZnak">
    <w:name w:val="Tekst komentarza Znak"/>
    <w:basedOn w:val="Domylnaczcionkaakapitu"/>
    <w:link w:val="Tekstkomentarza"/>
    <w:semiHidden/>
    <w:rsid w:val="004A79EF"/>
  </w:style>
  <w:style w:type="character" w:styleId="Hipercze">
    <w:name w:val="Hyperlink"/>
    <w:basedOn w:val="Domylnaczcionkaakapitu"/>
    <w:uiPriority w:val="99"/>
    <w:unhideWhenUsed/>
    <w:rsid w:val="00E332DF"/>
    <w:rPr>
      <w:color w:val="0000FF" w:themeColor="hyperlink"/>
      <w:u w:val="single"/>
    </w:rPr>
  </w:style>
  <w:style w:type="paragraph" w:customStyle="1" w:styleId="ListBullet1">
    <w:name w:val="List Bullet 1"/>
    <w:aliases w:val="Lista punktowana 1"/>
    <w:basedOn w:val="Normalny"/>
    <w:qFormat/>
    <w:rsid w:val="00E332DF"/>
    <w:pPr>
      <w:numPr>
        <w:numId w:val="4"/>
      </w:numPr>
      <w:spacing w:before="120" w:after="120" w:line="256" w:lineRule="auto"/>
      <w:ind w:left="714" w:hanging="357"/>
    </w:pPr>
    <w:rPr>
      <w:rFonts w:ascii="Arial" w:eastAsiaTheme="minorHAnsi" w:hAnsi="Arial" w:cs="Arial"/>
      <w:sz w:val="20"/>
      <w:szCs w:val="20"/>
      <w:lang w:eastAsia="en-US"/>
    </w:rPr>
  </w:style>
  <w:style w:type="paragraph" w:customStyle="1" w:styleId="Listapunktowana1">
    <w:name w:val="Lista punktowana1"/>
    <w:aliases w:val="Lista punktowana222"/>
    <w:basedOn w:val="ListBullet1"/>
    <w:qFormat/>
    <w:rsid w:val="00E332DF"/>
  </w:style>
  <w:style w:type="table" w:styleId="Tabela-Siatka">
    <w:name w:val="Table Grid"/>
    <w:basedOn w:val="Standardowy"/>
    <w:rsid w:val="00D85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F1647"/>
    <w:rPr>
      <w:sz w:val="24"/>
      <w:szCs w:val="24"/>
    </w:rPr>
  </w:style>
  <w:style w:type="paragraph" w:styleId="Tematkomentarza">
    <w:name w:val="annotation subject"/>
    <w:basedOn w:val="Tekstkomentarza"/>
    <w:next w:val="Tekstkomentarza"/>
    <w:link w:val="TematkomentarzaZnak"/>
    <w:semiHidden/>
    <w:unhideWhenUsed/>
    <w:rsid w:val="003903F9"/>
    <w:rPr>
      <w:b/>
      <w:bCs/>
    </w:rPr>
  </w:style>
  <w:style w:type="character" w:customStyle="1" w:styleId="TematkomentarzaZnak">
    <w:name w:val="Temat komentarza Znak"/>
    <w:basedOn w:val="TekstkomentarzaZnak"/>
    <w:link w:val="Tematkomentarza"/>
    <w:semiHidden/>
    <w:rsid w:val="003903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678282">
      <w:bodyDiv w:val="1"/>
      <w:marLeft w:val="0"/>
      <w:marRight w:val="0"/>
      <w:marTop w:val="0"/>
      <w:marBottom w:val="0"/>
      <w:divBdr>
        <w:top w:val="none" w:sz="0" w:space="0" w:color="auto"/>
        <w:left w:val="none" w:sz="0" w:space="0" w:color="auto"/>
        <w:bottom w:val="none" w:sz="0" w:space="0" w:color="auto"/>
        <w:right w:val="none" w:sz="0" w:space="0" w:color="auto"/>
      </w:divBdr>
    </w:div>
    <w:div w:id="1078863172">
      <w:bodyDiv w:val="1"/>
      <w:marLeft w:val="0"/>
      <w:marRight w:val="0"/>
      <w:marTop w:val="0"/>
      <w:marBottom w:val="0"/>
      <w:divBdr>
        <w:top w:val="none" w:sz="0" w:space="0" w:color="auto"/>
        <w:left w:val="none" w:sz="0" w:space="0" w:color="auto"/>
        <w:bottom w:val="none" w:sz="0" w:space="0" w:color="auto"/>
        <w:right w:val="none" w:sz="0" w:space="0" w:color="auto"/>
      </w:divBdr>
    </w:div>
    <w:div w:id="1674719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wallstreet.com/media/Syllabi/Fall%202020/Graduate/CSL6796_E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o-wallstreet.com/media/Syllabi/Fall%202020/Graduate/CSL6796_E1.pdf" TargetMode="External"/><Relationship Id="rId4" Type="http://schemas.openxmlformats.org/officeDocument/2006/relationships/settings" Target="settings.xml"/><Relationship Id="rId9" Type="http://schemas.openxmlformats.org/officeDocument/2006/relationships/hyperlink" Target="https://www.psychoazyl.pl/wp-content/uploads/2020/10/KWESTIONARIUSZ-ZDROWIA-PACJENTA-PHQ-9.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BD4FC-7C47-4A53-B9B7-75B78FA88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770</Words>
  <Characters>4845</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5604</CharactersWithSpaces>
  <SharedDoc>false</SharedDoc>
  <HLinks>
    <vt:vector size="18" baseType="variant">
      <vt:variant>
        <vt:i4>4128772</vt:i4>
      </vt:variant>
      <vt:variant>
        <vt:i4>6</vt:i4>
      </vt:variant>
      <vt:variant>
        <vt:i4>0</vt:i4>
      </vt:variant>
      <vt:variant>
        <vt:i4>5</vt:i4>
      </vt:variant>
      <vt:variant>
        <vt:lpwstr>http://www.o-wallstreet.com/media/Syllabi/Fall 2020/Graduate/CSL6796_E1.pdf</vt:lpwstr>
      </vt:variant>
      <vt:variant>
        <vt:lpwstr/>
      </vt:variant>
      <vt:variant>
        <vt:i4>2097265</vt:i4>
      </vt:variant>
      <vt:variant>
        <vt:i4>3</vt:i4>
      </vt:variant>
      <vt:variant>
        <vt:i4>0</vt:i4>
      </vt:variant>
      <vt:variant>
        <vt:i4>5</vt:i4>
      </vt:variant>
      <vt:variant>
        <vt:lpwstr>https://www.psychoazyl.pl/wp-content/uploads/2020/10/KWESTIONARIUSZ-ZDROWIA-PACJENTA-PHQ-9.pdf</vt:lpwstr>
      </vt:variant>
      <vt:variant>
        <vt:lpwstr/>
      </vt:variant>
      <vt:variant>
        <vt:i4>4128772</vt:i4>
      </vt:variant>
      <vt:variant>
        <vt:i4>0</vt:i4>
      </vt:variant>
      <vt:variant>
        <vt:i4>0</vt:i4>
      </vt:variant>
      <vt:variant>
        <vt:i4>5</vt:i4>
      </vt:variant>
      <vt:variant>
        <vt:lpwstr>http://www.o-wallstreet.com/media/Syllabi/Fall 2020/Graduate/CSL6796_E1.pdf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Nowak Magdalena</dc:creator>
  <cp:keywords/>
  <cp:lastModifiedBy>Królak-Buzakowska Joanna</cp:lastModifiedBy>
  <cp:revision>8</cp:revision>
  <cp:lastPrinted>2016-10-20T10:11:00Z</cp:lastPrinted>
  <dcterms:created xsi:type="dcterms:W3CDTF">2022-05-30T12:28:00Z</dcterms:created>
  <dcterms:modified xsi:type="dcterms:W3CDTF">2022-05-30T12:40:00Z</dcterms:modified>
</cp:coreProperties>
</file>