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40" w:rsidRPr="00AA34CA" w:rsidRDefault="005E7C40" w:rsidP="00AA34CA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AA34CA">
        <w:rPr>
          <w:rFonts w:ascii="Calibri" w:hAnsi="Calibri" w:cs="Calibri"/>
          <w:color w:val="auto"/>
          <w:sz w:val="28"/>
          <w:szCs w:val="28"/>
        </w:rPr>
        <w:t>Plan działalności Regionalnej Dyrekcji Ochrony Środowiska w Olsztynie na rok 2019</w:t>
      </w:r>
      <w:r w:rsidR="00071C01" w:rsidRPr="00AA34CA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AA34CA">
        <w:rPr>
          <w:rFonts w:ascii="Calibri" w:hAnsi="Calibri" w:cs="Calibri"/>
          <w:color w:val="auto"/>
          <w:sz w:val="28"/>
          <w:szCs w:val="28"/>
        </w:rPr>
        <w:t>(aktualizacja z 1</w:t>
      </w:r>
      <w:r w:rsidR="00431592" w:rsidRPr="00AA34CA">
        <w:rPr>
          <w:rFonts w:ascii="Calibri" w:hAnsi="Calibri" w:cs="Calibri"/>
          <w:color w:val="auto"/>
          <w:sz w:val="28"/>
          <w:szCs w:val="28"/>
        </w:rPr>
        <w:t>9</w:t>
      </w:r>
      <w:r w:rsidRPr="00AA34CA">
        <w:rPr>
          <w:rFonts w:ascii="Calibri" w:hAnsi="Calibri" w:cs="Calibri"/>
          <w:color w:val="auto"/>
          <w:sz w:val="28"/>
          <w:szCs w:val="28"/>
        </w:rPr>
        <w:t xml:space="preserve"> sierpnia 2019 r.)</w:t>
      </w:r>
    </w:p>
    <w:tbl>
      <w:tblPr>
        <w:tblW w:w="1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 działalności Regionalnej Dyrekcji Ochrony Środowiska w Olsztynie na rok 2019 - aktualizacja z 19 sierpnia 2019 r."/>
        <w:tblDescription w:val="Tabela zawiera mierniki określające stopień realizacji celu, najważniejsze zadania służące realizacji celu oraz odniesienie do dokumentu o charakterze strategicznym"/>
      </w:tblPr>
      <w:tblGrid>
        <w:gridCol w:w="567"/>
        <w:gridCol w:w="2411"/>
        <w:gridCol w:w="3574"/>
        <w:gridCol w:w="1381"/>
        <w:gridCol w:w="1454"/>
        <w:gridCol w:w="4395"/>
        <w:gridCol w:w="1985"/>
      </w:tblGrid>
      <w:tr w:rsidR="005E7C40" w:rsidRPr="00081B7C" w:rsidTr="00682F98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Cel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Odniesienie do dokumentu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o charakterze strategicznym</w:t>
            </w:r>
          </w:p>
        </w:tc>
      </w:tr>
      <w:tr w:rsidR="005E7C40" w:rsidRPr="00081B7C" w:rsidTr="00AA34CA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381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Wartość bazowa miernika </w:t>
            </w:r>
          </w:p>
        </w:tc>
        <w:tc>
          <w:tcPr>
            <w:tcW w:w="1454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Planowana wartość do osiągnięcia na koniec roku </w:t>
            </w:r>
          </w:p>
        </w:tc>
        <w:tc>
          <w:tcPr>
            <w:tcW w:w="439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57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Zapewnienie funkcjonowania systemu ocen oddziaływania na środowisko.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Liczba spraw z zakresu systemu ocen na środowisko załatwionych w danym roku do liczby spraw rozpatrywanych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1514/1562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1360/1410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Opiniowanie, uzgadnianie i wydawanie decyzji o środowiskowych uwarunkowaniach w sprawach przedsięwzięć mogących znacząco oddziaływać na środowisko.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Strategia Bezpieczeństwa Energetycznego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i Środowisko (BEIŚ).</w:t>
            </w:r>
          </w:p>
        </w:tc>
      </w:tr>
      <w:tr w:rsidR="005E7C40" w:rsidRPr="00081B7C" w:rsidTr="00AA34CA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Udział w postepowaniach mających na celu wydanie uzgodnienia stopnia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 xml:space="preserve">i zakresu szczegółowości prognozy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o oddziaływaniu na środowisko oraz postępowań mających na celu wydawanie opinii do projektów strategii, planów, programów oraz innych dokumentów wymagających przeprowadzenia strategicznej oceny na środowisko.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519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Zapewnienie ograniczania degradacji środowiska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naturalnego oraz powstrzymywanie utraty różnorodności biologicznej.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Liczba zarządzeń oraz rozporządzeń w sprawie ustanowienia planów zadań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ochronnych lub planów ochrony dla obszarów  Natura 2000 do łącznej liczby obszarów Natura 2000.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33/987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sz w:val="24"/>
                <w:szCs w:val="24"/>
              </w:rPr>
              <w:t>37/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Opracowanie planów zadań ochronnych dla obszarów Natura 2000.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 xml:space="preserve">i zrównoważonego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użytkowania różnorodności biologicznej wraz z Planem działań na lata 2015-2020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</w:tc>
      </w:tr>
      <w:tr w:rsidR="005E7C40" w:rsidRPr="00081B7C" w:rsidTr="00AA34CA">
        <w:trPr>
          <w:trHeight w:val="258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Ochrona prawna rezerwatów przyrody.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1255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Ochrona obszarów Natura 2000, rezerwatów, przyrody, siedlisk przyrodniczych i gatunków.</w:t>
            </w: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94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Efektywne orzekanie dla zapewnienia zachowania wartości przyrodniczych terenów cennych pod względem przyrodniczym oraz ochrona fauny i flory.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Liczba rozstrzygnięć administracyjnych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 xml:space="preserve">w danym roku do liczby spraw administracyjnych wszczętych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8845/9206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7000/7200</w:t>
            </w: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w rezerwatach przyrody.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i zrównoważonego użytkowania różnorodności biologicznej wraz z Planem działań na lata 2015-2020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</w:tc>
      </w:tr>
      <w:tr w:rsidR="005E7C40" w:rsidRPr="00081B7C" w:rsidTr="00AA34CA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Wnoszenie sprzeciwów / Wydawanie decyzji określających warunki prowadzenia działań.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913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w stosunku do gatunków chronionych.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Wydawanie uzgodnień decyzji zezwalających na wycinkę drzew rosnących w pasie drogowym drogi publicznej.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571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Wydawanie uzgodnień decyzji, planów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i studiów z zakresu zagospodarowania przestrzennego.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Uzgodnienia projektów uchwał JST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w sprawie utworzenia lub likwidacji form ochrony przyrody, zmiany granic lub obowiązujących zakazów.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185CD9">
        <w:trPr>
          <w:trHeight w:val="708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Zapobieganie zagrożeniom </w:t>
            </w: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w środowisku, usuwanie ich skutków oraz ustalanie warunków korzystania ze środowiska.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Liczba rozstrzygnięć administracyjnych dotyczących szkód w środowisku lub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historycznych zanieczyszczeń powierzchni ziemi w danym roku do liczby spraw administracyjnych dotyczących szkód w środowisku lub historycznych zanieczyszczeń powierzchni ziemi wszczętych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13/7</w:t>
            </w: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5E7C40" w:rsidRPr="00AA34CA" w:rsidRDefault="00A55154" w:rsidP="00AA34CA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AA34CA">
              <w:rPr>
                <w:rFonts w:cs="Calibri"/>
                <w:sz w:val="24"/>
                <w:szCs w:val="24"/>
              </w:rPr>
              <w:t>83/55</w:t>
            </w: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Prowadzenie postępowań administracyjnych w sprawie uzgodnienia bądź nałożenia obowiązku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przeprowadzenia działań zapobiegawczych lub naprawczych.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Strategia Bezpieczeństwa Energetycznego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</w: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i Środowisko (BEIŚ).</w:t>
            </w:r>
          </w:p>
        </w:tc>
      </w:tr>
      <w:tr w:rsidR="005E7C40" w:rsidRPr="00081B7C" w:rsidTr="00AA34CA">
        <w:trPr>
          <w:trHeight w:val="1013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Prowadzenie postępowań administracyjnych w sprawie ustalenia planu </w:t>
            </w:r>
            <w:proofErr w:type="spellStart"/>
            <w:r w:rsidRPr="00AA34CA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 historycznego zanieczyszczenia powierzchni ziemi lub nałożenia obowiązku przeprowadzenia </w:t>
            </w:r>
            <w:proofErr w:type="spellStart"/>
            <w:r w:rsidRPr="00AA34CA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Pr="00AA34C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566"/>
          <w:jc w:val="center"/>
        </w:trPr>
        <w:tc>
          <w:tcPr>
            <w:tcW w:w="567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Prowadzenie postępowań w sprawie wpisu do rejestru informacji o potencjalnym historycznym zanieczyszczeniu powierzchni ziemi oraz w sprawie wykreślenia wpisu z rejestru, jeżeli nie potwierdzono historycznego zanieczyszczenia powierzchni ziemi.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E7C40" w:rsidRPr="00081B7C" w:rsidTr="00AA34CA">
        <w:trPr>
          <w:trHeight w:val="844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Zapewnienie społeczeństwu dostępu do informacji o środowisku.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Stopień zrealizowanych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 xml:space="preserve">w terminie wniosków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 xml:space="preserve">o udostępnianie informacji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3964/3964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2870/2870</w:t>
            </w: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Udostępnianie na wn</w:t>
            </w:r>
            <w:r w:rsidR="00185CD9">
              <w:rPr>
                <w:rFonts w:cs="Calibri"/>
                <w:color w:val="000000"/>
                <w:sz w:val="24"/>
                <w:szCs w:val="24"/>
              </w:rPr>
              <w:t xml:space="preserve">iosek informacji </w:t>
            </w:r>
            <w:r w:rsidR="00185CD9">
              <w:rPr>
                <w:rFonts w:cs="Calibri"/>
                <w:color w:val="000000"/>
                <w:sz w:val="24"/>
                <w:szCs w:val="24"/>
              </w:rPr>
              <w:br/>
              <w:t xml:space="preserve">o środowisku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t>i jego ochronie oraz informacji publicznej.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i zrównoważonego użytkowania różnorodności biologicznej wraz z Planem działań na lata 2015-2020</w:t>
            </w:r>
            <w:r w:rsidRPr="00AA34CA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Strategia Sprawne Państwo 2020 w części dot. celów:</w:t>
            </w: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lastRenderedPageBreak/>
              <w:t>- otwarty rząd,</w:t>
            </w:r>
          </w:p>
          <w:p w:rsidR="005E7C40" w:rsidRPr="00AA34CA" w:rsidRDefault="005E7C40" w:rsidP="00AA34C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- efektywne świadczenie usług publicznych.</w:t>
            </w:r>
          </w:p>
        </w:tc>
      </w:tr>
      <w:tr w:rsidR="005E7C40" w:rsidRPr="00081B7C" w:rsidTr="00AA34CA">
        <w:trPr>
          <w:trHeight w:val="24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5E7C40" w:rsidRPr="00081B7C" w:rsidRDefault="005E7C40" w:rsidP="00081B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5E7C40" w:rsidRPr="00081B7C" w:rsidRDefault="005E7C40" w:rsidP="00081B7C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</w:rPr>
            </w:pPr>
          </w:p>
        </w:tc>
        <w:tc>
          <w:tcPr>
            <w:tcW w:w="3574" w:type="dxa"/>
            <w:vMerge/>
            <w:shd w:val="clear" w:color="auto" w:fill="auto"/>
            <w:vAlign w:val="center"/>
          </w:tcPr>
          <w:p w:rsidR="005E7C40" w:rsidRPr="00081B7C" w:rsidRDefault="005E7C40" w:rsidP="00081B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5E7C40" w:rsidRPr="00081B7C" w:rsidRDefault="005E7C40" w:rsidP="00081B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5E7C40" w:rsidRPr="00081B7C" w:rsidRDefault="005E7C40" w:rsidP="00081B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5E7C40" w:rsidRPr="00AA34CA" w:rsidRDefault="005E7C40" w:rsidP="00081B7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A34CA">
              <w:rPr>
                <w:rFonts w:cs="Calibri"/>
                <w:color w:val="000000"/>
                <w:sz w:val="24"/>
                <w:szCs w:val="24"/>
              </w:rPr>
              <w:t>Prowadzenie publi</w:t>
            </w:r>
            <w:r w:rsidR="00AA34CA">
              <w:rPr>
                <w:rFonts w:cs="Calibri"/>
                <w:color w:val="000000"/>
                <w:sz w:val="24"/>
                <w:szCs w:val="24"/>
              </w:rPr>
              <w:t xml:space="preserve">cznie dostępnego wykazu danych </w:t>
            </w:r>
            <w:r w:rsidR="00185CD9">
              <w:rPr>
                <w:rFonts w:cs="Calibri"/>
                <w:color w:val="000000"/>
                <w:sz w:val="24"/>
                <w:szCs w:val="24"/>
              </w:rPr>
              <w:t xml:space="preserve">o dokumentach </w:t>
            </w:r>
            <w:bookmarkStart w:id="0" w:name="_GoBack"/>
            <w:bookmarkEnd w:id="0"/>
            <w:r w:rsidRPr="00AA34CA">
              <w:rPr>
                <w:rFonts w:cs="Calibri"/>
                <w:color w:val="000000"/>
                <w:sz w:val="24"/>
                <w:szCs w:val="24"/>
              </w:rPr>
              <w:t>zawierających informacj</w:t>
            </w:r>
            <w:r w:rsidR="00AA34CA">
              <w:rPr>
                <w:rFonts w:cs="Calibri"/>
                <w:color w:val="000000"/>
                <w:sz w:val="24"/>
                <w:szCs w:val="24"/>
              </w:rPr>
              <w:t xml:space="preserve">e </w:t>
            </w:r>
            <w:r w:rsidR="00682F98" w:rsidRPr="00AA34CA">
              <w:rPr>
                <w:rFonts w:cs="Calibri"/>
                <w:color w:val="000000"/>
                <w:sz w:val="24"/>
                <w:szCs w:val="24"/>
              </w:rPr>
              <w:t>o środowisku i jego ochronie.</w:t>
            </w:r>
          </w:p>
        </w:tc>
        <w:tc>
          <w:tcPr>
            <w:tcW w:w="1985" w:type="dxa"/>
            <w:vMerge/>
            <w:shd w:val="clear" w:color="auto" w:fill="auto"/>
          </w:tcPr>
          <w:p w:rsidR="005E7C40" w:rsidRPr="00081B7C" w:rsidRDefault="005E7C40" w:rsidP="00081B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5E7C40" w:rsidRPr="00081B7C" w:rsidRDefault="005E7C40" w:rsidP="00081B7C">
      <w:pPr>
        <w:spacing w:after="0" w:line="240" w:lineRule="auto"/>
        <w:rPr>
          <w:rFonts w:cs="Calibri"/>
          <w:color w:val="000000"/>
        </w:rPr>
      </w:pPr>
    </w:p>
    <w:p w:rsidR="00F247D1" w:rsidRPr="00751E49" w:rsidRDefault="00F247D1" w:rsidP="00F247D1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F247D1" w:rsidRPr="00751E49" w:rsidRDefault="00F247D1" w:rsidP="00F247D1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F247D1" w:rsidRPr="00751E49" w:rsidRDefault="00F247D1" w:rsidP="00F247D1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5E7C40" w:rsidRPr="00F247D1" w:rsidRDefault="00F247D1" w:rsidP="00F247D1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5E7C40" w:rsidRPr="00081B7C" w:rsidRDefault="005E7C40" w:rsidP="005E7C40"/>
    <w:p w:rsidR="00AA4344" w:rsidRPr="00081B7C" w:rsidRDefault="00AA4344"/>
    <w:sectPr w:rsidR="00AA4344" w:rsidRPr="00081B7C" w:rsidSect="005E7C4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95" w:rsidRDefault="009E3095">
      <w:pPr>
        <w:spacing w:after="0" w:line="240" w:lineRule="auto"/>
      </w:pPr>
      <w:r>
        <w:separator/>
      </w:r>
    </w:p>
  </w:endnote>
  <w:endnote w:type="continuationSeparator" w:id="0">
    <w:p w:rsidR="009E3095" w:rsidRDefault="009E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40" w:rsidRDefault="005E7C40" w:rsidP="005E7C40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40" w:rsidRPr="00425F85" w:rsidRDefault="00127ED1" w:rsidP="005E7C40">
    <w:pPr>
      <w:pStyle w:val="Stopka"/>
      <w:tabs>
        <w:tab w:val="clear" w:pos="4536"/>
        <w:tab w:val="clear" w:pos="9072"/>
      </w:tabs>
      <w:ind w:hanging="426"/>
    </w:pPr>
    <w:r w:rsidRPr="0005536D">
      <w:rPr>
        <w:noProof/>
        <w:lang w:eastAsia="pl-PL"/>
      </w:rPr>
      <w:drawing>
        <wp:inline distT="0" distB="0" distL="0" distR="0">
          <wp:extent cx="5400675" cy="1009650"/>
          <wp:effectExtent l="0" t="0" r="0" b="0"/>
          <wp:docPr id="2" name="Obraz 1" descr="Adres Regionalnej Dyrekcji Ochrony Środowiska w Olsztynie wraz z logo systemu ekorządzania i audytu (EMAS)" title="Adres Regionalnej Dyrekcji Ochrony Środowiska w Olsztynie wraz z logo systemu ekorządzania i audytu (EMA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95" w:rsidRDefault="009E3095">
      <w:pPr>
        <w:spacing w:after="0" w:line="240" w:lineRule="auto"/>
      </w:pPr>
      <w:r>
        <w:separator/>
      </w:r>
    </w:p>
  </w:footnote>
  <w:footnote w:type="continuationSeparator" w:id="0">
    <w:p w:rsidR="009E3095" w:rsidRDefault="009E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40" w:rsidRDefault="005E7C40" w:rsidP="005E7C40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40" w:rsidRDefault="00127ED1" w:rsidP="005E7C40">
    <w:pPr>
      <w:pStyle w:val="Nagwek"/>
      <w:tabs>
        <w:tab w:val="clear" w:pos="4536"/>
        <w:tab w:val="clear" w:pos="9072"/>
      </w:tabs>
      <w:ind w:hanging="851"/>
    </w:pPr>
    <w:r w:rsidRPr="0005536D">
      <w:rPr>
        <w:noProof/>
        <w:lang w:eastAsia="pl-PL"/>
      </w:rPr>
      <w:drawing>
        <wp:inline distT="0" distB="0" distL="0" distR="0">
          <wp:extent cx="4914900" cy="942975"/>
          <wp:effectExtent l="0" t="0" r="0" b="9525"/>
          <wp:docPr id="1" name="Obraz 2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40"/>
    <w:rsid w:val="00071C01"/>
    <w:rsid w:val="00081B7C"/>
    <w:rsid w:val="00127ED1"/>
    <w:rsid w:val="00185CD9"/>
    <w:rsid w:val="002736B3"/>
    <w:rsid w:val="00431592"/>
    <w:rsid w:val="005E7C40"/>
    <w:rsid w:val="00682F98"/>
    <w:rsid w:val="007158DF"/>
    <w:rsid w:val="007F111E"/>
    <w:rsid w:val="009961FB"/>
    <w:rsid w:val="009C3ED3"/>
    <w:rsid w:val="009E3095"/>
    <w:rsid w:val="00A55154"/>
    <w:rsid w:val="00AA34CA"/>
    <w:rsid w:val="00AA4344"/>
    <w:rsid w:val="00D159F3"/>
    <w:rsid w:val="00F247D1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E8E967-02D3-4D79-BD0A-77558408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C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E7C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5E7C40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5E7C40"/>
    <w:pPr>
      <w:suppressAutoHyphens/>
      <w:ind w:left="720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7C40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4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7</cp:revision>
  <cp:lastPrinted>2019-09-05T09:03:00Z</cp:lastPrinted>
  <dcterms:created xsi:type="dcterms:W3CDTF">2021-02-05T07:50:00Z</dcterms:created>
  <dcterms:modified xsi:type="dcterms:W3CDTF">2021-02-05T09:48:00Z</dcterms:modified>
</cp:coreProperties>
</file>