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9E" w:rsidRDefault="00CD4232">
      <w:pPr>
        <w:tabs>
          <w:tab w:val="center" w:pos="1418"/>
        </w:tabs>
        <w:snapToGrid w:val="0"/>
        <w:spacing w:line="360" w:lineRule="auto"/>
        <w:ind w:right="15"/>
        <w:jc w:val="right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Łódź, </w:t>
      </w:r>
      <w:bookmarkStart w:id="1" w:name="ezdDataPodpisu"/>
      <w:r>
        <w:rPr>
          <w:rFonts w:ascii="Calibri" w:hAnsi="Calibri"/>
          <w:sz w:val="24"/>
          <w:szCs w:val="24"/>
        </w:rPr>
        <w:t>2</w:t>
      </w:r>
      <w:bookmarkEnd w:id="1"/>
      <w:r>
        <w:rPr>
          <w:rFonts w:ascii="Calibri" w:hAnsi="Calibri"/>
          <w:sz w:val="24"/>
          <w:szCs w:val="24"/>
        </w:rPr>
        <w:t xml:space="preserve"> sierpnia 2023 r.</w:t>
      </w:r>
    </w:p>
    <w:p w:rsidR="0099329E" w:rsidRDefault="00CD4232">
      <w:pPr>
        <w:tabs>
          <w:tab w:val="center" w:pos="1418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bookmarkStart w:id="2" w:name="ezdSprawaZnak"/>
      <w:r>
        <w:rPr>
          <w:rFonts w:ascii="Calibri" w:hAnsi="Calibri"/>
          <w:sz w:val="24"/>
          <w:szCs w:val="24"/>
        </w:rPr>
        <w:t>GPB-II.7840.114.2023</w:t>
      </w:r>
      <w:bookmarkEnd w:id="2"/>
    </w:p>
    <w:p w:rsidR="0099329E" w:rsidRDefault="00CD4232">
      <w:pPr>
        <w:tabs>
          <w:tab w:val="center" w:pos="1418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(HJ)</w:t>
      </w:r>
    </w:p>
    <w:p w:rsidR="0099329E" w:rsidRDefault="00CD4232">
      <w:pPr>
        <w:spacing w:before="240" w:line="360" w:lineRule="auto"/>
        <w:ind w:left="2829" w:firstLine="573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kern w:val="0"/>
          <w:sz w:val="24"/>
          <w:szCs w:val="24"/>
        </w:rPr>
        <w:t>DECYZJA Nr  174 / 23</w:t>
      </w:r>
    </w:p>
    <w:p w:rsidR="0099329E" w:rsidRDefault="00CD4232">
      <w:pPr>
        <w:spacing w:before="283" w:after="283" w:line="360" w:lineRule="auto"/>
      </w:pPr>
      <w:r>
        <w:rPr>
          <w:rFonts w:ascii="Calibri" w:hAnsi="Calibri"/>
          <w:kern w:val="0"/>
          <w:sz w:val="24"/>
          <w:szCs w:val="24"/>
        </w:rPr>
        <w:tab/>
        <w:t>Na podstawie art. 28, art. 33 ust. 1, art. 34 ust. 4 i art. 36 ustawy z dnia 7 lipca 1994 r. – Prawo budowlane (</w:t>
      </w:r>
      <w:hyperlink r:id="rId7">
        <w:r>
          <w:rPr>
            <w:rStyle w:val="czeinternetowe"/>
            <w:rFonts w:ascii="Calibri" w:hAnsi="Calibri"/>
            <w:color w:val="auto"/>
            <w:kern w:val="0"/>
            <w:sz w:val="24"/>
            <w:szCs w:val="24"/>
            <w:u w:val="none"/>
          </w:rPr>
          <w:t xml:space="preserve">t.j. Dz.U. z 2023 r. poz. </w:t>
        </w:r>
      </w:hyperlink>
      <w:r>
        <w:rPr>
          <w:rFonts w:ascii="Calibri" w:hAnsi="Calibri"/>
          <w:kern w:val="0"/>
          <w:sz w:val="24"/>
          <w:szCs w:val="24"/>
        </w:rPr>
        <w:t>682, ze zm.) oraz na podstawie art. 104 i art. 108 § 1 ustawy z dnia 14 czerwca 1960 r. – Kodeks postępowania administracyjnego (t.j. Dz. </w:t>
      </w:r>
      <w:r>
        <w:rPr>
          <w:rFonts w:ascii="Calibri" w:hAnsi="Calibri"/>
          <w:kern w:val="0"/>
          <w:sz w:val="24"/>
          <w:szCs w:val="24"/>
        </w:rPr>
        <w:t xml:space="preserve">U. z 2023 r. poz. 775, ze zm.), zwanej dalej </w:t>
      </w:r>
      <w:r>
        <w:rPr>
          <w:rFonts w:ascii="Calibri" w:hAnsi="Calibri"/>
          <w:i/>
          <w:kern w:val="0"/>
          <w:sz w:val="24"/>
          <w:szCs w:val="24"/>
        </w:rPr>
        <w:t>kpa</w:t>
      </w:r>
      <w:r>
        <w:rPr>
          <w:rFonts w:ascii="Calibri" w:hAnsi="Calibri"/>
          <w:kern w:val="0"/>
          <w:sz w:val="24"/>
          <w:szCs w:val="24"/>
        </w:rPr>
        <w:t>, po rozpatrzeniu wniosku o pozwolenie na budowę z 21.06.2023 r.,</w:t>
      </w:r>
    </w:p>
    <w:p w:rsidR="0099329E" w:rsidRDefault="00CD4232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kern w:val="0"/>
          <w:sz w:val="24"/>
          <w:szCs w:val="24"/>
        </w:rPr>
        <w:t xml:space="preserve">zatwierdzam projekt zagospodarowania terenu </w:t>
      </w:r>
    </w:p>
    <w:p w:rsidR="0099329E" w:rsidRDefault="00CD4232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kern w:val="0"/>
          <w:sz w:val="24"/>
          <w:szCs w:val="24"/>
        </w:rPr>
        <w:t>i udzielam pozwolenia na budowę</w:t>
      </w:r>
    </w:p>
    <w:p w:rsidR="0099329E" w:rsidRDefault="00CD4232">
      <w:pPr>
        <w:spacing w:before="120" w:after="120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kern w:val="0"/>
          <w:sz w:val="24"/>
          <w:szCs w:val="24"/>
        </w:rPr>
        <w:t>dla</w:t>
      </w:r>
    </w:p>
    <w:p w:rsidR="0099329E" w:rsidRDefault="00CD4232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PKP Polskie Linie Kolejowe S.A.</w:t>
      </w:r>
    </w:p>
    <w:p w:rsidR="0099329E" w:rsidRDefault="00CD4232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z siedzibą przy ul. Targowej </w:t>
      </w:r>
      <w:r>
        <w:rPr>
          <w:rFonts w:ascii="Calibri" w:hAnsi="Calibri"/>
          <w:b/>
          <w:sz w:val="24"/>
          <w:szCs w:val="24"/>
        </w:rPr>
        <w:t>74 w Warszawie</w:t>
      </w:r>
    </w:p>
    <w:p w:rsidR="0099329E" w:rsidRDefault="00CD4232">
      <w:pPr>
        <w:tabs>
          <w:tab w:val="left" w:pos="0"/>
        </w:tabs>
        <w:spacing w:before="120" w:after="120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kern w:val="0"/>
          <w:sz w:val="24"/>
          <w:szCs w:val="24"/>
        </w:rPr>
        <w:t>obejmującego:</w:t>
      </w:r>
    </w:p>
    <w:p w:rsidR="0099329E" w:rsidRDefault="00CD4232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000000"/>
          <w:kern w:val="0"/>
          <w:sz w:val="24"/>
          <w:szCs w:val="24"/>
          <w:lang w:eastAsia="pl-PL"/>
        </w:rPr>
        <w:t xml:space="preserve">budowę </w:t>
      </w:r>
      <w:bookmarkStart w:id="3" w:name="__DdeLink__1612_3083269091"/>
      <w:r>
        <w:rPr>
          <w:rFonts w:ascii="Calibri" w:hAnsi="Calibri"/>
          <w:b/>
          <w:bCs/>
          <w:color w:val="000000"/>
          <w:kern w:val="0"/>
          <w:sz w:val="24"/>
          <w:szCs w:val="24"/>
          <w:lang w:eastAsia="pl-PL"/>
        </w:rPr>
        <w:t>ekranów akustycznych w ramach zadania pn.: „LOT D – Prace na liniach kolejowych Nr 131, 542, 739 na odcinku Rusiec Łódzki (km 137,500) Zduńska Wola Karsznice (km 170,212) w ramach projektu POIiŚ 5.1-14” na nieruchomościa</w:t>
      </w:r>
      <w:r>
        <w:rPr>
          <w:rFonts w:ascii="Calibri" w:hAnsi="Calibri"/>
          <w:b/>
          <w:bCs/>
          <w:color w:val="000000"/>
          <w:kern w:val="0"/>
          <w:sz w:val="24"/>
          <w:szCs w:val="24"/>
          <w:lang w:eastAsia="pl-PL"/>
        </w:rPr>
        <w:t>ch położonych w gminie Rusiec, pow. bełchatowski, w gminach</w:t>
      </w:r>
      <w:bookmarkStart w:id="4" w:name="_GoBack2"/>
      <w:bookmarkEnd w:id="4"/>
      <w:r>
        <w:rPr>
          <w:rFonts w:ascii="Calibri" w:hAnsi="Calibri"/>
          <w:b/>
          <w:bCs/>
          <w:color w:val="000000"/>
          <w:kern w:val="0"/>
          <w:sz w:val="24"/>
          <w:szCs w:val="24"/>
          <w:lang w:eastAsia="pl-PL"/>
        </w:rPr>
        <w:t xml:space="preserve"> Widawa i Sędziejowice, pow. łaski oraz na terenie Miasta Zduńska Wola, pow. zduńskowolski</w:t>
      </w:r>
      <w:bookmarkEnd w:id="3"/>
      <w:r>
        <w:rPr>
          <w:rFonts w:ascii="Calibri" w:hAnsi="Calibri"/>
          <w:b/>
          <w:bCs/>
          <w:color w:val="000000"/>
          <w:kern w:val="0"/>
          <w:sz w:val="24"/>
          <w:szCs w:val="24"/>
          <w:lang w:eastAsia="pl-PL"/>
        </w:rPr>
        <w:t>;</w:t>
      </w:r>
    </w:p>
    <w:p w:rsidR="0099329E" w:rsidRDefault="00CD4232">
      <w:pPr>
        <w:spacing w:before="12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>według projektu zagospodarowania terenu i projektu architektoniczno-budowlanego, który opracowali:</w:t>
      </w:r>
    </w:p>
    <w:p w:rsidR="0099329E" w:rsidRDefault="00CD4232">
      <w:pPr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>mgr in</w:t>
      </w: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 xml:space="preserve">ż. Łukasz Wojciechowski, posiadający uprawnienia budowlane nr 185/DOŚ/09 do projektowania bez ograniczeń w </w:t>
      </w: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lastRenderedPageBreak/>
        <w:t>specjalności kolejowej, wpisany na listę członków Dolnośląskiej Okręgowej Izby Inżynierów Budownictwa pod numerem ewidencyjnym DOŚ/BM/0513/06,</w:t>
      </w:r>
    </w:p>
    <w:p w:rsidR="0099329E" w:rsidRDefault="00CD4232">
      <w:pPr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>mgr in</w:t>
      </w: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>ż. Jan Olejnik, posiadający uprawnienia budowlane nr 7/03/WŁ do projektowania bez ograniczeń w specjalności linie, węzły i stacje kolejowe, wpisany na listę członków Dolnośląskiej Okręgowej Izby Inżynierów Budownictwa pod numerem ewidencyjnym DOŚ/BK/0939/0</w:t>
      </w: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>4,</w:t>
      </w:r>
    </w:p>
    <w:p w:rsidR="0099329E" w:rsidRDefault="00CD4232">
      <w:pPr>
        <w:suppressAutoHyphens w:val="0"/>
        <w:spacing w:before="10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kern w:val="0"/>
          <w:sz w:val="24"/>
          <w:szCs w:val="24"/>
        </w:rPr>
        <w:t>z zachowaniem następujących warunków:</w:t>
      </w:r>
      <w:r>
        <w:rPr>
          <w:rFonts w:ascii="Calibri" w:hAnsi="Calibri"/>
          <w:sz w:val="24"/>
          <w:szCs w:val="24"/>
        </w:rPr>
        <w:t xml:space="preserve"> </w:t>
      </w:r>
    </w:p>
    <w:p w:rsidR="0099329E" w:rsidRDefault="00CD4232">
      <w:pPr>
        <w:numPr>
          <w:ilvl w:val="0"/>
          <w:numId w:val="9"/>
        </w:numPr>
        <w:suppressAutoHyphens w:val="0"/>
        <w:spacing w:before="100" w:line="360" w:lineRule="auto"/>
        <w:ind w:left="567" w:hanging="3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 xml:space="preserve">Szczególne </w:t>
      </w:r>
      <w:r>
        <w:rPr>
          <w:rFonts w:ascii="Calibri" w:eastAsia="NSimSun" w:hAnsi="Calibri"/>
          <w:color w:val="000000"/>
          <w:sz w:val="24"/>
          <w:szCs w:val="24"/>
          <w:u w:val="single"/>
        </w:rPr>
        <w:t>warunki zabezpieczenia terenu budowy i prowadzenia robót budowlanych:</w:t>
      </w:r>
    </w:p>
    <w:p w:rsidR="0099329E" w:rsidRDefault="00CD4232">
      <w:pPr>
        <w:widowControl w:val="0"/>
        <w:numPr>
          <w:ilvl w:val="0"/>
          <w:numId w:val="2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kern w:val="0"/>
          <w:sz w:val="24"/>
          <w:szCs w:val="24"/>
          <w:lang w:eastAsia="pl-PL"/>
        </w:rPr>
        <w:t xml:space="preserve">budowę (roboty budowlane) można rozpocząć jedynie na podstawie decyzji o pozwoleniu na budowę (zgodnie z art. 28 ustawy – Prawo </w:t>
      </w:r>
      <w:r>
        <w:rPr>
          <w:rFonts w:ascii="Calibri" w:hAnsi="Calibri"/>
          <w:kern w:val="0"/>
          <w:sz w:val="24"/>
          <w:szCs w:val="24"/>
          <w:lang w:eastAsia="pl-PL"/>
        </w:rPr>
        <w:t>budowlane);</w:t>
      </w:r>
    </w:p>
    <w:p w:rsidR="0099329E" w:rsidRDefault="00CD4232">
      <w:pPr>
        <w:widowControl w:val="0"/>
        <w:numPr>
          <w:ilvl w:val="0"/>
          <w:numId w:val="2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kern w:val="0"/>
          <w:sz w:val="24"/>
          <w:szCs w:val="24"/>
          <w:lang w:eastAsia="pl-PL"/>
        </w:rPr>
        <w:lastRenderedPageBreak/>
        <w:t>budowę należy prowadzić zgodnie z zatwierdzonym projektem budowlanym, obowiązującymi przepisami oraz sztuką budowlaną;</w:t>
      </w:r>
    </w:p>
    <w:p w:rsidR="0099329E" w:rsidRDefault="00CD4232">
      <w:pPr>
        <w:widowControl w:val="0"/>
        <w:numPr>
          <w:ilvl w:val="0"/>
          <w:numId w:val="2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kern w:val="0"/>
          <w:sz w:val="24"/>
          <w:szCs w:val="24"/>
          <w:lang w:eastAsia="pl-PL"/>
        </w:rPr>
        <w:t>należy spełnić wymagania określone w uzgodnieniach, opiniach branżowych, postanowieniach i decyzjach wynikających z przepisów</w:t>
      </w:r>
      <w:r>
        <w:rPr>
          <w:rFonts w:ascii="Calibri" w:hAnsi="Calibri"/>
          <w:kern w:val="0"/>
          <w:sz w:val="24"/>
          <w:szCs w:val="24"/>
          <w:lang w:eastAsia="pl-PL"/>
        </w:rPr>
        <w:t xml:space="preserve"> szczególnych;</w:t>
      </w:r>
    </w:p>
    <w:p w:rsidR="0099329E" w:rsidRDefault="00CD4232">
      <w:pPr>
        <w:widowControl w:val="0"/>
        <w:numPr>
          <w:ilvl w:val="0"/>
          <w:numId w:val="2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kern w:val="0"/>
          <w:sz w:val="24"/>
          <w:szCs w:val="24"/>
          <w:lang w:eastAsia="pl-PL"/>
        </w:rPr>
        <w:t>budowę należy prowadzić przestrzegając obowiązujących przepisów dotyczących bezpieczeństwa i higieny pracy;</w:t>
      </w:r>
    </w:p>
    <w:p w:rsidR="0099329E" w:rsidRDefault="00CD4232">
      <w:pPr>
        <w:widowControl w:val="0"/>
        <w:numPr>
          <w:ilvl w:val="0"/>
          <w:numId w:val="2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kern w:val="0"/>
          <w:sz w:val="24"/>
          <w:szCs w:val="24"/>
          <w:lang w:eastAsia="pl-PL"/>
        </w:rPr>
        <w:t>w czasie wykonywania robót budowlanych należy przestrzegać praw osób trzecich;</w:t>
      </w:r>
    </w:p>
    <w:p w:rsidR="0099329E" w:rsidRDefault="00CD4232">
      <w:pPr>
        <w:widowControl w:val="0"/>
        <w:numPr>
          <w:ilvl w:val="0"/>
          <w:numId w:val="2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>kierownik budowy (robót) jest obowiązany prowadzić dzi</w:t>
      </w: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>ennik budowy oraz odpowiednio zabezpieczyć teren budowy;</w:t>
      </w:r>
    </w:p>
    <w:p w:rsidR="0099329E" w:rsidRDefault="00CD4232">
      <w:pPr>
        <w:widowControl w:val="0"/>
        <w:numPr>
          <w:ilvl w:val="0"/>
          <w:numId w:val="10"/>
        </w:numPr>
        <w:spacing w:before="283" w:after="283" w:line="360" w:lineRule="auto"/>
        <w:rPr>
          <w:u w:val="single"/>
        </w:rPr>
      </w:pPr>
      <w:r>
        <w:rPr>
          <w:rFonts w:ascii="Calibri" w:hAnsi="Calibri"/>
          <w:color w:val="000000"/>
          <w:kern w:val="0"/>
          <w:sz w:val="24"/>
          <w:szCs w:val="24"/>
          <w:u w:val="single"/>
          <w:lang w:eastAsia="pl-PL"/>
        </w:rPr>
        <w:t>Szczegółowe warunki w zakresie ochrony środowiska:</w:t>
      </w:r>
    </w:p>
    <w:p w:rsidR="0099329E" w:rsidRDefault="00CD4232">
      <w:pPr>
        <w:widowControl w:val="0"/>
        <w:spacing w:line="360" w:lineRule="auto"/>
        <w:ind w:left="284"/>
        <w:rPr>
          <w:rFonts w:ascii="Calibri" w:hAnsi="Calibri"/>
          <w:sz w:val="24"/>
          <w:szCs w:val="24"/>
        </w:rPr>
      </w:pPr>
      <w:r>
        <w:rPr>
          <w:rFonts w:ascii="Calibri" w:eastAsia="NSimSun" w:hAnsi="Calibri"/>
          <w:color w:val="000000"/>
          <w:kern w:val="0"/>
          <w:sz w:val="24"/>
          <w:szCs w:val="24"/>
          <w:lang w:eastAsia="pl-PL"/>
        </w:rPr>
        <w:lastRenderedPageBreak/>
        <w:t>Podczas realizacji i eksploatacji inwestycji należy zachować warunki określone w ostatecznej decyzji Regionalnego Dyrektora Ochrony Środowiska w Łod</w:t>
      </w:r>
      <w:r>
        <w:rPr>
          <w:rFonts w:ascii="Calibri" w:eastAsia="NSimSun" w:hAnsi="Calibri"/>
          <w:color w:val="000000"/>
          <w:kern w:val="0"/>
          <w:sz w:val="24"/>
          <w:szCs w:val="24"/>
          <w:lang w:eastAsia="pl-PL"/>
        </w:rPr>
        <w:t xml:space="preserve">zi (zwanego dalej </w:t>
      </w:r>
      <w:r>
        <w:rPr>
          <w:rFonts w:ascii="Calibri" w:eastAsia="NSimSun" w:hAnsi="Calibri"/>
          <w:i/>
          <w:iCs/>
          <w:color w:val="000000"/>
          <w:kern w:val="0"/>
          <w:sz w:val="24"/>
          <w:szCs w:val="24"/>
          <w:lang w:eastAsia="pl-PL"/>
        </w:rPr>
        <w:t>RDOŚ w Łodzi</w:t>
      </w:r>
      <w:r>
        <w:rPr>
          <w:rFonts w:ascii="Calibri" w:eastAsia="NSimSun" w:hAnsi="Calibri"/>
          <w:color w:val="000000"/>
          <w:kern w:val="0"/>
          <w:sz w:val="24"/>
          <w:szCs w:val="24"/>
          <w:lang w:eastAsia="pl-PL"/>
        </w:rPr>
        <w:t xml:space="preserve">) z dnia 25.05.2018 r. Nr 34/2018 o środowiskowych uwarunkowaniach, zmienionej ostateczną decyzją </w:t>
      </w:r>
      <w:r>
        <w:rPr>
          <w:rFonts w:ascii="Calibri" w:eastAsia="NSimSun" w:hAnsi="Calibri"/>
          <w:i/>
          <w:iCs/>
          <w:color w:val="000000"/>
          <w:kern w:val="0"/>
          <w:sz w:val="24"/>
          <w:szCs w:val="24"/>
          <w:lang w:eastAsia="pl-PL"/>
        </w:rPr>
        <w:t>RDOŚ w Łodzi</w:t>
      </w:r>
      <w:r>
        <w:rPr>
          <w:rFonts w:ascii="Calibri" w:eastAsia="NSimSun" w:hAnsi="Calibri"/>
          <w:color w:val="000000"/>
          <w:kern w:val="0"/>
          <w:sz w:val="24"/>
          <w:szCs w:val="24"/>
          <w:lang w:eastAsia="pl-PL"/>
        </w:rPr>
        <w:t xml:space="preserve"> z dnia 24.06.2022 r. Nr 15/2022, </w:t>
      </w:r>
      <w:r>
        <w:rPr>
          <w:rFonts w:ascii="Calibri" w:eastAsia="NSimSun" w:hAnsi="Calibri"/>
          <w:iCs/>
          <w:color w:val="000000"/>
          <w:kern w:val="0"/>
          <w:sz w:val="24"/>
          <w:szCs w:val="24"/>
          <w:lang w:eastAsia="pl-PL"/>
        </w:rPr>
        <w:t xml:space="preserve">która została sprostowana w zakresie oczywistej omyłki postanowieniem </w:t>
      </w:r>
      <w:r>
        <w:rPr>
          <w:rFonts w:ascii="Calibri" w:eastAsia="NSimSun" w:hAnsi="Calibri"/>
          <w:i/>
          <w:iCs/>
          <w:color w:val="000000"/>
          <w:kern w:val="0"/>
          <w:sz w:val="24"/>
          <w:szCs w:val="24"/>
          <w:lang w:eastAsia="pl-PL"/>
        </w:rPr>
        <w:t>RDOŚ w Łodzi</w:t>
      </w:r>
      <w:r>
        <w:rPr>
          <w:rFonts w:ascii="Calibri" w:eastAsia="NSimSun" w:hAnsi="Calibri"/>
          <w:color w:val="000000"/>
          <w:kern w:val="0"/>
          <w:sz w:val="24"/>
          <w:szCs w:val="24"/>
          <w:lang w:eastAsia="pl-PL"/>
        </w:rPr>
        <w:t xml:space="preserve"> z dnia 27.02.2023 r.;</w:t>
      </w:r>
    </w:p>
    <w:p w:rsidR="0099329E" w:rsidRDefault="00CD4232">
      <w:pPr>
        <w:widowControl w:val="0"/>
        <w:suppressAutoHyphens w:val="0"/>
        <w:spacing w:before="283" w:after="283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000000"/>
          <w:kern w:val="0"/>
          <w:sz w:val="24"/>
          <w:szCs w:val="24"/>
        </w:rPr>
        <w:t>- zgodnie z art. 36 ust. 1 pkt 1-4 oraz art. 42 ust. 3 ustawy z dnia 7 lipca 1994 r. – Prawo budowlane.</w:t>
      </w:r>
    </w:p>
    <w:p w:rsidR="0099329E" w:rsidRDefault="00CD4232">
      <w:pPr>
        <w:pStyle w:val="Tekstpodstawowy"/>
        <w:spacing w:before="120" w:after="20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 w:cs="Times New Roman"/>
          <w:b/>
          <w:bCs/>
          <w:i w:val="0"/>
          <w:kern w:val="0"/>
          <w:sz w:val="24"/>
          <w:szCs w:val="24"/>
        </w:rPr>
        <w:t xml:space="preserve">Na podstawie art. 108 § 1 ustawy z dnia 14 czerwca 1960 r. - Kodeks postępowania administracyjnego, z uwagi na interes społeczny </w:t>
      </w:r>
      <w:r>
        <w:rPr>
          <w:rFonts w:ascii="Calibri" w:hAnsi="Calibri" w:cs="Times New Roman"/>
          <w:b/>
          <w:bCs/>
          <w:i w:val="0"/>
          <w:kern w:val="0"/>
          <w:sz w:val="24"/>
          <w:szCs w:val="24"/>
        </w:rPr>
        <w:t xml:space="preserve">i wyjątkowo ważny interes strony, decyzji niniejszej nadaję rygor natychmiastowej wykonalności. </w:t>
      </w:r>
    </w:p>
    <w:p w:rsidR="0099329E" w:rsidRDefault="00CD4232">
      <w:pPr>
        <w:suppressAutoHyphens w:val="0"/>
        <w:spacing w:before="120" w:after="200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kern w:val="0"/>
          <w:sz w:val="24"/>
          <w:szCs w:val="24"/>
        </w:rPr>
        <w:lastRenderedPageBreak/>
        <w:t>UZASADNIENIE</w:t>
      </w:r>
    </w:p>
    <w:p w:rsidR="0099329E" w:rsidRDefault="00CD4232">
      <w:pPr>
        <w:spacing w:after="283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kern w:val="0"/>
          <w:sz w:val="24"/>
          <w:szCs w:val="24"/>
        </w:rPr>
        <w:tab/>
      </w:r>
      <w:r>
        <w:rPr>
          <w:rFonts w:ascii="Calibri" w:hAnsi="Calibri"/>
          <w:kern w:val="0"/>
          <w:sz w:val="24"/>
          <w:szCs w:val="24"/>
        </w:rPr>
        <w:t xml:space="preserve">W dniu 21.06.2023 r. do Wojewody Łódzkiego wpłynął wniosek inwestora, reprezentowanego przez pełnomocnika, w sprawie wydania pozwolenia na budowę przedmiotowej inwestycji. </w:t>
      </w:r>
    </w:p>
    <w:p w:rsidR="0099329E" w:rsidRDefault="00CD4232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 xml:space="preserve">Do wniosku dołączono m.in.: </w:t>
      </w:r>
    </w:p>
    <w:p w:rsidR="0099329E" w:rsidRDefault="00CD4232">
      <w:pPr>
        <w:pStyle w:val="Akapitzlist"/>
        <w:widowControl w:val="0"/>
        <w:numPr>
          <w:ilvl w:val="0"/>
          <w:numId w:val="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>trzy egzemplarze projektu zagospodarowania terenu wraz</w:t>
      </w: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 xml:space="preserve"> z opiniami, uzgodnieniami, pozwoleniami i innymi dokumentami wymaganymi przepisami szczególnymi oraz zaświadczeniem, o którym mowa w art. 12 ust. 7 ustawy – Prawo budowlane,</w:t>
      </w:r>
    </w:p>
    <w:p w:rsidR="0099329E" w:rsidRDefault="00CD4232">
      <w:pPr>
        <w:widowControl w:val="0"/>
        <w:numPr>
          <w:ilvl w:val="0"/>
          <w:numId w:val="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 xml:space="preserve">oświadczenie o posiadanym prawie do dysponowania nieruchomością na cele </w:t>
      </w:r>
      <w:r>
        <w:rPr>
          <w:rFonts w:ascii="Calibri" w:hAnsi="Calibri"/>
          <w:kern w:val="0"/>
          <w:sz w:val="24"/>
          <w:szCs w:val="24"/>
          <w:lang w:eastAsia="pl-PL"/>
        </w:rPr>
        <w:t>budowlane,</w:t>
      </w:r>
    </w:p>
    <w:p w:rsidR="0099329E" w:rsidRDefault="00CD4232">
      <w:pPr>
        <w:widowControl w:val="0"/>
        <w:numPr>
          <w:ilvl w:val="0"/>
          <w:numId w:val="3"/>
        </w:numPr>
        <w:spacing w:line="360" w:lineRule="auto"/>
        <w:rPr>
          <w:rFonts w:ascii="Calibri" w:hAnsi="Calibri"/>
          <w:sz w:val="24"/>
          <w:szCs w:val="24"/>
        </w:rPr>
      </w:pPr>
      <w:bookmarkStart w:id="5" w:name="_GoBack11"/>
      <w:bookmarkEnd w:id="5"/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 xml:space="preserve">decyzję </w:t>
      </w:r>
      <w:r>
        <w:rPr>
          <w:rFonts w:ascii="Calibri" w:hAnsi="Calibri"/>
          <w:i/>
          <w:iCs/>
          <w:color w:val="000000"/>
          <w:kern w:val="0"/>
          <w:sz w:val="24"/>
          <w:szCs w:val="24"/>
          <w:lang w:eastAsia="pl-PL"/>
        </w:rPr>
        <w:t>RDOŚ w Łodzi</w:t>
      </w: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 xml:space="preserve">, Nr 34/2018 z 25.05.2018 r., o środowiskowych uwarunkowaniach, znak WOŚ.420.71.2018.JCh.10, wraz z poświadczeniem jej </w:t>
      </w: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lastRenderedPageBreak/>
        <w:t>ostateczności;</w:t>
      </w:r>
    </w:p>
    <w:p w:rsidR="0099329E" w:rsidRDefault="00CD4232">
      <w:pPr>
        <w:widowControl w:val="0"/>
        <w:numPr>
          <w:ilvl w:val="0"/>
          <w:numId w:val="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 xml:space="preserve">decyzję </w:t>
      </w:r>
      <w:r>
        <w:rPr>
          <w:rFonts w:ascii="Calibri" w:hAnsi="Calibri"/>
          <w:i/>
          <w:iCs/>
          <w:color w:val="000000"/>
          <w:kern w:val="0"/>
          <w:sz w:val="24"/>
          <w:szCs w:val="24"/>
          <w:lang w:eastAsia="pl-PL"/>
        </w:rPr>
        <w:t>RDOŚ w Łodzi</w:t>
      </w: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 xml:space="preserve"> Nr 15/2022 z 24.06.2022 r., znak: WOOŚ.420.28.2020.ZŻł.51, zmieniającą</w:t>
      </w: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 xml:space="preserve"> decyzję </w:t>
      </w:r>
      <w:r>
        <w:rPr>
          <w:rFonts w:ascii="Calibri" w:hAnsi="Calibri"/>
          <w:i/>
          <w:iCs/>
          <w:color w:val="000000"/>
          <w:kern w:val="0"/>
          <w:sz w:val="24"/>
          <w:szCs w:val="24"/>
          <w:lang w:eastAsia="pl-PL"/>
        </w:rPr>
        <w:t>RDOŚ w Łodzi</w:t>
      </w: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 xml:space="preserve"> Nr 34/2018 z 25.05.2018 r., o środowiskowych uwarunkowaniach, znak WOŚ.420.71.2018.JCh.10, wraz z poświadczeniem jej ostateczności;</w:t>
      </w:r>
    </w:p>
    <w:p w:rsidR="0099329E" w:rsidRDefault="00CD4232">
      <w:pPr>
        <w:widowControl w:val="0"/>
        <w:numPr>
          <w:ilvl w:val="0"/>
          <w:numId w:val="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 xml:space="preserve">postanowienie  </w:t>
      </w:r>
      <w:r>
        <w:rPr>
          <w:rFonts w:ascii="Calibri" w:hAnsi="Calibri"/>
          <w:i/>
          <w:iCs/>
          <w:color w:val="000000"/>
          <w:kern w:val="0"/>
          <w:sz w:val="24"/>
          <w:szCs w:val="24"/>
          <w:lang w:eastAsia="pl-PL"/>
        </w:rPr>
        <w:t>RDOŚ w Łodzi</w:t>
      </w: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 xml:space="preserve"> z dnia 27.02.2023 r., znak: WOOŚ.420.28.2020.ZŻł.58, prostujące oczywistą </w:t>
      </w: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 xml:space="preserve">omyłkę w decyzji </w:t>
      </w:r>
      <w:r>
        <w:rPr>
          <w:rFonts w:ascii="Calibri" w:hAnsi="Calibri"/>
          <w:i/>
          <w:iCs/>
          <w:color w:val="000000"/>
          <w:kern w:val="0"/>
          <w:sz w:val="24"/>
          <w:szCs w:val="24"/>
          <w:lang w:eastAsia="pl-PL"/>
        </w:rPr>
        <w:t xml:space="preserve">RDOŚ w Łodzi  </w:t>
      </w: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>Nr 15/2022 z 24.06.2022 r., znak: WOOŚ.420.28.2020.ZŻł.51.</w:t>
      </w:r>
    </w:p>
    <w:p w:rsidR="0099329E" w:rsidRDefault="0099329E">
      <w:pPr>
        <w:widowControl w:val="0"/>
        <w:spacing w:line="360" w:lineRule="auto"/>
        <w:ind w:firstLine="709"/>
        <w:rPr>
          <w:rFonts w:ascii="Calibri" w:hAnsi="Calibri"/>
          <w:iCs/>
          <w:color w:val="000000"/>
          <w:kern w:val="0"/>
          <w:sz w:val="24"/>
          <w:szCs w:val="24"/>
          <w:lang w:eastAsia="pl-PL"/>
        </w:rPr>
      </w:pPr>
    </w:p>
    <w:p w:rsidR="0099329E" w:rsidRDefault="00CD4232">
      <w:pPr>
        <w:widowControl w:val="0"/>
        <w:spacing w:line="360" w:lineRule="auto"/>
        <w:ind w:firstLine="709"/>
        <w:rPr>
          <w:rFonts w:ascii="Calibri" w:hAnsi="Calibri"/>
          <w:sz w:val="24"/>
          <w:szCs w:val="24"/>
        </w:rPr>
      </w:pPr>
      <w:r>
        <w:rPr>
          <w:rFonts w:ascii="Calibri" w:hAnsi="Calibri"/>
          <w:iCs/>
          <w:color w:val="000000"/>
          <w:kern w:val="0"/>
          <w:sz w:val="24"/>
          <w:szCs w:val="24"/>
          <w:lang w:eastAsia="pl-PL"/>
        </w:rPr>
        <w:t>Ekrany akustyczne, objęte przedmiotowym postępowaniem, realizowane będą w ramach inwestycji pn.: „LOT D – Prace na liniach kolejowych Nr 131, 542, 739 na odcinku Rus</w:t>
      </w:r>
      <w:r>
        <w:rPr>
          <w:rFonts w:ascii="Calibri" w:hAnsi="Calibri"/>
          <w:iCs/>
          <w:color w:val="000000"/>
          <w:kern w:val="0"/>
          <w:sz w:val="24"/>
          <w:szCs w:val="24"/>
          <w:lang w:eastAsia="pl-PL"/>
        </w:rPr>
        <w:t xml:space="preserve">iec Łódzki (km 137,500) </w:t>
      </w:r>
      <w:r>
        <w:rPr>
          <w:rFonts w:ascii="Calibri" w:hAnsi="Calibri"/>
          <w:iCs/>
          <w:color w:val="000000"/>
          <w:kern w:val="0"/>
          <w:sz w:val="24"/>
          <w:szCs w:val="24"/>
          <w:lang w:eastAsia="pl-PL"/>
        </w:rPr>
        <w:lastRenderedPageBreak/>
        <w:t>Zduńska Wola Karsznice (km 170,212) w ramach projektu POIiŚ 5.1-14”, jako kolejny jej etap. Dla całości tej inwestycji Inwestor uzyskał decyzję o ustaleniu lokalizacji inwestycji celu publicznego oraz decyzję o ustaleniu lokalizacji</w:t>
      </w:r>
      <w:r>
        <w:rPr>
          <w:rFonts w:ascii="Calibri" w:hAnsi="Calibri"/>
          <w:iCs/>
          <w:color w:val="000000"/>
          <w:kern w:val="0"/>
          <w:sz w:val="24"/>
          <w:szCs w:val="24"/>
          <w:lang w:eastAsia="pl-PL"/>
        </w:rPr>
        <w:t xml:space="preserve"> linii kolejowej.</w:t>
      </w:r>
    </w:p>
    <w:p w:rsidR="0099329E" w:rsidRDefault="00CD4232">
      <w:pPr>
        <w:widowControl w:val="0"/>
        <w:spacing w:line="360" w:lineRule="auto"/>
        <w:ind w:firstLine="709"/>
        <w:rPr>
          <w:rFonts w:ascii="Calibri" w:hAnsi="Calibri"/>
          <w:sz w:val="24"/>
          <w:szCs w:val="24"/>
        </w:rPr>
      </w:pPr>
      <w:r>
        <w:rPr>
          <w:rFonts w:ascii="Calibri" w:hAnsi="Calibri"/>
          <w:iCs/>
          <w:color w:val="000000"/>
          <w:kern w:val="0"/>
          <w:sz w:val="24"/>
          <w:szCs w:val="24"/>
          <w:lang w:eastAsia="pl-PL"/>
        </w:rPr>
        <w:t xml:space="preserve">Obowiązek budowy ekranów akustycznych został nałożony decyzją  </w:t>
      </w:r>
      <w:r>
        <w:rPr>
          <w:rFonts w:ascii="Calibri" w:hAnsi="Calibri"/>
          <w:i/>
          <w:iCs/>
          <w:color w:val="000000"/>
          <w:kern w:val="0"/>
          <w:sz w:val="24"/>
          <w:szCs w:val="24"/>
          <w:lang w:eastAsia="pl-PL"/>
        </w:rPr>
        <w:t>RDOŚ w Łodzi</w:t>
      </w:r>
      <w:r>
        <w:rPr>
          <w:rFonts w:ascii="Calibri" w:hAnsi="Calibri"/>
          <w:iCs/>
          <w:color w:val="000000"/>
          <w:kern w:val="0"/>
          <w:sz w:val="24"/>
          <w:szCs w:val="24"/>
          <w:lang w:eastAsia="pl-PL"/>
        </w:rPr>
        <w:t xml:space="preserve"> Nr 34/2018 z dnia 25.05.2018 r., znak WOŚ.420.71.2018.JCh.10, o środowiskowych uwarunkowaniach, zmienioną decyzją </w:t>
      </w:r>
      <w:r>
        <w:rPr>
          <w:rFonts w:ascii="Calibri" w:hAnsi="Calibri"/>
          <w:i/>
          <w:iCs/>
          <w:color w:val="000000"/>
          <w:kern w:val="0"/>
          <w:sz w:val="24"/>
          <w:szCs w:val="24"/>
          <w:lang w:eastAsia="pl-PL"/>
        </w:rPr>
        <w:t>RDOŚ w Łodzi</w:t>
      </w:r>
      <w:r>
        <w:rPr>
          <w:rFonts w:ascii="Calibri" w:hAnsi="Calibri"/>
          <w:iCs/>
          <w:color w:val="000000"/>
          <w:kern w:val="0"/>
          <w:sz w:val="24"/>
          <w:szCs w:val="24"/>
          <w:lang w:eastAsia="pl-PL"/>
        </w:rPr>
        <w:t xml:space="preserve"> Nr 15/2022 z dnia 24.06.2022 r., zn</w:t>
      </w:r>
      <w:r>
        <w:rPr>
          <w:rFonts w:ascii="Calibri" w:hAnsi="Calibri"/>
          <w:iCs/>
          <w:color w:val="000000"/>
          <w:kern w:val="0"/>
          <w:sz w:val="24"/>
          <w:szCs w:val="24"/>
          <w:lang w:eastAsia="pl-PL"/>
        </w:rPr>
        <w:t xml:space="preserve">ak: WOOŚ.420.28.2020.ZŻł.51, która została sprostowana w zakresie oczywistej omyłki postanowieniem </w:t>
      </w:r>
      <w:r>
        <w:rPr>
          <w:rFonts w:ascii="Calibri" w:hAnsi="Calibri"/>
          <w:i/>
          <w:iCs/>
          <w:color w:val="000000"/>
          <w:kern w:val="0"/>
          <w:sz w:val="24"/>
          <w:szCs w:val="24"/>
          <w:lang w:eastAsia="pl-PL"/>
        </w:rPr>
        <w:t>RDOŚ w Łodzi</w:t>
      </w: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 xml:space="preserve"> z dnia 27.02.2023 r., znak: WOOŚ.420.28.2020.ZŻł.58</w:t>
      </w:r>
      <w:r>
        <w:rPr>
          <w:rFonts w:ascii="Calibri" w:hAnsi="Calibri"/>
          <w:iCs/>
          <w:color w:val="000000"/>
          <w:kern w:val="0"/>
          <w:sz w:val="24"/>
          <w:szCs w:val="24"/>
          <w:lang w:eastAsia="pl-PL"/>
        </w:rPr>
        <w:t>. Należy wskazać, że zgodnie z art. 29 ust. 1 pkt 21 ustawy Prawo budowlane ekrany akustyczne</w:t>
      </w:r>
      <w:r>
        <w:rPr>
          <w:rFonts w:ascii="Calibri" w:hAnsi="Calibri"/>
          <w:iCs/>
          <w:color w:val="000000"/>
          <w:kern w:val="0"/>
          <w:sz w:val="24"/>
          <w:szCs w:val="24"/>
          <w:lang w:eastAsia="pl-PL"/>
        </w:rPr>
        <w:t xml:space="preserve"> służące ochronie środowiska pełnią funkcję ogrodzenia przeciwhałasowego, zatem nie wymagają pozwolenia na budowę, </w:t>
      </w:r>
      <w:r>
        <w:rPr>
          <w:rFonts w:ascii="Calibri" w:hAnsi="Calibri"/>
          <w:iCs/>
          <w:color w:val="000000"/>
          <w:kern w:val="0"/>
          <w:sz w:val="24"/>
          <w:szCs w:val="24"/>
          <w:lang w:eastAsia="pl-PL"/>
        </w:rPr>
        <w:lastRenderedPageBreak/>
        <w:t>natomiast wymagają zgłoszenia, a co za tym idzie – nie wymagają uzyskania odrębnej decyzji o ustaleniu lokalizacji inwestycji celu publiczneg</w:t>
      </w:r>
      <w:r>
        <w:rPr>
          <w:rFonts w:ascii="Calibri" w:hAnsi="Calibri"/>
          <w:iCs/>
          <w:color w:val="000000"/>
          <w:kern w:val="0"/>
          <w:sz w:val="24"/>
          <w:szCs w:val="24"/>
          <w:lang w:eastAsia="pl-PL"/>
        </w:rPr>
        <w:t>o, o czym stanowi art. 50 ust. 2 pkt 2 ustawy z dnia 27 marca 2003 r. o planowaniu i zagospodarowaniu przestrzennym (t.j. Dz.U. z 2023 r. poz. 977 ze zm.).</w:t>
      </w:r>
    </w:p>
    <w:p w:rsidR="0099329E" w:rsidRDefault="00CD4232">
      <w:pPr>
        <w:spacing w:line="360" w:lineRule="auto"/>
        <w:ind w:firstLine="360"/>
        <w:rPr>
          <w:rFonts w:ascii="Calibri" w:hAnsi="Calibri"/>
          <w:sz w:val="24"/>
          <w:szCs w:val="24"/>
        </w:rPr>
      </w:pPr>
      <w:r>
        <w:rPr>
          <w:rFonts w:ascii="Calibri" w:hAnsi="Calibri"/>
          <w:kern w:val="0"/>
          <w:sz w:val="24"/>
          <w:szCs w:val="24"/>
          <w:lang w:eastAsia="pl-PL"/>
        </w:rPr>
        <w:tab/>
        <w:t>Pismem z 04.07.2023 r.,</w:t>
      </w: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 xml:space="preserve"> zgodnie z art. 61 § 4 </w:t>
      </w:r>
      <w:r>
        <w:rPr>
          <w:rFonts w:ascii="Calibri" w:hAnsi="Calibri"/>
          <w:i/>
          <w:color w:val="000000"/>
          <w:kern w:val="0"/>
          <w:sz w:val="24"/>
          <w:szCs w:val="24"/>
          <w:lang w:eastAsia="pl-PL"/>
        </w:rPr>
        <w:t>kpa</w:t>
      </w: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 xml:space="preserve">, strony zostały powiadomione o wszczęciu postępowania. W trakcie trwania postępowania dotyczącego wydania pozwolenia na budowę przedmiotowej inwestycji do tutejszego organu nie wpłynęły żadne wnioski ani zastrzeżenia składane przez strony postępowania. </w:t>
      </w:r>
    </w:p>
    <w:p w:rsidR="0099329E" w:rsidRDefault="00CD4232">
      <w:pPr>
        <w:spacing w:line="360" w:lineRule="auto"/>
        <w:ind w:firstLine="360"/>
        <w:rPr>
          <w:rFonts w:ascii="Calibri" w:hAnsi="Calibri"/>
          <w:sz w:val="24"/>
          <w:szCs w:val="24"/>
        </w:rPr>
      </w:pPr>
      <w:r>
        <w:rPr>
          <w:rFonts w:ascii="Calibri" w:eastAsia="NSimSun" w:hAnsi="Calibri"/>
          <w:color w:val="000000"/>
          <w:kern w:val="0"/>
          <w:sz w:val="24"/>
          <w:szCs w:val="24"/>
          <w:lang w:eastAsia="pl-PL"/>
        </w:rPr>
        <w:tab/>
      </w:r>
      <w:r>
        <w:rPr>
          <w:rFonts w:ascii="Calibri" w:eastAsia="NSimSun" w:hAnsi="Calibri"/>
          <w:color w:val="000000"/>
          <w:kern w:val="0"/>
          <w:sz w:val="24"/>
          <w:szCs w:val="24"/>
          <w:lang w:eastAsia="pl-PL"/>
        </w:rPr>
        <w:t xml:space="preserve">Niniejszą decyzją nałożono obowiązek zachowania warunków realizacji przedsięwzięcia, określonych w ostatecznej decyzji </w:t>
      </w:r>
      <w:r>
        <w:rPr>
          <w:rFonts w:ascii="Calibri" w:eastAsia="NSimSun" w:hAnsi="Calibri"/>
          <w:i/>
          <w:iCs/>
          <w:color w:val="000000"/>
          <w:kern w:val="0"/>
          <w:sz w:val="24"/>
          <w:szCs w:val="24"/>
          <w:lang w:eastAsia="pl-PL"/>
        </w:rPr>
        <w:t>RDOŚ w Łodzi</w:t>
      </w:r>
      <w:r>
        <w:rPr>
          <w:rFonts w:ascii="Calibri" w:eastAsia="NSimSun" w:hAnsi="Calibri"/>
          <w:color w:val="000000"/>
          <w:kern w:val="0"/>
          <w:sz w:val="24"/>
          <w:szCs w:val="24"/>
          <w:lang w:eastAsia="pl-PL"/>
        </w:rPr>
        <w:t xml:space="preserve"> z dnia 25 maja 2018 r. Nr 34/2018 o środowiskowych uwarunkowaniach, zmienionej ostateczną decyzją </w:t>
      </w:r>
      <w:r>
        <w:rPr>
          <w:rFonts w:ascii="Calibri" w:eastAsia="NSimSun" w:hAnsi="Calibri"/>
          <w:i/>
          <w:iCs/>
          <w:color w:val="000000"/>
          <w:kern w:val="0"/>
          <w:sz w:val="24"/>
          <w:szCs w:val="24"/>
          <w:lang w:eastAsia="pl-PL"/>
        </w:rPr>
        <w:t>RDOŚ w Łodzi</w:t>
      </w:r>
      <w:r>
        <w:rPr>
          <w:rFonts w:ascii="Calibri" w:eastAsia="NSimSun" w:hAnsi="Calibri"/>
          <w:color w:val="000000"/>
          <w:kern w:val="0"/>
          <w:sz w:val="24"/>
          <w:szCs w:val="24"/>
          <w:lang w:eastAsia="pl-PL"/>
        </w:rPr>
        <w:t xml:space="preserve"> z </w:t>
      </w:r>
      <w:r>
        <w:rPr>
          <w:rFonts w:ascii="Calibri" w:eastAsia="NSimSun" w:hAnsi="Calibri"/>
          <w:color w:val="000000"/>
          <w:kern w:val="0"/>
          <w:sz w:val="24"/>
          <w:szCs w:val="24"/>
          <w:lang w:eastAsia="pl-PL"/>
        </w:rPr>
        <w:lastRenderedPageBreak/>
        <w:t>dnia 24.06.</w:t>
      </w:r>
      <w:r>
        <w:rPr>
          <w:rFonts w:ascii="Calibri" w:eastAsia="NSimSun" w:hAnsi="Calibri"/>
          <w:color w:val="000000"/>
          <w:kern w:val="0"/>
          <w:sz w:val="24"/>
          <w:szCs w:val="24"/>
          <w:lang w:eastAsia="pl-PL"/>
        </w:rPr>
        <w:t xml:space="preserve">2022 r. Nr 15/2022, </w:t>
      </w:r>
      <w:r>
        <w:rPr>
          <w:rFonts w:ascii="Calibri" w:eastAsia="NSimSun" w:hAnsi="Calibri"/>
          <w:iCs/>
          <w:color w:val="000000"/>
          <w:kern w:val="0"/>
          <w:sz w:val="24"/>
          <w:szCs w:val="24"/>
          <w:lang w:eastAsia="pl-PL"/>
        </w:rPr>
        <w:t xml:space="preserve">która została sprostowana w zakresie oczywistej omyłki postanowieniem </w:t>
      </w:r>
      <w:r>
        <w:rPr>
          <w:rFonts w:ascii="Calibri" w:eastAsia="NSimSun" w:hAnsi="Calibri"/>
          <w:i/>
          <w:iCs/>
          <w:color w:val="000000"/>
          <w:kern w:val="0"/>
          <w:sz w:val="24"/>
          <w:szCs w:val="24"/>
          <w:lang w:eastAsia="pl-PL"/>
        </w:rPr>
        <w:t>RDOŚ w Łodzi</w:t>
      </w:r>
      <w:r>
        <w:rPr>
          <w:rFonts w:ascii="Calibri" w:eastAsia="NSimSun" w:hAnsi="Calibri"/>
          <w:color w:val="000000"/>
          <w:kern w:val="0"/>
          <w:sz w:val="24"/>
          <w:szCs w:val="24"/>
          <w:lang w:eastAsia="pl-PL"/>
        </w:rPr>
        <w:t xml:space="preserve"> z dnia 27.02.2023 r. </w:t>
      </w:r>
      <w:r>
        <w:rPr>
          <w:rFonts w:ascii="Calibri" w:eastAsia="NSimSun" w:hAnsi="Calibri"/>
          <w:color w:val="000000"/>
          <w:kern w:val="0"/>
          <w:sz w:val="24"/>
          <w:szCs w:val="24"/>
          <w:lang w:eastAsia="ar-SA"/>
        </w:rPr>
        <w:t xml:space="preserve">W toku przedmiotowego postępowania nie było podstaw do przeprowadzenia ponownej oceny oddziaływania przedsięwzięcia na środowisko w </w:t>
      </w:r>
      <w:r>
        <w:rPr>
          <w:rFonts w:ascii="Calibri" w:eastAsia="NSimSun" w:hAnsi="Calibri"/>
          <w:color w:val="000000"/>
          <w:kern w:val="0"/>
          <w:sz w:val="24"/>
          <w:szCs w:val="24"/>
          <w:lang w:eastAsia="ar-SA"/>
        </w:rPr>
        <w:t>trybie przepisów ustawy z dnia 3 października 2008 r. o udostępnianiu informacji o środowisku i jego ochronie, udziale społeczeństwa w ochronie środowiska oraz o ocenach oddziaływania na środowisko (t.j. Dz.U. z 2023 r. poz. 1094, ze zm.) z uwagi na to, iż</w:t>
      </w:r>
      <w:r>
        <w:rPr>
          <w:rFonts w:ascii="Calibri" w:eastAsia="NSimSun" w:hAnsi="Calibri"/>
          <w:color w:val="000000"/>
          <w:kern w:val="0"/>
          <w:sz w:val="24"/>
          <w:szCs w:val="24"/>
          <w:lang w:eastAsia="ar-SA"/>
        </w:rPr>
        <w:t xml:space="preserve"> </w:t>
      </w:r>
      <w:r>
        <w:rPr>
          <w:rFonts w:ascii="Calibri" w:eastAsia="NSimSun" w:hAnsi="Calibri"/>
          <w:i/>
          <w:iCs/>
          <w:color w:val="000000"/>
          <w:kern w:val="0"/>
          <w:sz w:val="24"/>
          <w:szCs w:val="24"/>
          <w:lang w:eastAsia="pl-PL"/>
        </w:rPr>
        <w:t>RDOŚ w Łodzi</w:t>
      </w:r>
      <w:r>
        <w:rPr>
          <w:rFonts w:ascii="Calibri" w:eastAsia="NSimSun" w:hAnsi="Calibri"/>
          <w:color w:val="000000"/>
          <w:kern w:val="0"/>
          <w:sz w:val="24"/>
          <w:szCs w:val="24"/>
          <w:lang w:eastAsia="ar-SA"/>
        </w:rPr>
        <w:t xml:space="preserve"> ww. decyzją  </w:t>
      </w:r>
      <w:r>
        <w:rPr>
          <w:rFonts w:ascii="Calibri" w:eastAsia="NSimSun" w:hAnsi="Calibri"/>
          <w:color w:val="000000"/>
          <w:kern w:val="0"/>
          <w:sz w:val="24"/>
          <w:szCs w:val="24"/>
          <w:lang w:eastAsia="pl-PL"/>
        </w:rPr>
        <w:t>o środowiskowych uwarunkowaniach nie nałożył takiego obowiązku a inwestor nie wystąpił z wnioskiem o przeprowadzenie takiej oceny. Ponadto organ stwierdził, że we wniosku o wydanie decyzji nie zostały dokonane zmiany w stosunku d</w:t>
      </w:r>
      <w:r>
        <w:rPr>
          <w:rFonts w:ascii="Calibri" w:eastAsia="NSimSun" w:hAnsi="Calibri"/>
          <w:color w:val="000000"/>
          <w:kern w:val="0"/>
          <w:sz w:val="24"/>
          <w:szCs w:val="24"/>
          <w:lang w:eastAsia="pl-PL"/>
        </w:rPr>
        <w:t>o wymagań określonych w decyzji o środowiskowych uwarunkowaniach.</w:t>
      </w:r>
    </w:p>
    <w:p w:rsidR="0099329E" w:rsidRDefault="00CD4232">
      <w:pPr>
        <w:pStyle w:val="western"/>
        <w:suppressAutoHyphens/>
        <w:spacing w:before="0" w:line="360" w:lineRule="auto"/>
        <w:ind w:firstLine="708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W toku prowadzonego postępowania Inwestor wystąpił do Wojewody Łódzkiego z wnioskiem o nadanie decyzji o pozwoleniu na budowę przedmiotowej inwestycji rygoru natychmiastowej wykonalności. W </w:t>
      </w:r>
      <w:r>
        <w:rPr>
          <w:rFonts w:ascii="Calibri" w:hAnsi="Calibri"/>
          <w:sz w:val="24"/>
          <w:szCs w:val="24"/>
        </w:rPr>
        <w:t>uzasadnieniu Inwestor wskazał m.in. na skrócenie czasu jazdy pociągów, poprawę przepustowości linii kolejowej, dostosowanie infrastruktury kolejowej do aktualnych potrzeb, co w znaczny sposób wpłynie na zwiększenie dostępności komunikacji zbiorowej dla pod</w:t>
      </w:r>
      <w:r>
        <w:rPr>
          <w:rFonts w:ascii="Calibri" w:hAnsi="Calibri"/>
          <w:sz w:val="24"/>
          <w:szCs w:val="24"/>
        </w:rPr>
        <w:t>różnych. Przedmiotowa inwestycja wpłynie również na poprawę bezpieczeństwa ruchu kolejowego, podróżnych, przewożonych ładunków, a także na zapewnienie interoperacyjności kolei i umożliwienie niedyskryminującego dostępu do polskiej infrastruktury kolejowej.</w:t>
      </w:r>
      <w:r>
        <w:rPr>
          <w:rFonts w:ascii="Calibri" w:hAnsi="Calibri"/>
          <w:sz w:val="24"/>
          <w:szCs w:val="24"/>
        </w:rPr>
        <w:t xml:space="preserve"> Ponadto budowa ekranów akustycznych będzie miała pozytywny wpływ na środowisko.</w:t>
      </w:r>
    </w:p>
    <w:p w:rsidR="0099329E" w:rsidRDefault="00CD4232">
      <w:pPr>
        <w:pStyle w:val="western"/>
        <w:suppressAutoHyphens/>
        <w:spacing w:before="0" w:line="360" w:lineRule="auto"/>
        <w:ind w:firstLine="708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Nadanie decyzji rygoru natychmiastowej wykonalności jest w ocenie Inwestora tym bardziej uzasadnione, że projektowana inwestycja jest częścią zadania prowadzonego w oparciu o </w:t>
      </w:r>
      <w:r>
        <w:rPr>
          <w:rFonts w:ascii="Calibri" w:hAnsi="Calibri"/>
          <w:sz w:val="24"/>
          <w:szCs w:val="24"/>
        </w:rPr>
        <w:t>dofinansowanie ze środków Programu Operacyjnego Infrastruktura i Środowisko pn.: „POIiŚ 5.1-14 Prace na linii kolejowej C-E 65 na odc. Chorzów Batory – Tarnowskie Góry – Karsznice – Inowrocław – Bydgoszcz – Maksymilianowo”, które należy do priorytetowych p</w:t>
      </w:r>
      <w:r>
        <w:rPr>
          <w:rFonts w:ascii="Calibri" w:hAnsi="Calibri"/>
          <w:sz w:val="24"/>
          <w:szCs w:val="24"/>
        </w:rPr>
        <w:t>rojektów spółki PKP Polskie Linie Kolejowe S.A. i zostało ujęte w Krajowym Programie Kolejowym do 2023 roku. Wszelkie opóźnienia terminów rozpoczęcia robót budowlanych przyczynią się do powstania znacznych szkód materialnych, kosztów społecznych i finansow</w:t>
      </w:r>
      <w:r>
        <w:rPr>
          <w:rFonts w:ascii="Calibri" w:hAnsi="Calibri"/>
          <w:sz w:val="24"/>
          <w:szCs w:val="24"/>
        </w:rPr>
        <w:t xml:space="preserve">ych. </w:t>
      </w:r>
    </w:p>
    <w:p w:rsidR="0099329E" w:rsidRDefault="00CD4232">
      <w:pPr>
        <w:pStyle w:val="western"/>
        <w:widowControl w:val="0"/>
        <w:suppressAutoHyphens/>
        <w:spacing w:before="0" w:line="360" w:lineRule="auto"/>
        <w:ind w:firstLine="708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color w:val="auto"/>
          <w:kern w:val="0"/>
          <w:sz w:val="24"/>
          <w:szCs w:val="24"/>
          <w:lang w:eastAsia="ar-SA"/>
        </w:rPr>
        <w:t xml:space="preserve">Biorąc pod uwagę, że powyższe względy niewątpliwie stanowią uzasadniony interes społeczny i gospodarczy oraz ważny interes </w:t>
      </w:r>
      <w:r>
        <w:rPr>
          <w:rFonts w:ascii="Calibri" w:hAnsi="Calibri"/>
          <w:bCs/>
          <w:color w:val="auto"/>
          <w:kern w:val="0"/>
          <w:sz w:val="24"/>
          <w:szCs w:val="24"/>
          <w:lang w:eastAsia="ar-SA"/>
        </w:rPr>
        <w:lastRenderedPageBreak/>
        <w:t xml:space="preserve">strony, o którym mowa w art. 108 § 1 </w:t>
      </w:r>
      <w:r>
        <w:rPr>
          <w:rFonts w:ascii="Calibri" w:hAnsi="Calibri"/>
          <w:bCs/>
          <w:i/>
          <w:color w:val="auto"/>
          <w:kern w:val="0"/>
          <w:sz w:val="24"/>
          <w:szCs w:val="24"/>
          <w:lang w:eastAsia="ar-SA"/>
        </w:rPr>
        <w:t>kpa</w:t>
      </w:r>
      <w:r>
        <w:rPr>
          <w:rFonts w:ascii="Calibri" w:hAnsi="Calibri"/>
          <w:bCs/>
          <w:color w:val="auto"/>
          <w:kern w:val="0"/>
          <w:sz w:val="24"/>
          <w:szCs w:val="24"/>
          <w:lang w:eastAsia="ar-SA"/>
        </w:rPr>
        <w:t>, organ przychylił się do wniosku inwestora, nadając niniejszej decyzji rygor natychmia</w:t>
      </w:r>
      <w:r>
        <w:rPr>
          <w:rFonts w:ascii="Calibri" w:hAnsi="Calibri"/>
          <w:bCs/>
          <w:color w:val="auto"/>
          <w:kern w:val="0"/>
          <w:sz w:val="24"/>
          <w:szCs w:val="24"/>
          <w:lang w:eastAsia="ar-SA"/>
        </w:rPr>
        <w:t>stowej wykonalności.</w:t>
      </w:r>
    </w:p>
    <w:p w:rsidR="0099329E" w:rsidRDefault="00CD4232">
      <w:pPr>
        <w:spacing w:line="360" w:lineRule="auto"/>
        <w:ind w:firstLine="360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ab/>
        <w:t xml:space="preserve">W toku postępowania organ stwierdził, iż przedłożony </w:t>
      </w:r>
      <w:r>
        <w:rPr>
          <w:rFonts w:ascii="Calibri" w:hAnsi="Calibri"/>
          <w:color w:val="000000"/>
          <w:kern w:val="0"/>
          <w:sz w:val="24"/>
          <w:szCs w:val="24"/>
          <w:shd w:val="clear" w:color="auto" w:fill="FFFFFF"/>
          <w:lang w:eastAsia="pl-PL"/>
        </w:rPr>
        <w:t xml:space="preserve">projekt zagospodarowania terenu </w:t>
      </w: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 xml:space="preserve">jest zgodny z obowiązującymi przepisami, w tym przepisami techniczno-budowlanymi, </w:t>
      </w:r>
      <w:r>
        <w:rPr>
          <w:rFonts w:ascii="Calibri" w:hAnsi="Calibri"/>
          <w:color w:val="000000"/>
          <w:kern w:val="0"/>
          <w:sz w:val="24"/>
          <w:szCs w:val="24"/>
          <w:shd w:val="clear" w:color="auto" w:fill="FFFFFF"/>
          <w:lang w:eastAsia="pl-PL"/>
        </w:rPr>
        <w:t xml:space="preserve"> jest </w:t>
      </w: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 xml:space="preserve">kompletny i wykonany przez osoby posiadające odpowiednie </w:t>
      </w: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>uprawnienia budowlane. W związku z powyższym należało orzec jak w sentencji.</w:t>
      </w:r>
    </w:p>
    <w:p w:rsidR="0099329E" w:rsidRDefault="00CD4232">
      <w:pPr>
        <w:spacing w:line="360" w:lineRule="auto"/>
        <w:ind w:firstLine="709"/>
        <w:rPr>
          <w:rFonts w:ascii="Calibri" w:hAnsi="Calibri"/>
          <w:sz w:val="24"/>
          <w:szCs w:val="24"/>
        </w:rPr>
      </w:pPr>
      <w:r>
        <w:rPr>
          <w:rFonts w:ascii="Calibri" w:hAnsi="Calibri"/>
          <w:kern w:val="0"/>
          <w:sz w:val="24"/>
          <w:szCs w:val="24"/>
        </w:rPr>
        <w:t>Od decyzji przysługuje odwołanie do Głównego Inspektora Nadzoru Budowlanego w Warszawie ul. Krucza 38/42, za pośrednictwem Wojewody Łódzkiego, w terminie 14 dni od dnia jej doręcz</w:t>
      </w:r>
      <w:r>
        <w:rPr>
          <w:rFonts w:ascii="Calibri" w:hAnsi="Calibri"/>
          <w:kern w:val="0"/>
          <w:sz w:val="24"/>
          <w:szCs w:val="24"/>
        </w:rPr>
        <w:t xml:space="preserve">enia. </w:t>
      </w:r>
    </w:p>
    <w:p w:rsidR="0099329E" w:rsidRDefault="00CD4232">
      <w:pPr>
        <w:spacing w:line="360" w:lineRule="auto"/>
        <w:ind w:firstLine="709"/>
        <w:rPr>
          <w:rFonts w:ascii="Calibri" w:hAnsi="Calibri"/>
          <w:sz w:val="24"/>
          <w:szCs w:val="24"/>
        </w:rPr>
      </w:pPr>
      <w:r>
        <w:rPr>
          <w:rFonts w:ascii="Calibri" w:hAnsi="Calibri"/>
          <w:kern w:val="0"/>
          <w:sz w:val="24"/>
          <w:szCs w:val="24"/>
        </w:rPr>
        <w:lastRenderedPageBreak/>
        <w:t xml:space="preserve">W trakcie biegu terminu do wniesienia odwołania strona może zrzec się prawa  do wniesienia odwołania wobec organu administracji publicznej, który wydał decyzję. </w:t>
      </w:r>
    </w:p>
    <w:p w:rsidR="0099329E" w:rsidRDefault="00CD4232">
      <w:pPr>
        <w:spacing w:line="360" w:lineRule="auto"/>
        <w:ind w:firstLine="709"/>
        <w:rPr>
          <w:rFonts w:ascii="Calibri" w:hAnsi="Calibri"/>
          <w:sz w:val="24"/>
          <w:szCs w:val="24"/>
        </w:rPr>
      </w:pPr>
      <w:r>
        <w:rPr>
          <w:rFonts w:ascii="Calibri" w:hAnsi="Calibri"/>
          <w:kern w:val="0"/>
          <w:sz w:val="24"/>
          <w:szCs w:val="24"/>
        </w:rPr>
        <w:t>Z dniem doręczenia organowi administracji publicznej oświadczenia o zrzeczeniu się praw</w:t>
      </w:r>
      <w:r>
        <w:rPr>
          <w:rFonts w:ascii="Calibri" w:hAnsi="Calibri"/>
          <w:kern w:val="0"/>
          <w:sz w:val="24"/>
          <w:szCs w:val="24"/>
        </w:rPr>
        <w:t xml:space="preserve">a do wniesienia odwołania przez ostatnią ze stron postępowania, decyzja staje się ostateczna i prawomocna. </w:t>
      </w:r>
    </w:p>
    <w:p w:rsidR="0099329E" w:rsidRDefault="00CD4232">
      <w:pPr>
        <w:pStyle w:val="western"/>
        <w:spacing w:before="0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ADNOTACJA DOTYCZĄCA OPŁATY SKARBOWEJ:</w:t>
      </w:r>
    </w:p>
    <w:p w:rsidR="0099329E" w:rsidRDefault="00CD4232">
      <w:pPr>
        <w:spacing w:line="360" w:lineRule="auto"/>
      </w:pPr>
      <w:r>
        <w:rPr>
          <w:rFonts w:ascii="Calibri" w:hAnsi="Calibri"/>
          <w:sz w:val="24"/>
          <w:szCs w:val="24"/>
        </w:rPr>
        <w:t>Uiszczono opłatę skarbową za pozwolenie na budowę w kwocie 155 zł zgodnie z ustawą z dnia 16 listopada 2006 r.</w:t>
      </w:r>
      <w:r>
        <w:rPr>
          <w:rFonts w:ascii="Calibri" w:hAnsi="Calibri"/>
          <w:sz w:val="24"/>
          <w:szCs w:val="24"/>
        </w:rPr>
        <w:t xml:space="preserve"> o opłacie skarbowej (t.j. </w:t>
      </w:r>
      <w:hyperlink r:id="rId8">
        <w:r>
          <w:rPr>
            <w:rStyle w:val="czeinternetowe"/>
            <w:rFonts w:ascii="Calibri" w:hAnsi="Calibri"/>
            <w:color w:val="auto"/>
            <w:sz w:val="24"/>
            <w:szCs w:val="24"/>
            <w:u w:val="none"/>
          </w:rPr>
          <w:t xml:space="preserve">Dz.U. z 2022 r. poz. </w:t>
        </w:r>
      </w:hyperlink>
      <w:r>
        <w:rPr>
          <w:rFonts w:ascii="Calibri" w:hAnsi="Calibri"/>
          <w:sz w:val="24"/>
          <w:szCs w:val="24"/>
        </w:rPr>
        <w:t>2142, ze zm.).</w:t>
      </w:r>
    </w:p>
    <w:p w:rsidR="0099329E" w:rsidRDefault="00CD4232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rFonts w:ascii="Calibri" w:hAnsi="Calibri"/>
          <w:b/>
          <w:bCs/>
          <w:color w:val="000000"/>
          <w:sz w:val="24"/>
          <w:szCs w:val="24"/>
          <w:lang w:eastAsia="pl-PL"/>
        </w:rPr>
        <w:br/>
      </w:r>
      <w:r>
        <w:rPr>
          <w:rFonts w:ascii="Calibri" w:hAnsi="Calibri"/>
          <w:b/>
          <w:bCs/>
          <w:i/>
          <w:iCs/>
          <w:color w:val="000000"/>
          <w:sz w:val="24"/>
          <w:szCs w:val="24"/>
          <w:lang w:eastAsia="pl-PL"/>
        </w:rPr>
        <w:t>Agata Urban</w:t>
      </w:r>
      <w:r>
        <w:rPr>
          <w:rFonts w:ascii="Calibri" w:hAnsi="Calibri"/>
          <w:b/>
          <w:bCs/>
          <w:i/>
          <w:iCs/>
          <w:color w:val="000000"/>
          <w:sz w:val="24"/>
          <w:szCs w:val="24"/>
          <w:lang w:eastAsia="pl-PL"/>
        </w:rPr>
        <w:br/>
      </w:r>
      <w:r>
        <w:rPr>
          <w:rFonts w:ascii="Calibri" w:hAnsi="Calibri"/>
          <w:b/>
          <w:bCs/>
          <w:iCs/>
          <w:color w:val="000000"/>
          <w:sz w:val="24"/>
          <w:szCs w:val="24"/>
          <w:lang w:eastAsia="pl-PL"/>
        </w:rPr>
        <w:t xml:space="preserve">Dyrektor Wydziału </w:t>
      </w:r>
    </w:p>
    <w:p w:rsidR="0099329E" w:rsidRDefault="00CD4232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iCs/>
          <w:color w:val="000000"/>
          <w:sz w:val="24"/>
          <w:szCs w:val="24"/>
          <w:lang w:eastAsia="pl-PL"/>
        </w:rPr>
        <w:lastRenderedPageBreak/>
        <w:t xml:space="preserve">Gospodarki Przestrzennej </w:t>
      </w:r>
    </w:p>
    <w:p w:rsidR="0099329E" w:rsidRDefault="00CD4232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iCs/>
          <w:color w:val="000000"/>
          <w:sz w:val="24"/>
          <w:szCs w:val="24"/>
          <w:lang w:eastAsia="pl-PL"/>
        </w:rPr>
        <w:t>i Budownictwa</w:t>
      </w:r>
    </w:p>
    <w:p w:rsidR="0099329E" w:rsidRDefault="00CD4232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ascii="Calibri" w:hAnsi="Calibri"/>
          <w:sz w:val="24"/>
          <w:szCs w:val="24"/>
        </w:rPr>
      </w:pPr>
      <w:bookmarkStart w:id="6" w:name="__DdeLink__3010_506379317"/>
      <w:r>
        <w:rPr>
          <w:rFonts w:ascii="Calibri" w:hAnsi="Calibri"/>
          <w:i/>
          <w:iCs/>
          <w:color w:val="000000"/>
          <w:kern w:val="0"/>
          <w:sz w:val="24"/>
          <w:szCs w:val="24"/>
          <w:lang w:eastAsia="pl-PL"/>
        </w:rPr>
        <w:t>(dokument podpisany elektronicznym podpisem kwalifikowanym)</w:t>
      </w:r>
      <w:bookmarkEnd w:id="6"/>
    </w:p>
    <w:p w:rsidR="0099329E" w:rsidRDefault="00CD4232">
      <w:pPr>
        <w:spacing w:before="12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kern w:val="0"/>
          <w:sz w:val="24"/>
          <w:szCs w:val="24"/>
          <w:u w:val="single"/>
        </w:rPr>
        <w:t>Załączniki</w:t>
      </w:r>
      <w:r>
        <w:rPr>
          <w:rFonts w:ascii="Calibri" w:hAnsi="Calibri"/>
          <w:kern w:val="0"/>
          <w:sz w:val="24"/>
          <w:szCs w:val="24"/>
        </w:rPr>
        <w:t xml:space="preserve">: </w:t>
      </w:r>
    </w:p>
    <w:p w:rsidR="0099329E" w:rsidRDefault="00CD4232">
      <w:pPr>
        <w:widowControl w:val="0"/>
        <w:numPr>
          <w:ilvl w:val="0"/>
          <w:numId w:val="4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kern w:val="0"/>
          <w:sz w:val="24"/>
          <w:szCs w:val="24"/>
        </w:rPr>
        <w:t>....... egz.</w:t>
      </w: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 xml:space="preserve"> projektu zagospodarowania terenu</w:t>
      </w:r>
    </w:p>
    <w:p w:rsidR="0099329E" w:rsidRDefault="00CD4232">
      <w:pPr>
        <w:spacing w:before="12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kern w:val="0"/>
          <w:sz w:val="24"/>
          <w:szCs w:val="24"/>
          <w:u w:val="single"/>
        </w:rPr>
        <w:t>Otrzymują z załącznikiem:</w:t>
      </w:r>
    </w:p>
    <w:p w:rsidR="0099329E" w:rsidRDefault="00CD4232">
      <w:pPr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PKP Polskie Linie Kolejowe S.A.</w:t>
      </w:r>
    </w:p>
    <w:p w:rsidR="0099329E" w:rsidRDefault="00CD4232">
      <w:pPr>
        <w:spacing w:line="360" w:lineRule="auto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reprezentowana przez pełnomocnika</w:t>
      </w:r>
    </w:p>
    <w:p w:rsidR="0099329E" w:rsidRDefault="00CD4232">
      <w:pPr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kern w:val="0"/>
          <w:sz w:val="24"/>
          <w:szCs w:val="24"/>
          <w:lang w:eastAsia="pl-PL"/>
        </w:rPr>
        <w:t>Aa</w:t>
      </w:r>
    </w:p>
    <w:p w:rsidR="0099329E" w:rsidRDefault="00CD4232">
      <w:pPr>
        <w:spacing w:before="12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kern w:val="0"/>
          <w:sz w:val="24"/>
          <w:szCs w:val="24"/>
          <w:u w:val="single"/>
        </w:rPr>
        <w:t>Otrzymuje bez załącznika:</w:t>
      </w:r>
    </w:p>
    <w:p w:rsidR="0099329E" w:rsidRDefault="00CD4232">
      <w:pPr>
        <w:numPr>
          <w:ilvl w:val="0"/>
          <w:numId w:val="6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Polskie Koleje </w:t>
      </w:r>
      <w:r>
        <w:rPr>
          <w:rFonts w:ascii="Calibri" w:hAnsi="Calibri"/>
          <w:sz w:val="24"/>
          <w:szCs w:val="24"/>
        </w:rPr>
        <w:t>Państwowe S.A. (e-PUAP)</w:t>
      </w:r>
    </w:p>
    <w:p w:rsidR="0099329E" w:rsidRDefault="00CD4232">
      <w:pPr>
        <w:spacing w:line="360" w:lineRule="auto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Al. Jerozolimskie 142A</w:t>
      </w:r>
    </w:p>
    <w:p w:rsidR="0099329E" w:rsidRDefault="00CD4232">
      <w:pPr>
        <w:spacing w:line="360" w:lineRule="auto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02-305 Warszawa</w:t>
      </w:r>
    </w:p>
    <w:p w:rsidR="0099329E" w:rsidRDefault="00CD4232">
      <w:pPr>
        <w:pStyle w:val="Tekstpodstawowywcity31"/>
        <w:spacing w:line="360" w:lineRule="auto"/>
        <w:ind w:left="0"/>
        <w:rPr>
          <w:rFonts w:ascii="Calibri" w:hAnsi="Calibri"/>
          <w:szCs w:val="24"/>
        </w:rPr>
      </w:pPr>
      <w:r>
        <w:rPr>
          <w:rFonts w:ascii="Calibri" w:hAnsi="Calibri" w:cs="Times New Roman"/>
          <w:i/>
          <w:iCs/>
          <w:szCs w:val="24"/>
        </w:rPr>
        <w:tab/>
      </w:r>
    </w:p>
    <w:p w:rsidR="0099329E" w:rsidRDefault="00CD4232">
      <w:pPr>
        <w:spacing w:before="12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kern w:val="0"/>
          <w:sz w:val="24"/>
          <w:szCs w:val="24"/>
          <w:u w:val="single"/>
        </w:rPr>
        <w:t>Otrzymuje do wiadomości z załącznikiem:</w:t>
      </w:r>
    </w:p>
    <w:p w:rsidR="0099329E" w:rsidRDefault="00CD4232">
      <w:pPr>
        <w:widowControl w:val="0"/>
        <w:numPr>
          <w:ilvl w:val="0"/>
          <w:numId w:val="7"/>
        </w:numPr>
        <w:spacing w:line="360" w:lineRule="auto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kern w:val="0"/>
          <w:sz w:val="24"/>
          <w:szCs w:val="24"/>
          <w:lang w:eastAsia="pl-PL"/>
        </w:rPr>
        <w:t>Wojewódzki Inspektorat Nadzoru Budowlanego w Łodzi</w:t>
      </w:r>
    </w:p>
    <w:p w:rsidR="0099329E" w:rsidRDefault="00CD4232">
      <w:pPr>
        <w:suppressAutoHyphens w:val="0"/>
        <w:spacing w:line="360" w:lineRule="auto"/>
        <w:ind w:left="72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kern w:val="0"/>
          <w:sz w:val="24"/>
          <w:szCs w:val="24"/>
          <w:lang w:eastAsia="pl-PL"/>
        </w:rPr>
        <w:t>ul. Traugutta 25, 90-113 Łódź.</w:t>
      </w:r>
    </w:p>
    <w:p w:rsidR="0099329E" w:rsidRDefault="0099329E">
      <w:pPr>
        <w:suppressAutoHyphens w:val="0"/>
        <w:spacing w:line="360" w:lineRule="auto"/>
        <w:contextualSpacing/>
        <w:rPr>
          <w:rFonts w:ascii="Calibri" w:hAnsi="Calibri"/>
          <w:kern w:val="0"/>
          <w:sz w:val="24"/>
          <w:szCs w:val="24"/>
          <w:lang w:eastAsia="pl-PL"/>
        </w:rPr>
      </w:pPr>
    </w:p>
    <w:p w:rsidR="0099329E" w:rsidRDefault="00CD4232">
      <w:pPr>
        <w:suppressAutoHyphens w:val="0"/>
        <w:spacing w:line="360" w:lineRule="auto"/>
        <w:contextualSpacing/>
        <w:rPr>
          <w:kern w:val="0"/>
          <w:sz w:val="22"/>
          <w:szCs w:val="22"/>
          <w:lang w:eastAsia="pl-PL"/>
        </w:rPr>
      </w:pPr>
      <w:r>
        <w:rPr>
          <w:rFonts w:ascii="Calibri" w:eastAsia="NSimSun" w:hAnsi="Calibri"/>
          <w:color w:val="00000A"/>
          <w:kern w:val="0"/>
          <w:sz w:val="24"/>
          <w:szCs w:val="24"/>
          <w:lang w:eastAsia="pl-PL"/>
        </w:rPr>
        <w:t xml:space="preserve">Informacja o niniejszej decyzji i o możliwościach zapoznania się z jej treścią oraz z dokumentacją sprawy podlega podaniu do publicznej wiadomości zgodnie z art. 72 ust. 6 ustawy z dnia 3 października 2008 r. o udostępnianiu informacji o środowisku i jego </w:t>
      </w:r>
      <w:r>
        <w:rPr>
          <w:rFonts w:ascii="Calibri" w:eastAsia="NSimSun" w:hAnsi="Calibri"/>
          <w:color w:val="00000A"/>
          <w:kern w:val="0"/>
          <w:sz w:val="24"/>
          <w:szCs w:val="24"/>
          <w:lang w:eastAsia="pl-PL"/>
        </w:rPr>
        <w:t xml:space="preserve">ochronie, udziale społeczeństwa w ochronie środowiska oraz o ocenach oddziaływania na środowisko.  </w:t>
      </w:r>
      <w:r>
        <w:rPr>
          <w:rFonts w:ascii="Calibri" w:eastAsia="NSimSun" w:hAnsi="Calibri"/>
          <w:color w:val="000000"/>
          <w:kern w:val="0"/>
          <w:sz w:val="24"/>
          <w:szCs w:val="24"/>
          <w:lang w:eastAsia="ar-SA"/>
        </w:rPr>
        <w:t>(t.j. Dz.U. z 2023 r. poz. 1094, ze zm.)</w:t>
      </w:r>
    </w:p>
    <w:p w:rsidR="0099329E" w:rsidRDefault="0099329E">
      <w:pPr>
        <w:spacing w:line="360" w:lineRule="auto"/>
        <w:rPr>
          <w:rFonts w:ascii="Calibri" w:hAnsi="Calibri"/>
          <w:sz w:val="24"/>
          <w:szCs w:val="24"/>
          <w:u w:val="single"/>
        </w:rPr>
      </w:pPr>
    </w:p>
    <w:p w:rsidR="0099329E" w:rsidRDefault="00CD4232">
      <w:pPr>
        <w:spacing w:line="360" w:lineRule="auto"/>
        <w:rPr>
          <w:rFonts w:ascii="Calibri" w:hAnsi="Calibri"/>
          <w:sz w:val="24"/>
          <w:szCs w:val="24"/>
        </w:rPr>
      </w:pPr>
      <w:bookmarkStart w:id="7" w:name="_GoBack1"/>
      <w:bookmarkEnd w:id="7"/>
      <w:r>
        <w:rPr>
          <w:rFonts w:ascii="Calibri" w:hAnsi="Calibri"/>
          <w:sz w:val="24"/>
          <w:szCs w:val="24"/>
          <w:u w:val="single"/>
        </w:rPr>
        <w:t>Pouczenie</w:t>
      </w:r>
      <w:r>
        <w:rPr>
          <w:rFonts w:ascii="Calibri" w:hAnsi="Calibri"/>
          <w:sz w:val="24"/>
          <w:szCs w:val="24"/>
        </w:rPr>
        <w:t xml:space="preserve">: </w:t>
      </w:r>
    </w:p>
    <w:p w:rsidR="0099329E" w:rsidRDefault="00CD4232">
      <w:pPr>
        <w:pStyle w:val="Akapitzlist"/>
        <w:numPr>
          <w:ilvl w:val="0"/>
          <w:numId w:val="8"/>
        </w:numPr>
        <w:tabs>
          <w:tab w:val="center" w:pos="0"/>
        </w:tabs>
        <w:snapToGrid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Inwestor jest obowiązany zawiadomić właściwy organ nadzoru budowlanego oraz projektanta sprawującego nadzór nad zgodnością realizacji budowy z projektem o zamierzonym terminie rozpoczęcia robót budowlanych, dla których wymagane jest uzyskanie decyzji o poz</w:t>
      </w:r>
      <w:r>
        <w:rPr>
          <w:rFonts w:ascii="Calibri" w:hAnsi="Calibri"/>
          <w:sz w:val="24"/>
          <w:szCs w:val="24"/>
        </w:rPr>
        <w:t xml:space="preserve">woleniu na budowę, dokonanie zgłoszenia budowy, o której mowa w art. 29 ust. 1 pkt 1-4, lub dokonanie zgłoszenia instalowania, o którym mowa w art. 29 ust. 3 pkt 3 li. d (zob. art. 41 ust. 4 ustawy z dnia 7 lipca 1994 r. – Prawo budowlane). </w:t>
      </w:r>
    </w:p>
    <w:p w:rsidR="0099329E" w:rsidRDefault="00CD4232">
      <w:pPr>
        <w:pStyle w:val="Akapitzlist"/>
        <w:numPr>
          <w:ilvl w:val="0"/>
          <w:numId w:val="8"/>
        </w:numPr>
        <w:tabs>
          <w:tab w:val="center" w:pos="0"/>
        </w:tabs>
        <w:snapToGrid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 zawiadomien</w:t>
      </w:r>
      <w:r>
        <w:rPr>
          <w:rFonts w:ascii="Calibri" w:hAnsi="Calibri"/>
          <w:sz w:val="24"/>
          <w:szCs w:val="24"/>
        </w:rPr>
        <w:t xml:space="preserve">ia właściwego organu nadzoru budowlanego o zamierzonym terminie rozpoczęcia robót budowlanych inwestor dołącza: </w:t>
      </w:r>
    </w:p>
    <w:p w:rsidR="0099329E" w:rsidRDefault="00CD4232">
      <w:pPr>
        <w:pStyle w:val="Akapitzlist"/>
        <w:tabs>
          <w:tab w:val="center" w:pos="0"/>
        </w:tabs>
        <w:snapToGrid w:val="0"/>
        <w:spacing w:line="360" w:lineRule="auto"/>
        <w:ind w:left="185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1) informację wskazującą imiona i nazwiska osób, które będą sprawować funkcję: </w:t>
      </w:r>
    </w:p>
    <w:p w:rsidR="0099329E" w:rsidRDefault="00CD4232">
      <w:pPr>
        <w:pStyle w:val="Akapitzlist"/>
        <w:tabs>
          <w:tab w:val="center" w:pos="0"/>
        </w:tabs>
        <w:snapToGrid w:val="0"/>
        <w:spacing w:line="360" w:lineRule="auto"/>
        <w:ind w:left="242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a) kierownika budowy - w przypadku robót budowlanych wymagający</w:t>
      </w:r>
      <w:r>
        <w:rPr>
          <w:rFonts w:ascii="Calibri" w:hAnsi="Calibri"/>
          <w:sz w:val="24"/>
          <w:szCs w:val="24"/>
        </w:rPr>
        <w:t xml:space="preserve">ch ustanowienia kierownika budowy, </w:t>
      </w:r>
    </w:p>
    <w:p w:rsidR="0099329E" w:rsidRDefault="00CD4232">
      <w:pPr>
        <w:pStyle w:val="Akapitzlist"/>
        <w:tabs>
          <w:tab w:val="center" w:pos="0"/>
        </w:tabs>
        <w:snapToGrid w:val="0"/>
        <w:spacing w:line="360" w:lineRule="auto"/>
        <w:ind w:left="242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b) inspektora nadzoru inwestorskiego - jeżeli został on ustanowiony </w:t>
      </w:r>
    </w:p>
    <w:p w:rsidR="0099329E" w:rsidRDefault="00CD4232">
      <w:pPr>
        <w:pStyle w:val="Akapitzlist"/>
        <w:tabs>
          <w:tab w:val="center" w:pos="0"/>
        </w:tabs>
        <w:snapToGrid w:val="0"/>
        <w:spacing w:line="360" w:lineRule="auto"/>
        <w:ind w:left="280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– oraz w odniesieniu do tych osób dołącza kopie zaświadczeń, o których mowa w art. 12 ust. 7, wraz z kopiami decyzji o nadaniu uprawnień budowlanych w </w:t>
      </w:r>
      <w:r>
        <w:rPr>
          <w:rFonts w:ascii="Calibri" w:hAnsi="Calibri"/>
          <w:sz w:val="24"/>
          <w:szCs w:val="24"/>
        </w:rPr>
        <w:t xml:space="preserve">odpowiedniej specjalności; </w:t>
      </w:r>
    </w:p>
    <w:p w:rsidR="0099329E" w:rsidRDefault="00CD4232">
      <w:pPr>
        <w:pStyle w:val="Akapitzlist"/>
        <w:tabs>
          <w:tab w:val="center" w:pos="0"/>
        </w:tabs>
        <w:snapToGrid w:val="0"/>
        <w:spacing w:line="360" w:lineRule="auto"/>
        <w:ind w:left="185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2) oświadczenie lub kopię oświadczenia projektanta i projektanta sprawdzającego o sporządzeniu projektu technicznego, dotyczącego zamierzenia budowlanego zgodnie z obowiązującymi przepisami, zasadami wiedzy technicznej, projekte</w:t>
      </w:r>
      <w:r>
        <w:rPr>
          <w:rFonts w:ascii="Calibri" w:hAnsi="Calibri"/>
          <w:sz w:val="24"/>
          <w:szCs w:val="24"/>
        </w:rPr>
        <w:t xml:space="preserve">m zagospodarowania działki lub </w:t>
      </w:r>
      <w:r>
        <w:rPr>
          <w:rFonts w:ascii="Calibri" w:hAnsi="Calibri"/>
          <w:sz w:val="24"/>
          <w:szCs w:val="24"/>
        </w:rPr>
        <w:lastRenderedPageBreak/>
        <w:t xml:space="preserve">terenu oraz projektem architektoniczno-budowlanym oraz rozstrzygnięciami dotyczącymi zamierzenia budowlanego. </w:t>
      </w:r>
    </w:p>
    <w:p w:rsidR="0099329E" w:rsidRDefault="00CD4232">
      <w:pPr>
        <w:pStyle w:val="Akapitzlist"/>
        <w:tabs>
          <w:tab w:val="center" w:pos="0"/>
        </w:tabs>
        <w:snapToGrid w:val="0"/>
        <w:spacing w:line="360" w:lineRule="auto"/>
        <w:ind w:left="185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Wymogu dołączenia kopii: zaświadczeń i uprawnień budowlanych w odpowiedniej specjalności - nie stosuje się do osób</w:t>
      </w:r>
      <w:r>
        <w:rPr>
          <w:rFonts w:ascii="Calibri" w:hAnsi="Calibri"/>
          <w:sz w:val="24"/>
          <w:szCs w:val="24"/>
        </w:rPr>
        <w:t xml:space="preserve"> wpisanych do centralnego rejestru osób posiadających uprawnienia budowlane; </w:t>
      </w:r>
    </w:p>
    <w:p w:rsidR="0099329E" w:rsidRDefault="00CD4232">
      <w:pPr>
        <w:pStyle w:val="Akapitzlist"/>
        <w:tabs>
          <w:tab w:val="center" w:pos="0"/>
        </w:tabs>
        <w:snapToGrid w:val="0"/>
        <w:spacing w:line="360" w:lineRule="auto"/>
        <w:ind w:left="185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Zawiadomienia organu nadzoru budowlanego o zamierzonym terminie rozpoczęcia robót budowlanych dokonuje się w postaci papierowej albo w formie dokumentu elektronicznego za pośredn</w:t>
      </w:r>
      <w:r>
        <w:rPr>
          <w:rFonts w:ascii="Calibri" w:hAnsi="Calibri"/>
          <w:sz w:val="24"/>
          <w:szCs w:val="24"/>
        </w:rPr>
        <w:t xml:space="preserve">ictwem portalu e-Budownictwo. </w:t>
      </w:r>
    </w:p>
    <w:p w:rsidR="0099329E" w:rsidRDefault="00CD4232">
      <w:pPr>
        <w:pStyle w:val="Akapitzlist"/>
        <w:tabs>
          <w:tab w:val="center" w:pos="0"/>
        </w:tabs>
        <w:snapToGrid w:val="0"/>
        <w:spacing w:line="360" w:lineRule="auto"/>
        <w:ind w:left="185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(zob. art. 41 ust. 4a ustawy z dnia 7 lipca 1994 r. – Prawo budowlane).</w:t>
      </w:r>
    </w:p>
    <w:p w:rsidR="0099329E" w:rsidRDefault="00CD4232">
      <w:pPr>
        <w:numPr>
          <w:ilvl w:val="0"/>
          <w:numId w:val="8"/>
        </w:numPr>
        <w:tabs>
          <w:tab w:val="center" w:pos="0"/>
        </w:tabs>
        <w:snapToGrid w:val="0"/>
        <w:spacing w:line="360" w:lineRule="auto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Do użytkowania obiektu budowlanego, na którego budowę wymagane jest pozwolenie na budowę, można przystąpić po zawiadomieniu właściwego organu nadzoru bud</w:t>
      </w:r>
      <w:r>
        <w:rPr>
          <w:rFonts w:ascii="Calibri" w:hAnsi="Calibri"/>
          <w:sz w:val="24"/>
          <w:szCs w:val="24"/>
        </w:rPr>
        <w:t>owlanego o zakończeniu budowy, jeżeli organ ten, w terminie 14 dni od dnia doręczenia zawiadomienia, nie zgłosi sprzeciwu w drodze decyzji (zob. art. 54 ustawy z dnia 7 lipca 1994 r. – Prawo budowlane). Przed przystąpieniem do użytkowania obiektu budowlane</w:t>
      </w:r>
      <w:r>
        <w:rPr>
          <w:rFonts w:ascii="Calibri" w:hAnsi="Calibri"/>
          <w:sz w:val="24"/>
          <w:szCs w:val="24"/>
        </w:rPr>
        <w:t>go inwestor jest obowiązany uzyskać decyzję o pozwoleniu na użytkowanie, jeżeli na budowę obiektu budowlanego jest wymagane pozwolenie na budowę i jest on zaliczony do kategorii: V, IX – XVI, XVII (z wyjątkiem warsztatów rzemieślniczych, stacji obsługi poj</w:t>
      </w:r>
      <w:r>
        <w:rPr>
          <w:rFonts w:ascii="Calibri" w:hAnsi="Calibri"/>
          <w:sz w:val="24"/>
          <w:szCs w:val="24"/>
        </w:rPr>
        <w:t xml:space="preserve">azdów, myjni samochodowych i garaży do pięciu stanowisk włącznie), XVIII (z wyjątkiem obiektów magazynowych: budynki składowe, chłodnie, hangary </w:t>
      </w:r>
      <w:r>
        <w:rPr>
          <w:rFonts w:ascii="Calibri" w:hAnsi="Calibri"/>
          <w:sz w:val="24"/>
          <w:szCs w:val="24"/>
        </w:rPr>
        <w:lastRenderedPageBreak/>
        <w:t>i wiaty, a także budynków kolejowych: nastawnie, podstacje trakcyjne, lokomotywownie, wagonownie, strażnice prz</w:t>
      </w:r>
      <w:r>
        <w:rPr>
          <w:rFonts w:ascii="Calibri" w:hAnsi="Calibri"/>
          <w:sz w:val="24"/>
          <w:szCs w:val="24"/>
        </w:rPr>
        <w:t>ejazdowe i myjnie taboru kolejowego), XX, XXII (z wyjątkiem placów składowych, postojowych i parkingów), XXIV (z wyjątkiem stawów rybnych), XXVII (z wyjątkiem jazów, wałów przeciwpowodziowych, opasek i ostróg brzegowych oraz rowów melioracyjnych), XXVIII –</w:t>
      </w:r>
      <w:r>
        <w:rPr>
          <w:rFonts w:ascii="Calibri" w:hAnsi="Calibri"/>
          <w:sz w:val="24"/>
          <w:szCs w:val="24"/>
        </w:rPr>
        <w:t xml:space="preserve"> XXX (zob. art. 55 ust. 1 pkt 1 ustawy z dnia 7 lipca 1994r. – Prawo budowlane). </w:t>
      </w:r>
    </w:p>
    <w:p w:rsidR="0099329E" w:rsidRDefault="00CD4232">
      <w:pPr>
        <w:numPr>
          <w:ilvl w:val="0"/>
          <w:numId w:val="8"/>
        </w:numPr>
        <w:tabs>
          <w:tab w:val="center" w:pos="0"/>
        </w:tabs>
        <w:snapToGrid w:val="0"/>
        <w:spacing w:line="360" w:lineRule="auto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Inwestor może przystąpić do użytkowania obiektu budowlanego przed wykonaniem wszystkich robót budowlanych pod warunkiem uzyskania decyzji o pozwoleniu na użytkowanie wydanej </w:t>
      </w:r>
      <w:r>
        <w:rPr>
          <w:rFonts w:ascii="Calibri" w:hAnsi="Calibri"/>
          <w:sz w:val="24"/>
          <w:szCs w:val="24"/>
        </w:rPr>
        <w:t xml:space="preserve">przez właściwy organ nadzoru budowlanego (zob. art. 55 ust. 1 pkt 3 ustawy z dnia 7 lipca 1994 r. – Prawo budowlane). </w:t>
      </w:r>
    </w:p>
    <w:p w:rsidR="0099329E" w:rsidRDefault="00CD4232">
      <w:pPr>
        <w:numPr>
          <w:ilvl w:val="0"/>
          <w:numId w:val="8"/>
        </w:numPr>
        <w:tabs>
          <w:tab w:val="center" w:pos="0"/>
        </w:tabs>
        <w:snapToGrid w:val="0"/>
        <w:spacing w:line="360" w:lineRule="auto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Inwestor zamiast dokonania zawiadomienia o zakończeniu budowy może wystąpić z wnioskiem o wydanie decyzji o pozwoleniu na użytkowanie (zo</w:t>
      </w:r>
      <w:r>
        <w:rPr>
          <w:rFonts w:ascii="Calibri" w:hAnsi="Calibri"/>
          <w:sz w:val="24"/>
          <w:szCs w:val="24"/>
        </w:rPr>
        <w:t>b. art. 55 ust. 2 ustawy z dnia 7 lipca 1994 r. – Prawo budowlane).</w:t>
      </w:r>
    </w:p>
    <w:p w:rsidR="0099329E" w:rsidRDefault="00CD4232">
      <w:pPr>
        <w:numPr>
          <w:ilvl w:val="0"/>
          <w:numId w:val="8"/>
        </w:numPr>
        <w:tabs>
          <w:tab w:val="center" w:pos="0"/>
        </w:tabs>
        <w:snapToGrid w:val="0"/>
        <w:spacing w:line="360" w:lineRule="auto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 xml:space="preserve">Przed wydaniem decyzji w sprawie pozwolenia na użytkowanie obiektu budowlanego właściwy organ nadzoru budowlanego przeprowadzi obowiązkową kontrolę budowy zgodnie z art. 59a ustawy z dnia </w:t>
      </w:r>
      <w:r>
        <w:rPr>
          <w:rFonts w:ascii="Calibri" w:hAnsi="Calibri"/>
          <w:color w:val="000000" w:themeColor="text1"/>
          <w:sz w:val="24"/>
          <w:szCs w:val="24"/>
        </w:rPr>
        <w:t xml:space="preserve">7 lipca 1994 r. – Prawo budowlane (zob. art. 59 ust. 1 ustawy z dnia 7 lipca 1994 r. – Prawo budowlane). Wniosek o udzielenie pozwolenia na użytkowanie stanowi wezwanie właściwego organu do przeprowadzenia obowiązkowej kontroli budowy (zob. art. 57 ust. 6 </w:t>
      </w:r>
      <w:r>
        <w:rPr>
          <w:rFonts w:ascii="Calibri" w:hAnsi="Calibri"/>
          <w:color w:val="000000" w:themeColor="text1"/>
          <w:sz w:val="24"/>
          <w:szCs w:val="24"/>
        </w:rPr>
        <w:t>ustawy z dnia 7 lipca 1994 r. – Prawo budowlane).</w:t>
      </w:r>
    </w:p>
    <w:p w:rsidR="0099329E" w:rsidRDefault="00CD4232">
      <w:pPr>
        <w:spacing w:before="283" w:after="283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1F548F"/>
          <w:sz w:val="24"/>
          <w:szCs w:val="24"/>
          <w:lang w:eastAsia="pl-PL"/>
        </w:rPr>
        <w:t>Klauzula informacyjna o przetwarzaniu danych osobowych</w:t>
      </w:r>
    </w:p>
    <w:p w:rsidR="0099329E" w:rsidRDefault="00CD4232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333333"/>
          <w:sz w:val="24"/>
          <w:szCs w:val="24"/>
          <w:lang w:eastAsia="pl-PL"/>
        </w:rPr>
        <w:lastRenderedPageBreak/>
        <w:t xml:space="preserve">25 maja 2018 r. na terytorium wszystkich krajów Unii Europejskiej zaczęło obowiązywać rozporządzenie Parlamentu Europejskiego i Rady (UE) 2016/679 z </w:t>
      </w:r>
      <w:r>
        <w:rPr>
          <w:rFonts w:ascii="Calibri" w:hAnsi="Calibri"/>
          <w:b/>
          <w:bCs/>
          <w:color w:val="333333"/>
          <w:sz w:val="24"/>
          <w:szCs w:val="24"/>
          <w:lang w:eastAsia="pl-PL"/>
        </w:rPr>
        <w:t>dnia 27 kwietnia 2016 r. w sprawie ochrony osób fizycznych w związku z przetwarzaniem danych osobowych i w sprawie swobodnego przepływu takich danych oraz uchylenia dyrektywy 95/46/WE (ogólne rozporządzenie o ochronie danych - RODO). RODO określa zasady, n</w:t>
      </w:r>
      <w:r>
        <w:rPr>
          <w:rFonts w:ascii="Calibri" w:hAnsi="Calibri"/>
          <w:b/>
          <w:bCs/>
          <w:color w:val="333333"/>
          <w:sz w:val="24"/>
          <w:szCs w:val="24"/>
          <w:lang w:eastAsia="pl-PL"/>
        </w:rPr>
        <w:t>a jakich można przetwarzać dane osobowe. Z przepisów rozporządzenia o ochronie danych wynika też obowiązek ochrony danych osobowych.</w:t>
      </w:r>
    </w:p>
    <w:p w:rsidR="0099329E" w:rsidRDefault="00CD4232">
      <w:pPr>
        <w:shd w:val="clear" w:color="auto" w:fill="FFFFFF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1F548F"/>
          <w:sz w:val="24"/>
          <w:szCs w:val="24"/>
          <w:lang w:eastAsia="pl-PL"/>
        </w:rPr>
        <w:t>Kto jest administratorem Państwa danych? Jak skontaktować się z administratorem danych?</w:t>
      </w:r>
    </w:p>
    <w:p w:rsidR="0099329E" w:rsidRDefault="00CD4232">
      <w:pPr>
        <w:shd w:val="clear" w:color="auto" w:fill="FFFFFF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sz w:val="24"/>
          <w:szCs w:val="24"/>
          <w:lang w:eastAsia="pl-PL"/>
        </w:rPr>
        <w:t>Administratorem Państwa danych osob</w:t>
      </w:r>
      <w:r>
        <w:rPr>
          <w:rFonts w:ascii="Calibri" w:hAnsi="Calibri"/>
          <w:color w:val="333333"/>
          <w:sz w:val="24"/>
          <w:szCs w:val="24"/>
          <w:lang w:eastAsia="pl-PL"/>
        </w:rPr>
        <w:t xml:space="preserve">owych jest Wojewoda Łódzki. </w:t>
      </w:r>
    </w:p>
    <w:p w:rsidR="0099329E" w:rsidRDefault="00CD4232">
      <w:pPr>
        <w:shd w:val="clear" w:color="auto" w:fill="FFFFFF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sz w:val="24"/>
          <w:szCs w:val="24"/>
          <w:lang w:eastAsia="pl-PL"/>
        </w:rPr>
        <w:t>- adres: Łódzki Urząd Wojewódzki w Łodzi, ul. Piotrkowska 104, 90-926 Łódź</w:t>
      </w:r>
    </w:p>
    <w:p w:rsidR="0099329E" w:rsidRDefault="00CD4232">
      <w:pPr>
        <w:shd w:val="clear" w:color="auto" w:fill="FFFFFF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sz w:val="24"/>
          <w:szCs w:val="24"/>
          <w:lang w:eastAsia="pl-PL"/>
        </w:rPr>
        <w:lastRenderedPageBreak/>
        <w:t>- e-mail: </w:t>
      </w:r>
      <w:r>
        <w:rPr>
          <w:rFonts w:ascii="Calibri" w:hAnsi="Calibri"/>
          <w:color w:val="0000FF"/>
          <w:sz w:val="24"/>
          <w:szCs w:val="24"/>
          <w:u w:val="single"/>
          <w:shd w:val="clear" w:color="auto" w:fill="FFFFFF"/>
          <w:lang w:eastAsia="pl-PL"/>
        </w:rPr>
        <w:t>kancelaria@lodz.uw.gov.pl</w:t>
      </w:r>
    </w:p>
    <w:p w:rsidR="0099329E" w:rsidRDefault="00CD4232">
      <w:pPr>
        <w:shd w:val="clear" w:color="auto" w:fill="FFFFFF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1F548F"/>
          <w:sz w:val="24"/>
          <w:szCs w:val="24"/>
          <w:lang w:eastAsia="pl-PL"/>
        </w:rPr>
        <w:t>Jak skontaktować się z inspektorem ochrony danych?</w:t>
      </w:r>
    </w:p>
    <w:p w:rsidR="0099329E" w:rsidRDefault="00CD4232">
      <w:pPr>
        <w:shd w:val="clear" w:color="auto" w:fill="FFFFFF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1F548F"/>
          <w:sz w:val="24"/>
          <w:szCs w:val="24"/>
          <w:lang w:eastAsia="pl-PL"/>
        </w:rPr>
        <w:t xml:space="preserve">- </w:t>
      </w:r>
      <w:r>
        <w:rPr>
          <w:rFonts w:ascii="Calibri" w:hAnsi="Calibri"/>
          <w:color w:val="333333"/>
          <w:sz w:val="24"/>
          <w:szCs w:val="24"/>
          <w:lang w:eastAsia="pl-PL"/>
        </w:rPr>
        <w:t xml:space="preserve">adres: Łódzki Urząd Wojewódzki w Łodzi, ul. Piotrkowska 104, </w:t>
      </w:r>
      <w:r>
        <w:rPr>
          <w:rFonts w:ascii="Calibri" w:hAnsi="Calibri"/>
          <w:color w:val="333333"/>
          <w:sz w:val="24"/>
          <w:szCs w:val="24"/>
          <w:lang w:eastAsia="pl-PL"/>
        </w:rPr>
        <w:t>90-926 Łódź</w:t>
      </w:r>
    </w:p>
    <w:p w:rsidR="0099329E" w:rsidRDefault="00CD4232">
      <w:pPr>
        <w:shd w:val="clear" w:color="auto" w:fill="FFFFFF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sz w:val="24"/>
          <w:szCs w:val="24"/>
          <w:lang w:eastAsia="pl-PL"/>
        </w:rPr>
        <w:t>- e-mail: </w:t>
      </w:r>
      <w:r>
        <w:rPr>
          <w:rFonts w:ascii="Calibri" w:hAnsi="Calibri"/>
          <w:b/>
          <w:bCs/>
          <w:color w:val="0000FF"/>
          <w:sz w:val="24"/>
          <w:szCs w:val="24"/>
          <w:u w:val="single"/>
          <w:shd w:val="clear" w:color="auto" w:fill="FFFFFF"/>
          <w:lang w:eastAsia="pl-PL"/>
        </w:rPr>
        <w:t>iod</w:t>
      </w:r>
      <w:r>
        <w:rPr>
          <w:rFonts w:ascii="Calibri" w:hAnsi="Calibri"/>
          <w:color w:val="0000FF"/>
          <w:sz w:val="24"/>
          <w:szCs w:val="24"/>
          <w:u w:val="single"/>
          <w:shd w:val="clear" w:color="auto" w:fill="FFFFFF"/>
          <w:lang w:eastAsia="pl-PL"/>
        </w:rPr>
        <w:t>@lodz.uw.gov.pl</w:t>
      </w:r>
      <w:r>
        <w:rPr>
          <w:rFonts w:ascii="Calibri" w:hAnsi="Calibri"/>
          <w:color w:val="545454"/>
          <w:sz w:val="24"/>
          <w:szCs w:val="24"/>
          <w:shd w:val="clear" w:color="auto" w:fill="FFFFFF"/>
          <w:lang w:eastAsia="pl-PL"/>
        </w:rPr>
        <w:t>.</w:t>
      </w:r>
    </w:p>
    <w:p w:rsidR="0099329E" w:rsidRDefault="00CD4232">
      <w:pPr>
        <w:shd w:val="clear" w:color="auto" w:fill="FFFFFF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1F548F"/>
          <w:sz w:val="24"/>
          <w:szCs w:val="24"/>
          <w:lang w:eastAsia="pl-PL"/>
        </w:rPr>
        <w:t>W jakim celu administrator będzie przetwarzać Państwa dane?</w:t>
      </w:r>
    </w:p>
    <w:p w:rsidR="0099329E" w:rsidRDefault="00CD4232">
      <w:pPr>
        <w:shd w:val="clear" w:color="auto" w:fill="FFFFFF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sz w:val="24"/>
          <w:szCs w:val="24"/>
          <w:lang w:eastAsia="pl-PL"/>
        </w:rPr>
        <w:t>Administrator przetwarza Państwa dane, aby Wojewoda Łódzki mógł wykonywać swoje ustawowe zadania, w szczególności:</w:t>
      </w:r>
    </w:p>
    <w:p w:rsidR="0099329E" w:rsidRDefault="00CD4232">
      <w:pPr>
        <w:shd w:val="clear" w:color="auto" w:fill="FFFFFF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sz w:val="24"/>
          <w:szCs w:val="24"/>
          <w:lang w:eastAsia="pl-PL"/>
        </w:rPr>
        <w:t>- rozpatrywać sprawy – prowadzić postęp</w:t>
      </w:r>
      <w:r>
        <w:rPr>
          <w:rFonts w:ascii="Calibri" w:hAnsi="Calibri"/>
          <w:color w:val="333333"/>
          <w:sz w:val="24"/>
          <w:szCs w:val="24"/>
          <w:lang w:eastAsia="pl-PL"/>
        </w:rPr>
        <w:t>owania administracyjne, należące do właściwości wojewody jako organu administracji architektoniczno-budowlanej I instancji;</w:t>
      </w:r>
    </w:p>
    <w:p w:rsidR="0099329E" w:rsidRDefault="00CD4232">
      <w:pPr>
        <w:shd w:val="clear" w:color="auto" w:fill="FFFFFF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lang w:eastAsia="pl-PL"/>
        </w:rPr>
        <w:t xml:space="preserve">- prowadzić rejestr wniosków o pozwolenie na budowę i rejestru decyzji o pozwoleniu na budowę wydawanych przez wojewodę; </w:t>
      </w:r>
    </w:p>
    <w:p w:rsidR="0099329E" w:rsidRDefault="00CD4232">
      <w:pPr>
        <w:shd w:val="clear" w:color="auto" w:fill="FFFFFF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sz w:val="24"/>
          <w:szCs w:val="24"/>
          <w:lang w:eastAsia="pl-PL"/>
        </w:rPr>
        <w:lastRenderedPageBreak/>
        <w:t>- rozpatry</w:t>
      </w:r>
      <w:r>
        <w:rPr>
          <w:rFonts w:ascii="Calibri" w:hAnsi="Calibri"/>
          <w:color w:val="333333"/>
          <w:sz w:val="24"/>
          <w:szCs w:val="24"/>
          <w:lang w:eastAsia="pl-PL"/>
        </w:rPr>
        <w:t>wać sprawy należące do właściwości wojewody jako organu administracji rządowej (skargi, wnioski, zapytania itp.);</w:t>
      </w:r>
    </w:p>
    <w:p w:rsidR="0099329E" w:rsidRDefault="00CD4232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1F548F"/>
          <w:sz w:val="24"/>
          <w:szCs w:val="24"/>
          <w:lang w:eastAsia="pl-PL"/>
        </w:rPr>
        <w:t>Na jakiej podstawie administrator przetwarza Państwa dane osobowe?</w:t>
      </w:r>
    </w:p>
    <w:p w:rsidR="0099329E" w:rsidRDefault="00CD4232">
      <w:pPr>
        <w:shd w:val="clear" w:color="auto" w:fill="FFFFFF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sz w:val="24"/>
          <w:szCs w:val="24"/>
          <w:lang w:eastAsia="pl-PL"/>
        </w:rPr>
        <w:t>Podstawą prawną przetwarzania danych osobowych jest obowiązek prawny, który</w:t>
      </w:r>
      <w:r>
        <w:rPr>
          <w:rFonts w:ascii="Calibri" w:hAnsi="Calibri"/>
          <w:color w:val="333333"/>
          <w:sz w:val="24"/>
          <w:szCs w:val="24"/>
          <w:lang w:eastAsia="pl-PL"/>
        </w:rPr>
        <w:t xml:space="preserve"> ciąży na administratorze. Przetwarzanie danych jest niezbędne do wypełnienia obowiązku prawnego ciążącego na administratorze. </w:t>
      </w:r>
    </w:p>
    <w:p w:rsidR="0099329E" w:rsidRDefault="00CD4232">
      <w:pPr>
        <w:shd w:val="clear" w:color="auto" w:fill="FFFFFF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1F548F"/>
          <w:sz w:val="24"/>
          <w:szCs w:val="24"/>
          <w:lang w:eastAsia="pl-PL"/>
        </w:rPr>
        <w:t>Źródła danych</w:t>
      </w:r>
    </w:p>
    <w:p w:rsidR="0099329E" w:rsidRDefault="00CD4232">
      <w:pPr>
        <w:shd w:val="clear" w:color="auto" w:fill="FFFFFF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sz w:val="24"/>
          <w:szCs w:val="24"/>
          <w:lang w:eastAsia="pl-PL"/>
        </w:rPr>
        <w:t>Administrator może pozyskiwać dane osobowe od osoby, której te dane dotyczą, ze źródeł publicznie dostępnych, od o</w:t>
      </w:r>
      <w:r>
        <w:rPr>
          <w:rFonts w:ascii="Calibri" w:hAnsi="Calibri"/>
          <w:color w:val="333333"/>
          <w:sz w:val="24"/>
          <w:szCs w:val="24"/>
          <w:lang w:eastAsia="pl-PL"/>
        </w:rPr>
        <w:t>rganów administracji państwowej, od innych podmiotów, od osób fizycznych zobowiązanych do przekazania danych osobowych.</w:t>
      </w:r>
    </w:p>
    <w:p w:rsidR="0099329E" w:rsidRDefault="00CD4232">
      <w:pPr>
        <w:shd w:val="clear" w:color="auto" w:fill="FFFFFF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1F548F"/>
          <w:sz w:val="24"/>
          <w:szCs w:val="24"/>
          <w:lang w:eastAsia="pl-PL"/>
        </w:rPr>
        <w:t>Kto będzie mieć dostęp do Państwa danych osobowych?</w:t>
      </w:r>
    </w:p>
    <w:p w:rsidR="0099329E" w:rsidRDefault="00CD4232">
      <w:pPr>
        <w:shd w:val="clear" w:color="auto" w:fill="FFFFFF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sz w:val="24"/>
          <w:szCs w:val="24"/>
          <w:lang w:eastAsia="pl-PL"/>
        </w:rPr>
        <w:lastRenderedPageBreak/>
        <w:t>Administrator może przekazywać (udostępniać) – w celu wskazanym wyżej - Państwa dane</w:t>
      </w:r>
      <w:r>
        <w:rPr>
          <w:rFonts w:ascii="Calibri" w:hAnsi="Calibri"/>
          <w:color w:val="333333"/>
          <w:sz w:val="24"/>
          <w:szCs w:val="24"/>
          <w:lang w:eastAsia="pl-PL"/>
        </w:rPr>
        <w:t xml:space="preserve"> osobowe innym kategoriom odbiorców danych osobowych. Odbiorcami tych danych osobowych są strony postępowania, prowadzonego przez wojewodę i ich pełnomocnicy, podmioty działające na prawach strony, i ich pełnomocnicy, a także uczestnicy postępowań (np. bie</w:t>
      </w:r>
      <w:r>
        <w:rPr>
          <w:rFonts w:ascii="Calibri" w:hAnsi="Calibri"/>
          <w:color w:val="333333"/>
          <w:sz w:val="24"/>
          <w:szCs w:val="24"/>
          <w:lang w:eastAsia="pl-PL"/>
        </w:rPr>
        <w:t xml:space="preserve">gli itp.), organy publiczne i urzędy państwowe lub inne podmioty upoważnione na podstawie przepisów prawa lub wykonujący zadania realizowane w interesie publicznym lub w ramach sprawowania władzy publicznej. </w:t>
      </w:r>
    </w:p>
    <w:p w:rsidR="0099329E" w:rsidRDefault="00CD4232">
      <w:pPr>
        <w:shd w:val="clear" w:color="auto" w:fill="FFFFFF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1F548F"/>
          <w:sz w:val="24"/>
          <w:szCs w:val="24"/>
          <w:lang w:eastAsia="pl-PL"/>
        </w:rPr>
        <w:t>Jak długo administrator będzie przetwarzać Pańs</w:t>
      </w:r>
      <w:r>
        <w:rPr>
          <w:rFonts w:ascii="Calibri" w:hAnsi="Calibri"/>
          <w:b/>
          <w:bCs/>
          <w:color w:val="1F548F"/>
          <w:sz w:val="24"/>
          <w:szCs w:val="24"/>
          <w:lang w:eastAsia="pl-PL"/>
        </w:rPr>
        <w:t>twa dane?</w:t>
      </w:r>
    </w:p>
    <w:p w:rsidR="0099329E" w:rsidRDefault="00CD4232">
      <w:pPr>
        <w:shd w:val="clear" w:color="auto" w:fill="FFFFFF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sz w:val="24"/>
          <w:szCs w:val="24"/>
          <w:lang w:eastAsia="pl-PL"/>
        </w:rPr>
        <w:t xml:space="preserve">Administrator będzie przetwarzać Państwa dane do czasu, aż wykona określone zadanie. </w:t>
      </w:r>
    </w:p>
    <w:p w:rsidR="0099329E" w:rsidRDefault="00CD4232">
      <w:pPr>
        <w:shd w:val="clear" w:color="auto" w:fill="FFFFFF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sz w:val="24"/>
          <w:szCs w:val="24"/>
          <w:lang w:eastAsia="pl-PL"/>
        </w:rPr>
        <w:t>Czas ten obejmuje też archiwizację dokumentów, które administrator zgromadzi w związku z realizacją tego zadania.</w:t>
      </w:r>
    </w:p>
    <w:p w:rsidR="0099329E" w:rsidRDefault="00CD4232">
      <w:pPr>
        <w:shd w:val="clear" w:color="auto" w:fill="FFFFFF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1F548F"/>
          <w:sz w:val="24"/>
          <w:szCs w:val="24"/>
          <w:lang w:eastAsia="pl-PL"/>
        </w:rPr>
        <w:lastRenderedPageBreak/>
        <w:t>Jakie przysługują Państwu prawa?</w:t>
      </w:r>
    </w:p>
    <w:p w:rsidR="0099329E" w:rsidRDefault="00CD4232">
      <w:pPr>
        <w:shd w:val="clear" w:color="auto" w:fill="FFFFFF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sz w:val="24"/>
          <w:szCs w:val="24"/>
          <w:lang w:eastAsia="pl-PL"/>
        </w:rPr>
        <w:t xml:space="preserve">Mają Państwo </w:t>
      </w:r>
      <w:r>
        <w:rPr>
          <w:rFonts w:ascii="Calibri" w:hAnsi="Calibri"/>
          <w:color w:val="333333"/>
          <w:sz w:val="24"/>
          <w:szCs w:val="24"/>
          <w:lang w:eastAsia="pl-PL"/>
        </w:rPr>
        <w:t>prawo żądać od administratora danych, aby:</w:t>
      </w:r>
    </w:p>
    <w:p w:rsidR="0099329E" w:rsidRDefault="00CD4232">
      <w:pPr>
        <w:shd w:val="clear" w:color="auto" w:fill="FFFFFF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sz w:val="24"/>
          <w:szCs w:val="24"/>
          <w:lang w:eastAsia="pl-PL"/>
        </w:rPr>
        <w:t>- umożliwił Państwu dostęp do swoich danych osobowych,</w:t>
      </w:r>
    </w:p>
    <w:p w:rsidR="0099329E" w:rsidRDefault="00CD4232">
      <w:pPr>
        <w:shd w:val="clear" w:color="auto" w:fill="FFFFFF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sz w:val="24"/>
          <w:szCs w:val="24"/>
          <w:lang w:eastAsia="pl-PL"/>
        </w:rPr>
        <w:t>- sprostował przetwarzane dane,</w:t>
      </w:r>
    </w:p>
    <w:p w:rsidR="0099329E" w:rsidRDefault="00CD4232">
      <w:pPr>
        <w:shd w:val="clear" w:color="auto" w:fill="FFFFFF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sz w:val="24"/>
          <w:szCs w:val="24"/>
          <w:lang w:eastAsia="pl-PL"/>
        </w:rPr>
        <w:t xml:space="preserve">Żądanie realizacji wymienionych praw proszę przesłać w formie pisemnej do administratora danych (dane kontaktowe jak wyżej, z </w:t>
      </w:r>
      <w:r>
        <w:rPr>
          <w:rFonts w:ascii="Calibri" w:hAnsi="Calibri"/>
          <w:color w:val="333333"/>
          <w:sz w:val="24"/>
          <w:szCs w:val="24"/>
          <w:lang w:eastAsia="pl-PL"/>
        </w:rPr>
        <w:t>dopiskiem „Ochrona danych osobowych”).</w:t>
      </w:r>
    </w:p>
    <w:p w:rsidR="0099329E" w:rsidRDefault="00CD4232">
      <w:pPr>
        <w:shd w:val="clear" w:color="auto" w:fill="FFFFFF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sz w:val="24"/>
          <w:szCs w:val="24"/>
          <w:lang w:eastAsia="pl-PL"/>
        </w:rPr>
        <w:t xml:space="preserve">Przysługuje też Państwu prawo, aby wnieść skargę do Prezesa Urzędu Ochrony Danych Osobowych w przypadku, gdy uznają Państwo, że przetwarzanie danych osobowych narusza przepisy. </w:t>
      </w:r>
    </w:p>
    <w:p w:rsidR="0099329E" w:rsidRDefault="00CD4232">
      <w:pPr>
        <w:shd w:val="clear" w:color="auto" w:fill="FFFFFF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1F548F"/>
          <w:sz w:val="24"/>
          <w:szCs w:val="24"/>
          <w:lang w:eastAsia="pl-PL"/>
        </w:rPr>
        <w:t>Czy Państwa dane są bezpieczne?</w:t>
      </w:r>
    </w:p>
    <w:p w:rsidR="0099329E" w:rsidRDefault="00CD4232">
      <w:pPr>
        <w:shd w:val="clear" w:color="auto" w:fill="FFFFFF"/>
        <w:snapToGrid w:val="0"/>
        <w:spacing w:line="360" w:lineRule="auto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sz w:val="24"/>
          <w:szCs w:val="24"/>
          <w:lang w:eastAsia="pl-PL"/>
        </w:rPr>
        <w:t>Tak. Ad</w:t>
      </w:r>
      <w:r>
        <w:rPr>
          <w:rFonts w:ascii="Calibri" w:hAnsi="Calibri"/>
          <w:color w:val="333333"/>
          <w:sz w:val="24"/>
          <w:szCs w:val="24"/>
          <w:lang w:eastAsia="pl-PL"/>
        </w:rPr>
        <w:t>ministrator nie wykorzystuje ich po to, aby w sposób zautomatyzowany podejmować decyzje lub profilować dane.</w:t>
      </w:r>
    </w:p>
    <w:sectPr w:rsidR="0099329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398" w:bottom="949" w:left="1418" w:header="707" w:footer="460" w:gutter="0"/>
      <w:pgNumType w:start="1"/>
      <w:cols w:space="708"/>
      <w:formProt w:val="0"/>
      <w:titlePg/>
      <w:docGrid w:linePitch="600" w:charSpace="65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232" w:rsidRDefault="00CD4232">
      <w:r>
        <w:separator/>
      </w:r>
    </w:p>
  </w:endnote>
  <w:endnote w:type="continuationSeparator" w:id="0">
    <w:p w:rsidR="00CD4232" w:rsidRDefault="00CD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29E" w:rsidRDefault="00CD4232">
    <w:pPr>
      <w:pStyle w:val="Stopka1"/>
      <w:jc w:val="center"/>
    </w:pPr>
    <w:r>
      <w:t xml:space="preserve"> </w:t>
    </w:r>
    <w:r>
      <w:fldChar w:fldCharType="begin"/>
    </w:r>
    <w:r>
      <w:instrText>PAGE</w:instrText>
    </w:r>
    <w:r>
      <w:fldChar w:fldCharType="separate"/>
    </w:r>
    <w: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29E" w:rsidRDefault="00CD4232">
    <w:pPr>
      <w:pStyle w:val="Stopka1"/>
      <w:jc w:val="center"/>
    </w:pPr>
    <w:r>
      <w:rPr>
        <w:b/>
        <w:sz w:val="14"/>
      </w:rPr>
      <w:t>ŁÓDZKI URZĄD WOJEWÓDZKI W ŁODZI</w:t>
    </w:r>
  </w:p>
  <w:p w:rsidR="0099329E" w:rsidRDefault="00CD4232">
    <w:pPr>
      <w:pStyle w:val="Stopka1"/>
      <w:jc w:val="center"/>
    </w:pPr>
    <w:r>
      <w:rPr>
        <w:sz w:val="14"/>
      </w:rPr>
      <w:t>90-926 Łódź, ul</w:t>
    </w:r>
    <w:r>
      <w:rPr>
        <w:sz w:val="14"/>
      </w:rPr>
      <w:t>. Piotrkowska 104, tel.: (+48) 42 664 10 00, fax: (+48) 42 664 10 40Elektroniczna Skrzynka Podawcza ePUAP: /lodzuw/SkrytkaESP</w:t>
    </w:r>
  </w:p>
  <w:p w:rsidR="0099329E" w:rsidRDefault="00CD4232">
    <w:pPr>
      <w:pStyle w:val="Stopka1"/>
      <w:jc w:val="center"/>
    </w:pPr>
    <w:hyperlink r:id="rId1">
      <w:r>
        <w:rPr>
          <w:rStyle w:val="czeinternetowe"/>
          <w:sz w:val="14"/>
          <w:szCs w:val="14"/>
        </w:rPr>
        <w:t>https://www.gov.pl/web/uw-lodzki</w:t>
      </w:r>
    </w:hyperlink>
  </w:p>
  <w:p w:rsidR="0099329E" w:rsidRDefault="00CD4232">
    <w:pPr>
      <w:pStyle w:val="Stopka1"/>
      <w:jc w:val="center"/>
    </w:pPr>
    <w:r>
      <w:rPr>
        <w:sz w:val="14"/>
      </w:rPr>
      <w:t xml:space="preserve">Administratorem danych osobowych jest Wojewoda Łódzki. </w:t>
    </w:r>
    <w:r>
      <w:rPr>
        <w:sz w:val="14"/>
      </w:rPr>
      <w:t xml:space="preserve">Dane przetwarzane są w celu realizacji czynności urzędowych. Masz prawo do dostępu, sprostowania, ograniczenia przetwarzania danych. Więcej informacji znajdziesz na stronie </w:t>
    </w:r>
    <w:hyperlink r:id="rId2">
      <w:r>
        <w:rPr>
          <w:rStyle w:val="czeinternetowe"/>
          <w:sz w:val="14"/>
          <w:szCs w:val="14"/>
        </w:rPr>
        <w:t>https://www.gov.pl/web/uw-lodzki</w:t>
      </w:r>
    </w:hyperlink>
    <w:r>
      <w:rPr>
        <w:sz w:val="14"/>
      </w:rPr>
      <w:t xml:space="preserve"> w zakład</w:t>
    </w:r>
    <w:r>
      <w:rPr>
        <w:sz w:val="14"/>
      </w:rPr>
      <w:t>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232" w:rsidRDefault="00CD4232">
      <w:r>
        <w:separator/>
      </w:r>
    </w:p>
  </w:footnote>
  <w:footnote w:type="continuationSeparator" w:id="0">
    <w:p w:rsidR="00CD4232" w:rsidRDefault="00CD4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29E" w:rsidRDefault="0099329E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29E" w:rsidRDefault="00CD4232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7" t="4726" r="20042" b="9738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555D"/>
    <w:multiLevelType w:val="multilevel"/>
    <w:tmpl w:val="15E8D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247D11"/>
    <w:multiLevelType w:val="multilevel"/>
    <w:tmpl w:val="ABDEE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" w15:restartNumberingAfterBreak="0">
    <w:nsid w:val="27DB2F87"/>
    <w:multiLevelType w:val="multilevel"/>
    <w:tmpl w:val="081ED6F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D7C1BD0"/>
    <w:multiLevelType w:val="multilevel"/>
    <w:tmpl w:val="7298C8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kern w:val="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B60349"/>
    <w:multiLevelType w:val="multilevel"/>
    <w:tmpl w:val="6C76776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B9758C1"/>
    <w:multiLevelType w:val="multilevel"/>
    <w:tmpl w:val="3BAE1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57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46107FD"/>
    <w:multiLevelType w:val="multilevel"/>
    <w:tmpl w:val="4A7E2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;Arial Unicode MS" w:hint="default"/>
        <w:sz w:val="22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;Arial Unicode MS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;Arial Unicode MS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;Arial Unicode MS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;Arial Unicode MS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;Arial Unicode MS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;Arial Unicode MS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;Arial Unicode MS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;Arial Unicode MS" w:hint="default"/>
        <w:sz w:val="24"/>
        <w:szCs w:val="24"/>
      </w:rPr>
    </w:lvl>
  </w:abstractNum>
  <w:abstractNum w:abstractNumId="7" w15:restartNumberingAfterBreak="0">
    <w:nsid w:val="48A64B15"/>
    <w:multiLevelType w:val="multilevel"/>
    <w:tmpl w:val="4A621878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75FED"/>
    <w:multiLevelType w:val="multilevel"/>
    <w:tmpl w:val="A134C0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57"/>
      </w:pPr>
      <w:rPr>
        <w:rFonts w:ascii="Symbol" w:hAnsi="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77D3974"/>
    <w:multiLevelType w:val="multilevel"/>
    <w:tmpl w:val="CA107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0" w15:restartNumberingAfterBreak="0">
    <w:nsid w:val="7C0E6E20"/>
    <w:multiLevelType w:val="multilevel"/>
    <w:tmpl w:val="02CCC0F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0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9E"/>
    <w:rsid w:val="00474AA3"/>
    <w:rsid w:val="0099329E"/>
    <w:rsid w:val="00CD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6AB82E2-7394-4541-9B05-C3429E20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E854BB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ListLabel1">
    <w:name w:val="ListLabel 1"/>
    <w:qFormat/>
    <w:rPr>
      <w:sz w:val="14"/>
      <w:szCs w:val="14"/>
    </w:rPr>
  </w:style>
  <w:style w:type="character" w:customStyle="1" w:styleId="ListLabel1372">
    <w:name w:val="ListLabel 1372"/>
    <w:qFormat/>
    <w:rPr>
      <w:color w:val="auto"/>
      <w:kern w:val="0"/>
      <w:sz w:val="24"/>
      <w:szCs w:val="24"/>
      <w:u w:val="none"/>
    </w:rPr>
  </w:style>
  <w:style w:type="character" w:customStyle="1" w:styleId="ListLabel1349">
    <w:name w:val="ListLabel 1349"/>
    <w:qFormat/>
    <w:rPr>
      <w:rFonts w:eastAsia="Times New Roman" w:cs="Times New Roman"/>
      <w:kern w:val="0"/>
      <w:sz w:val="24"/>
      <w:szCs w:val="24"/>
      <w:lang w:eastAsia="pl-PL"/>
    </w:rPr>
  </w:style>
  <w:style w:type="character" w:customStyle="1" w:styleId="ListLabel1373">
    <w:name w:val="ListLabel 1373"/>
    <w:qFormat/>
    <w:rPr>
      <w:color w:val="auto"/>
      <w:sz w:val="24"/>
      <w:szCs w:val="24"/>
      <w:u w:val="none"/>
    </w:rPr>
  </w:style>
  <w:style w:type="character" w:customStyle="1" w:styleId="ListLabel1350">
    <w:name w:val="ListLabel 1350"/>
    <w:qFormat/>
    <w:rPr>
      <w:rFonts w:cs="StarSymbol;Arial Unicode MS"/>
      <w:sz w:val="22"/>
      <w:szCs w:val="24"/>
    </w:rPr>
  </w:style>
  <w:style w:type="character" w:customStyle="1" w:styleId="ListLabel1351">
    <w:name w:val="ListLabel 1351"/>
    <w:qFormat/>
    <w:rPr>
      <w:rFonts w:cs="StarSymbol;Arial Unicode MS"/>
      <w:sz w:val="24"/>
      <w:szCs w:val="24"/>
    </w:rPr>
  </w:style>
  <w:style w:type="character" w:customStyle="1" w:styleId="ListLabel1352">
    <w:name w:val="ListLabel 1352"/>
    <w:qFormat/>
    <w:rPr>
      <w:rFonts w:cs="StarSymbol;Arial Unicode MS"/>
      <w:sz w:val="24"/>
      <w:szCs w:val="24"/>
    </w:rPr>
  </w:style>
  <w:style w:type="character" w:customStyle="1" w:styleId="ListLabel1353">
    <w:name w:val="ListLabel 1353"/>
    <w:qFormat/>
    <w:rPr>
      <w:rFonts w:cs="StarSymbol;Arial Unicode MS"/>
      <w:sz w:val="24"/>
      <w:szCs w:val="24"/>
    </w:rPr>
  </w:style>
  <w:style w:type="character" w:customStyle="1" w:styleId="ListLabel1354">
    <w:name w:val="ListLabel 1354"/>
    <w:qFormat/>
    <w:rPr>
      <w:rFonts w:cs="StarSymbol;Arial Unicode MS"/>
      <w:sz w:val="24"/>
      <w:szCs w:val="24"/>
    </w:rPr>
  </w:style>
  <w:style w:type="character" w:customStyle="1" w:styleId="ListLabel1355">
    <w:name w:val="ListLabel 1355"/>
    <w:qFormat/>
    <w:rPr>
      <w:rFonts w:cs="StarSymbol;Arial Unicode MS"/>
      <w:sz w:val="24"/>
      <w:szCs w:val="24"/>
    </w:rPr>
  </w:style>
  <w:style w:type="character" w:customStyle="1" w:styleId="ListLabel1356">
    <w:name w:val="ListLabel 1356"/>
    <w:qFormat/>
    <w:rPr>
      <w:rFonts w:cs="StarSymbol;Arial Unicode MS"/>
      <w:sz w:val="24"/>
      <w:szCs w:val="24"/>
    </w:rPr>
  </w:style>
  <w:style w:type="character" w:customStyle="1" w:styleId="ListLabel1357">
    <w:name w:val="ListLabel 1357"/>
    <w:qFormat/>
    <w:rPr>
      <w:rFonts w:cs="StarSymbol;Arial Unicode MS"/>
      <w:sz w:val="24"/>
      <w:szCs w:val="24"/>
    </w:rPr>
  </w:style>
  <w:style w:type="character" w:customStyle="1" w:styleId="ListLabel1358">
    <w:name w:val="ListLabel 1358"/>
    <w:qFormat/>
    <w:rPr>
      <w:rFonts w:cs="StarSymbol;Arial Unicode MS"/>
      <w:sz w:val="24"/>
      <w:szCs w:val="24"/>
    </w:rPr>
  </w:style>
  <w:style w:type="character" w:customStyle="1" w:styleId="ListLabel1359">
    <w:name w:val="ListLabel 1359"/>
    <w:qFormat/>
    <w:rPr>
      <w:sz w:val="22"/>
      <w:szCs w:val="24"/>
    </w:rPr>
  </w:style>
  <w:style w:type="character" w:customStyle="1" w:styleId="ListLabel1360">
    <w:name w:val="ListLabel 1360"/>
    <w:qFormat/>
    <w:rPr>
      <w:sz w:val="22"/>
      <w:szCs w:val="24"/>
    </w:rPr>
  </w:style>
  <w:style w:type="character" w:customStyle="1" w:styleId="ListLabel1361">
    <w:name w:val="ListLabel 1361"/>
    <w:qFormat/>
    <w:rPr>
      <w:sz w:val="22"/>
      <w:szCs w:val="22"/>
    </w:rPr>
  </w:style>
  <w:style w:type="character" w:customStyle="1" w:styleId="ListLabel1362">
    <w:name w:val="ListLabel 1362"/>
    <w:qFormat/>
    <w:rPr>
      <w:sz w:val="22"/>
      <w:szCs w:val="22"/>
    </w:rPr>
  </w:style>
  <w:style w:type="character" w:customStyle="1" w:styleId="ListLabel1363">
    <w:name w:val="ListLabel 1363"/>
    <w:qFormat/>
    <w:rPr>
      <w:sz w:val="22"/>
      <w:szCs w:val="22"/>
    </w:rPr>
  </w:style>
  <w:style w:type="character" w:customStyle="1" w:styleId="ListLabel1364">
    <w:name w:val="ListLabel 1364"/>
    <w:qFormat/>
    <w:rPr>
      <w:sz w:val="22"/>
      <w:szCs w:val="22"/>
    </w:rPr>
  </w:style>
  <w:style w:type="character" w:customStyle="1" w:styleId="ListLabel1365">
    <w:name w:val="ListLabel 1365"/>
    <w:qFormat/>
    <w:rPr>
      <w:sz w:val="22"/>
      <w:szCs w:val="22"/>
    </w:rPr>
  </w:style>
  <w:style w:type="character" w:customStyle="1" w:styleId="ListLabel1366">
    <w:name w:val="ListLabel 1366"/>
    <w:qFormat/>
    <w:rPr>
      <w:sz w:val="22"/>
      <w:szCs w:val="22"/>
    </w:rPr>
  </w:style>
  <w:style w:type="character" w:customStyle="1" w:styleId="ListLabel1367">
    <w:name w:val="ListLabel 1367"/>
    <w:qFormat/>
    <w:rPr>
      <w:sz w:val="22"/>
      <w:szCs w:val="22"/>
    </w:rPr>
  </w:style>
  <w:style w:type="character" w:customStyle="1" w:styleId="ListLabel1368">
    <w:name w:val="ListLabel 1368"/>
    <w:qFormat/>
    <w:rPr>
      <w:sz w:val="22"/>
      <w:szCs w:val="22"/>
    </w:rPr>
  </w:style>
  <w:style w:type="character" w:customStyle="1" w:styleId="ListLabel1369">
    <w:name w:val="ListLabel 1369"/>
    <w:qFormat/>
    <w:rPr>
      <w:sz w:val="22"/>
      <w:szCs w:val="22"/>
    </w:rPr>
  </w:style>
  <w:style w:type="character" w:customStyle="1" w:styleId="ListLabel1370">
    <w:name w:val="ListLabel 1370"/>
    <w:qFormat/>
    <w:rPr>
      <w:sz w:val="22"/>
      <w:szCs w:val="22"/>
    </w:rPr>
  </w:style>
  <w:style w:type="character" w:customStyle="1" w:styleId="ListLabel1371">
    <w:name w:val="ListLabel 1371"/>
    <w:qFormat/>
    <w:rPr>
      <w:sz w:val="22"/>
      <w:szCs w:val="22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sz w:val="24"/>
      <w:szCs w:val="24"/>
    </w:rPr>
  </w:style>
  <w:style w:type="character" w:customStyle="1" w:styleId="ListLabel1374">
    <w:name w:val="ListLabel 1374"/>
    <w:qFormat/>
    <w:rPr>
      <w:rFonts w:cs="OpenSymbol"/>
    </w:rPr>
  </w:style>
  <w:style w:type="character" w:customStyle="1" w:styleId="ListLabel1375">
    <w:name w:val="ListLabel 1375"/>
    <w:qFormat/>
    <w:rPr>
      <w:rFonts w:eastAsia="Times New Roman" w:cs="Times New Roman"/>
      <w:kern w:val="0"/>
      <w:sz w:val="24"/>
      <w:szCs w:val="24"/>
      <w:lang w:eastAsia="pl-PL"/>
    </w:rPr>
  </w:style>
  <w:style w:type="character" w:customStyle="1" w:styleId="ListLabel1376">
    <w:name w:val="ListLabel 1376"/>
    <w:qFormat/>
    <w:rPr>
      <w:rFonts w:cs="StarSymbol;Arial Unicode MS"/>
      <w:sz w:val="22"/>
      <w:szCs w:val="24"/>
    </w:rPr>
  </w:style>
  <w:style w:type="character" w:customStyle="1" w:styleId="ListLabel1377">
    <w:name w:val="ListLabel 1377"/>
    <w:qFormat/>
    <w:rPr>
      <w:rFonts w:cs="StarSymbol;Arial Unicode MS"/>
      <w:sz w:val="24"/>
      <w:szCs w:val="24"/>
    </w:rPr>
  </w:style>
  <w:style w:type="character" w:customStyle="1" w:styleId="ListLabel1378">
    <w:name w:val="ListLabel 1378"/>
    <w:qFormat/>
    <w:rPr>
      <w:rFonts w:cs="StarSymbol;Arial Unicode MS"/>
      <w:sz w:val="24"/>
      <w:szCs w:val="24"/>
    </w:rPr>
  </w:style>
  <w:style w:type="character" w:customStyle="1" w:styleId="ListLabel1379">
    <w:name w:val="ListLabel 1379"/>
    <w:qFormat/>
    <w:rPr>
      <w:rFonts w:cs="StarSymbol;Arial Unicode MS"/>
      <w:sz w:val="24"/>
      <w:szCs w:val="24"/>
    </w:rPr>
  </w:style>
  <w:style w:type="character" w:customStyle="1" w:styleId="ListLabel1380">
    <w:name w:val="ListLabel 1380"/>
    <w:qFormat/>
    <w:rPr>
      <w:rFonts w:cs="StarSymbol;Arial Unicode MS"/>
      <w:sz w:val="24"/>
      <w:szCs w:val="24"/>
    </w:rPr>
  </w:style>
  <w:style w:type="character" w:customStyle="1" w:styleId="ListLabel1381">
    <w:name w:val="ListLabel 1381"/>
    <w:qFormat/>
    <w:rPr>
      <w:rFonts w:cs="StarSymbol;Arial Unicode MS"/>
      <w:sz w:val="24"/>
      <w:szCs w:val="24"/>
    </w:rPr>
  </w:style>
  <w:style w:type="character" w:customStyle="1" w:styleId="ListLabel1382">
    <w:name w:val="ListLabel 1382"/>
    <w:qFormat/>
    <w:rPr>
      <w:rFonts w:cs="StarSymbol;Arial Unicode MS"/>
      <w:sz w:val="24"/>
      <w:szCs w:val="24"/>
    </w:rPr>
  </w:style>
  <w:style w:type="character" w:customStyle="1" w:styleId="ListLabel1383">
    <w:name w:val="ListLabel 1383"/>
    <w:qFormat/>
    <w:rPr>
      <w:rFonts w:cs="StarSymbol;Arial Unicode MS"/>
      <w:sz w:val="24"/>
      <w:szCs w:val="24"/>
    </w:rPr>
  </w:style>
  <w:style w:type="character" w:customStyle="1" w:styleId="ListLabel1384">
    <w:name w:val="ListLabel 1384"/>
    <w:qFormat/>
    <w:rPr>
      <w:rFonts w:cs="StarSymbol;Arial Unicode MS"/>
      <w:sz w:val="24"/>
      <w:szCs w:val="24"/>
    </w:rPr>
  </w:style>
  <w:style w:type="character" w:customStyle="1" w:styleId="ListLabel1385">
    <w:name w:val="ListLabel 1385"/>
    <w:qFormat/>
    <w:rPr>
      <w:sz w:val="22"/>
      <w:szCs w:val="24"/>
    </w:rPr>
  </w:style>
  <w:style w:type="character" w:customStyle="1" w:styleId="ListLabel1386">
    <w:name w:val="ListLabel 1386"/>
    <w:qFormat/>
    <w:rPr>
      <w:sz w:val="22"/>
      <w:szCs w:val="24"/>
    </w:rPr>
  </w:style>
  <w:style w:type="character" w:customStyle="1" w:styleId="ListLabel1387">
    <w:name w:val="ListLabel 1387"/>
    <w:qFormat/>
    <w:rPr>
      <w:sz w:val="22"/>
      <w:szCs w:val="22"/>
    </w:rPr>
  </w:style>
  <w:style w:type="character" w:customStyle="1" w:styleId="ListLabel1388">
    <w:name w:val="ListLabel 1388"/>
    <w:qFormat/>
    <w:rPr>
      <w:sz w:val="22"/>
      <w:szCs w:val="22"/>
    </w:rPr>
  </w:style>
  <w:style w:type="character" w:customStyle="1" w:styleId="ListLabel1389">
    <w:name w:val="ListLabel 1389"/>
    <w:qFormat/>
    <w:rPr>
      <w:color w:val="auto"/>
      <w:kern w:val="0"/>
      <w:sz w:val="24"/>
      <w:szCs w:val="24"/>
      <w:u w:val="none"/>
    </w:rPr>
  </w:style>
  <w:style w:type="character" w:customStyle="1" w:styleId="ListLabel1390">
    <w:name w:val="ListLabel 1390"/>
    <w:qFormat/>
    <w:rPr>
      <w:color w:val="auto"/>
      <w:sz w:val="24"/>
      <w:szCs w:val="24"/>
      <w:u w:val="none"/>
    </w:rPr>
  </w:style>
  <w:style w:type="character" w:customStyle="1" w:styleId="ListLabel1391">
    <w:name w:val="ListLabel 1391"/>
    <w:qFormat/>
    <w:rPr>
      <w:sz w:val="14"/>
      <w:szCs w:val="14"/>
    </w:rPr>
  </w:style>
  <w:style w:type="character" w:customStyle="1" w:styleId="ListLabel1392">
    <w:name w:val="ListLabel 1392"/>
    <w:qFormat/>
    <w:rPr>
      <w:rFonts w:cs="OpenSymbol"/>
    </w:rPr>
  </w:style>
  <w:style w:type="character" w:customStyle="1" w:styleId="ListLabel1393">
    <w:name w:val="ListLabel 1393"/>
    <w:qFormat/>
    <w:rPr>
      <w:rFonts w:eastAsia="Times New Roman" w:cs="Times New Roman"/>
      <w:kern w:val="0"/>
      <w:sz w:val="24"/>
      <w:szCs w:val="24"/>
      <w:lang w:eastAsia="pl-PL"/>
    </w:rPr>
  </w:style>
  <w:style w:type="character" w:customStyle="1" w:styleId="ListLabel1394">
    <w:name w:val="ListLabel 1394"/>
    <w:qFormat/>
    <w:rPr>
      <w:rFonts w:cs="StarSymbol;Arial Unicode MS"/>
      <w:sz w:val="22"/>
      <w:szCs w:val="24"/>
    </w:rPr>
  </w:style>
  <w:style w:type="character" w:customStyle="1" w:styleId="ListLabel1395">
    <w:name w:val="ListLabel 1395"/>
    <w:qFormat/>
    <w:rPr>
      <w:rFonts w:cs="StarSymbol;Arial Unicode MS"/>
      <w:sz w:val="24"/>
      <w:szCs w:val="24"/>
    </w:rPr>
  </w:style>
  <w:style w:type="character" w:customStyle="1" w:styleId="ListLabel1396">
    <w:name w:val="ListLabel 1396"/>
    <w:qFormat/>
    <w:rPr>
      <w:rFonts w:cs="StarSymbol;Arial Unicode MS"/>
      <w:sz w:val="24"/>
      <w:szCs w:val="24"/>
    </w:rPr>
  </w:style>
  <w:style w:type="character" w:customStyle="1" w:styleId="ListLabel1397">
    <w:name w:val="ListLabel 1397"/>
    <w:qFormat/>
    <w:rPr>
      <w:rFonts w:cs="StarSymbol;Arial Unicode MS"/>
      <w:sz w:val="24"/>
      <w:szCs w:val="24"/>
    </w:rPr>
  </w:style>
  <w:style w:type="character" w:customStyle="1" w:styleId="ListLabel1398">
    <w:name w:val="ListLabel 1398"/>
    <w:qFormat/>
    <w:rPr>
      <w:rFonts w:cs="StarSymbol;Arial Unicode MS"/>
      <w:sz w:val="24"/>
      <w:szCs w:val="24"/>
    </w:rPr>
  </w:style>
  <w:style w:type="character" w:customStyle="1" w:styleId="ListLabel1399">
    <w:name w:val="ListLabel 1399"/>
    <w:qFormat/>
    <w:rPr>
      <w:rFonts w:cs="StarSymbol;Arial Unicode MS"/>
      <w:sz w:val="24"/>
      <w:szCs w:val="24"/>
    </w:rPr>
  </w:style>
  <w:style w:type="character" w:customStyle="1" w:styleId="ListLabel1400">
    <w:name w:val="ListLabel 1400"/>
    <w:qFormat/>
    <w:rPr>
      <w:rFonts w:cs="StarSymbol;Arial Unicode MS"/>
      <w:sz w:val="24"/>
      <w:szCs w:val="24"/>
    </w:rPr>
  </w:style>
  <w:style w:type="character" w:customStyle="1" w:styleId="ListLabel1401">
    <w:name w:val="ListLabel 1401"/>
    <w:qFormat/>
    <w:rPr>
      <w:rFonts w:cs="StarSymbol;Arial Unicode MS"/>
      <w:sz w:val="24"/>
      <w:szCs w:val="24"/>
    </w:rPr>
  </w:style>
  <w:style w:type="character" w:customStyle="1" w:styleId="ListLabel1402">
    <w:name w:val="ListLabel 1402"/>
    <w:qFormat/>
    <w:rPr>
      <w:rFonts w:cs="StarSymbol;Arial Unicode MS"/>
      <w:sz w:val="24"/>
      <w:szCs w:val="24"/>
    </w:rPr>
  </w:style>
  <w:style w:type="character" w:customStyle="1" w:styleId="ListLabel1403">
    <w:name w:val="ListLabel 1403"/>
    <w:qFormat/>
    <w:rPr>
      <w:sz w:val="22"/>
      <w:szCs w:val="24"/>
    </w:rPr>
  </w:style>
  <w:style w:type="character" w:customStyle="1" w:styleId="ListLabel1404">
    <w:name w:val="ListLabel 1404"/>
    <w:qFormat/>
    <w:rPr>
      <w:sz w:val="22"/>
      <w:szCs w:val="24"/>
    </w:rPr>
  </w:style>
  <w:style w:type="character" w:customStyle="1" w:styleId="ListLabel1405">
    <w:name w:val="ListLabel 1405"/>
    <w:qFormat/>
    <w:rPr>
      <w:sz w:val="22"/>
      <w:szCs w:val="22"/>
    </w:rPr>
  </w:style>
  <w:style w:type="character" w:customStyle="1" w:styleId="ListLabel1406">
    <w:name w:val="ListLabel 1406"/>
    <w:qFormat/>
    <w:rPr>
      <w:sz w:val="22"/>
      <w:szCs w:val="22"/>
    </w:rPr>
  </w:style>
  <w:style w:type="character" w:customStyle="1" w:styleId="ListLabel1407">
    <w:name w:val="ListLabel 1407"/>
    <w:qFormat/>
    <w:rPr>
      <w:color w:val="auto"/>
      <w:kern w:val="0"/>
      <w:sz w:val="24"/>
      <w:szCs w:val="24"/>
      <w:u w:val="none"/>
    </w:rPr>
  </w:style>
  <w:style w:type="character" w:customStyle="1" w:styleId="ListLabel1408">
    <w:name w:val="ListLabel 1408"/>
    <w:qFormat/>
    <w:rPr>
      <w:color w:val="auto"/>
      <w:sz w:val="24"/>
      <w:szCs w:val="24"/>
      <w:u w:val="none"/>
    </w:rPr>
  </w:style>
  <w:style w:type="character" w:customStyle="1" w:styleId="ListLabel1409">
    <w:name w:val="ListLabel 1409"/>
    <w:qFormat/>
    <w:rPr>
      <w:sz w:val="14"/>
      <w:szCs w:val="14"/>
    </w:rPr>
  </w:style>
  <w:style w:type="character" w:customStyle="1" w:styleId="ListLabel1410">
    <w:name w:val="ListLabel 1410"/>
    <w:qFormat/>
    <w:rPr>
      <w:rFonts w:cs="OpenSymbol"/>
    </w:rPr>
  </w:style>
  <w:style w:type="character" w:customStyle="1" w:styleId="ListLabel1411">
    <w:name w:val="ListLabel 1411"/>
    <w:qFormat/>
    <w:rPr>
      <w:sz w:val="24"/>
      <w:szCs w:val="24"/>
    </w:rPr>
  </w:style>
  <w:style w:type="character" w:customStyle="1" w:styleId="ListLabel1412">
    <w:name w:val="ListLabel 1412"/>
    <w:qFormat/>
    <w:rPr>
      <w:rFonts w:eastAsia="Times New Roman" w:cs="Times New Roman"/>
      <w:kern w:val="0"/>
      <w:sz w:val="24"/>
      <w:szCs w:val="24"/>
      <w:lang w:eastAsia="pl-PL"/>
    </w:rPr>
  </w:style>
  <w:style w:type="character" w:customStyle="1" w:styleId="ListLabel1413">
    <w:name w:val="ListLabel 1413"/>
    <w:qFormat/>
    <w:rPr>
      <w:rFonts w:cs="StarSymbol;Arial Unicode MS"/>
      <w:sz w:val="22"/>
      <w:szCs w:val="24"/>
    </w:rPr>
  </w:style>
  <w:style w:type="character" w:customStyle="1" w:styleId="ListLabel1414">
    <w:name w:val="ListLabel 1414"/>
    <w:qFormat/>
    <w:rPr>
      <w:rFonts w:cs="StarSymbol;Arial Unicode MS"/>
      <w:sz w:val="24"/>
      <w:szCs w:val="24"/>
    </w:rPr>
  </w:style>
  <w:style w:type="character" w:customStyle="1" w:styleId="ListLabel1415">
    <w:name w:val="ListLabel 1415"/>
    <w:qFormat/>
    <w:rPr>
      <w:rFonts w:cs="StarSymbol;Arial Unicode MS"/>
      <w:sz w:val="24"/>
      <w:szCs w:val="24"/>
    </w:rPr>
  </w:style>
  <w:style w:type="character" w:customStyle="1" w:styleId="ListLabel1416">
    <w:name w:val="ListLabel 1416"/>
    <w:qFormat/>
    <w:rPr>
      <w:rFonts w:cs="StarSymbol;Arial Unicode MS"/>
      <w:sz w:val="24"/>
      <w:szCs w:val="24"/>
    </w:rPr>
  </w:style>
  <w:style w:type="character" w:customStyle="1" w:styleId="ListLabel1417">
    <w:name w:val="ListLabel 1417"/>
    <w:qFormat/>
    <w:rPr>
      <w:rFonts w:cs="StarSymbol;Arial Unicode MS"/>
      <w:sz w:val="24"/>
      <w:szCs w:val="24"/>
    </w:rPr>
  </w:style>
  <w:style w:type="character" w:customStyle="1" w:styleId="ListLabel1418">
    <w:name w:val="ListLabel 1418"/>
    <w:qFormat/>
    <w:rPr>
      <w:rFonts w:cs="StarSymbol;Arial Unicode MS"/>
      <w:sz w:val="24"/>
      <w:szCs w:val="24"/>
    </w:rPr>
  </w:style>
  <w:style w:type="character" w:customStyle="1" w:styleId="ListLabel1419">
    <w:name w:val="ListLabel 1419"/>
    <w:qFormat/>
    <w:rPr>
      <w:rFonts w:cs="StarSymbol;Arial Unicode MS"/>
      <w:sz w:val="24"/>
      <w:szCs w:val="24"/>
    </w:rPr>
  </w:style>
  <w:style w:type="character" w:customStyle="1" w:styleId="ListLabel1420">
    <w:name w:val="ListLabel 1420"/>
    <w:qFormat/>
    <w:rPr>
      <w:rFonts w:cs="StarSymbol;Arial Unicode MS"/>
      <w:sz w:val="24"/>
      <w:szCs w:val="24"/>
    </w:rPr>
  </w:style>
  <w:style w:type="character" w:customStyle="1" w:styleId="ListLabel1421">
    <w:name w:val="ListLabel 1421"/>
    <w:qFormat/>
    <w:rPr>
      <w:rFonts w:cs="StarSymbol;Arial Unicode MS"/>
      <w:sz w:val="24"/>
      <w:szCs w:val="24"/>
    </w:rPr>
  </w:style>
  <w:style w:type="character" w:customStyle="1" w:styleId="ListLabel1422">
    <w:name w:val="ListLabel 1422"/>
    <w:qFormat/>
    <w:rPr>
      <w:sz w:val="22"/>
      <w:szCs w:val="24"/>
    </w:rPr>
  </w:style>
  <w:style w:type="character" w:customStyle="1" w:styleId="ListLabel1423">
    <w:name w:val="ListLabel 1423"/>
    <w:qFormat/>
    <w:rPr>
      <w:sz w:val="22"/>
      <w:szCs w:val="24"/>
    </w:rPr>
  </w:style>
  <w:style w:type="character" w:customStyle="1" w:styleId="ListLabel1424">
    <w:name w:val="ListLabel 1424"/>
    <w:qFormat/>
    <w:rPr>
      <w:sz w:val="22"/>
      <w:szCs w:val="22"/>
    </w:rPr>
  </w:style>
  <w:style w:type="character" w:customStyle="1" w:styleId="ListLabel1425">
    <w:name w:val="ListLabel 1425"/>
    <w:qFormat/>
    <w:rPr>
      <w:sz w:val="22"/>
      <w:szCs w:val="22"/>
    </w:rPr>
  </w:style>
  <w:style w:type="character" w:customStyle="1" w:styleId="ListLabel1426">
    <w:name w:val="ListLabel 1426"/>
    <w:qFormat/>
    <w:rPr>
      <w:sz w:val="24"/>
      <w:szCs w:val="24"/>
    </w:rPr>
  </w:style>
  <w:style w:type="character" w:customStyle="1" w:styleId="ListLabel1427">
    <w:name w:val="ListLabel 1427"/>
    <w:qFormat/>
    <w:rPr>
      <w:sz w:val="24"/>
      <w:szCs w:val="24"/>
    </w:rPr>
  </w:style>
  <w:style w:type="character" w:customStyle="1" w:styleId="ListLabel1428">
    <w:name w:val="ListLabel 1428"/>
    <w:qFormat/>
    <w:rPr>
      <w:sz w:val="24"/>
      <w:szCs w:val="24"/>
    </w:rPr>
  </w:style>
  <w:style w:type="character" w:customStyle="1" w:styleId="ListLabel1429">
    <w:name w:val="ListLabel 1429"/>
    <w:qFormat/>
    <w:rPr>
      <w:sz w:val="24"/>
      <w:szCs w:val="24"/>
    </w:rPr>
  </w:style>
  <w:style w:type="character" w:customStyle="1" w:styleId="ListLabel1430">
    <w:name w:val="ListLabel 1430"/>
    <w:qFormat/>
    <w:rPr>
      <w:sz w:val="24"/>
      <w:szCs w:val="24"/>
    </w:rPr>
  </w:style>
  <w:style w:type="character" w:customStyle="1" w:styleId="ListLabel1431">
    <w:name w:val="ListLabel 1431"/>
    <w:qFormat/>
    <w:rPr>
      <w:sz w:val="24"/>
      <w:szCs w:val="24"/>
    </w:rPr>
  </w:style>
  <w:style w:type="character" w:customStyle="1" w:styleId="ListLabel1432">
    <w:name w:val="ListLabel 1432"/>
    <w:qFormat/>
    <w:rPr>
      <w:sz w:val="24"/>
      <w:szCs w:val="24"/>
    </w:rPr>
  </w:style>
  <w:style w:type="character" w:customStyle="1" w:styleId="ListLabel1433">
    <w:name w:val="ListLabel 1433"/>
    <w:qFormat/>
    <w:rPr>
      <w:sz w:val="24"/>
      <w:szCs w:val="24"/>
    </w:rPr>
  </w:style>
  <w:style w:type="character" w:customStyle="1" w:styleId="ListLabel1434">
    <w:name w:val="ListLabel 1434"/>
    <w:qFormat/>
    <w:rPr>
      <w:sz w:val="24"/>
      <w:szCs w:val="24"/>
    </w:rPr>
  </w:style>
  <w:style w:type="character" w:customStyle="1" w:styleId="ListLabel1435">
    <w:name w:val="ListLabel 1435"/>
    <w:qFormat/>
    <w:rPr>
      <w:sz w:val="24"/>
      <w:szCs w:val="24"/>
    </w:rPr>
  </w:style>
  <w:style w:type="character" w:customStyle="1" w:styleId="ListLabel1436">
    <w:name w:val="ListLabel 1436"/>
    <w:qFormat/>
    <w:rPr>
      <w:sz w:val="24"/>
      <w:szCs w:val="24"/>
    </w:rPr>
  </w:style>
  <w:style w:type="character" w:customStyle="1" w:styleId="ListLabel1437">
    <w:name w:val="ListLabel 1437"/>
    <w:qFormat/>
    <w:rPr>
      <w:sz w:val="24"/>
      <w:szCs w:val="24"/>
    </w:rPr>
  </w:style>
  <w:style w:type="character" w:customStyle="1" w:styleId="ListLabel1438">
    <w:name w:val="ListLabel 1438"/>
    <w:qFormat/>
    <w:rPr>
      <w:sz w:val="24"/>
      <w:szCs w:val="24"/>
    </w:rPr>
  </w:style>
  <w:style w:type="character" w:customStyle="1" w:styleId="ListLabel1439">
    <w:name w:val="ListLabel 1439"/>
    <w:qFormat/>
    <w:rPr>
      <w:sz w:val="24"/>
      <w:szCs w:val="24"/>
    </w:rPr>
  </w:style>
  <w:style w:type="character" w:customStyle="1" w:styleId="ListLabel1440">
    <w:name w:val="ListLabel 1440"/>
    <w:qFormat/>
    <w:rPr>
      <w:sz w:val="24"/>
      <w:szCs w:val="24"/>
    </w:rPr>
  </w:style>
  <w:style w:type="character" w:customStyle="1" w:styleId="ListLabel1441">
    <w:name w:val="ListLabel 1441"/>
    <w:qFormat/>
    <w:rPr>
      <w:sz w:val="24"/>
      <w:szCs w:val="24"/>
    </w:rPr>
  </w:style>
  <w:style w:type="character" w:customStyle="1" w:styleId="ListLabel1442">
    <w:name w:val="ListLabel 1442"/>
    <w:qFormat/>
    <w:rPr>
      <w:sz w:val="24"/>
      <w:szCs w:val="24"/>
    </w:rPr>
  </w:style>
  <w:style w:type="character" w:customStyle="1" w:styleId="ListLabel1443">
    <w:name w:val="ListLabel 1443"/>
    <w:qFormat/>
    <w:rPr>
      <w:sz w:val="24"/>
      <w:szCs w:val="24"/>
    </w:rPr>
  </w:style>
  <w:style w:type="character" w:customStyle="1" w:styleId="ListLabel1444">
    <w:name w:val="ListLabel 1444"/>
    <w:qFormat/>
    <w:rPr>
      <w:color w:val="auto"/>
      <w:kern w:val="0"/>
      <w:sz w:val="24"/>
      <w:szCs w:val="24"/>
      <w:u w:val="none"/>
    </w:rPr>
  </w:style>
  <w:style w:type="character" w:customStyle="1" w:styleId="ListLabel1445">
    <w:name w:val="ListLabel 1445"/>
    <w:qFormat/>
    <w:rPr>
      <w:color w:val="auto"/>
      <w:sz w:val="24"/>
      <w:szCs w:val="24"/>
      <w:u w:val="none"/>
    </w:rPr>
  </w:style>
  <w:style w:type="character" w:customStyle="1" w:styleId="ListLabel1446">
    <w:name w:val="ListLabel 1446"/>
    <w:qFormat/>
    <w:rPr>
      <w:sz w:val="14"/>
      <w:szCs w:val="14"/>
    </w:rPr>
  </w:style>
  <w:style w:type="character" w:customStyle="1" w:styleId="ListLabel1447">
    <w:name w:val="ListLabel 1447"/>
    <w:qFormat/>
    <w:rPr>
      <w:rFonts w:cs="OpenSymbol"/>
    </w:rPr>
  </w:style>
  <w:style w:type="character" w:customStyle="1" w:styleId="ListLabel1448">
    <w:name w:val="ListLabel 1448"/>
    <w:qFormat/>
    <w:rPr>
      <w:sz w:val="24"/>
      <w:szCs w:val="24"/>
    </w:rPr>
  </w:style>
  <w:style w:type="character" w:customStyle="1" w:styleId="ListLabel1449">
    <w:name w:val="ListLabel 1449"/>
    <w:qFormat/>
    <w:rPr>
      <w:rFonts w:eastAsia="Times New Roman" w:cs="Times New Roman"/>
      <w:kern w:val="0"/>
      <w:sz w:val="24"/>
      <w:szCs w:val="24"/>
      <w:lang w:eastAsia="pl-PL"/>
    </w:rPr>
  </w:style>
  <w:style w:type="character" w:customStyle="1" w:styleId="ListLabel1450">
    <w:name w:val="ListLabel 1450"/>
    <w:qFormat/>
    <w:rPr>
      <w:rFonts w:cs="StarSymbol;Arial Unicode MS"/>
      <w:sz w:val="22"/>
      <w:szCs w:val="24"/>
    </w:rPr>
  </w:style>
  <w:style w:type="character" w:customStyle="1" w:styleId="ListLabel1451">
    <w:name w:val="ListLabel 1451"/>
    <w:qFormat/>
    <w:rPr>
      <w:rFonts w:cs="StarSymbol;Arial Unicode MS"/>
      <w:sz w:val="24"/>
      <w:szCs w:val="24"/>
    </w:rPr>
  </w:style>
  <w:style w:type="character" w:customStyle="1" w:styleId="ListLabel1452">
    <w:name w:val="ListLabel 1452"/>
    <w:qFormat/>
    <w:rPr>
      <w:rFonts w:cs="StarSymbol;Arial Unicode MS"/>
      <w:sz w:val="24"/>
      <w:szCs w:val="24"/>
    </w:rPr>
  </w:style>
  <w:style w:type="character" w:customStyle="1" w:styleId="ListLabel1453">
    <w:name w:val="ListLabel 1453"/>
    <w:qFormat/>
    <w:rPr>
      <w:rFonts w:cs="StarSymbol;Arial Unicode MS"/>
      <w:sz w:val="24"/>
      <w:szCs w:val="24"/>
    </w:rPr>
  </w:style>
  <w:style w:type="character" w:customStyle="1" w:styleId="ListLabel1454">
    <w:name w:val="ListLabel 1454"/>
    <w:qFormat/>
    <w:rPr>
      <w:rFonts w:cs="StarSymbol;Arial Unicode MS"/>
      <w:sz w:val="24"/>
      <w:szCs w:val="24"/>
    </w:rPr>
  </w:style>
  <w:style w:type="character" w:customStyle="1" w:styleId="ListLabel1455">
    <w:name w:val="ListLabel 1455"/>
    <w:qFormat/>
    <w:rPr>
      <w:rFonts w:cs="StarSymbol;Arial Unicode MS"/>
      <w:sz w:val="24"/>
      <w:szCs w:val="24"/>
    </w:rPr>
  </w:style>
  <w:style w:type="character" w:customStyle="1" w:styleId="ListLabel1456">
    <w:name w:val="ListLabel 1456"/>
    <w:qFormat/>
    <w:rPr>
      <w:rFonts w:cs="StarSymbol;Arial Unicode MS"/>
      <w:sz w:val="24"/>
      <w:szCs w:val="24"/>
    </w:rPr>
  </w:style>
  <w:style w:type="character" w:customStyle="1" w:styleId="ListLabel1457">
    <w:name w:val="ListLabel 1457"/>
    <w:qFormat/>
    <w:rPr>
      <w:rFonts w:cs="StarSymbol;Arial Unicode MS"/>
      <w:sz w:val="24"/>
      <w:szCs w:val="24"/>
    </w:rPr>
  </w:style>
  <w:style w:type="character" w:customStyle="1" w:styleId="ListLabel1458">
    <w:name w:val="ListLabel 1458"/>
    <w:qFormat/>
    <w:rPr>
      <w:rFonts w:cs="StarSymbol;Arial Unicode MS"/>
      <w:sz w:val="24"/>
      <w:szCs w:val="24"/>
    </w:rPr>
  </w:style>
  <w:style w:type="character" w:customStyle="1" w:styleId="ListLabel1459">
    <w:name w:val="ListLabel 1459"/>
    <w:qFormat/>
    <w:rPr>
      <w:sz w:val="22"/>
      <w:szCs w:val="24"/>
    </w:rPr>
  </w:style>
  <w:style w:type="character" w:customStyle="1" w:styleId="ListLabel1460">
    <w:name w:val="ListLabel 1460"/>
    <w:qFormat/>
    <w:rPr>
      <w:sz w:val="22"/>
      <w:szCs w:val="24"/>
    </w:rPr>
  </w:style>
  <w:style w:type="character" w:customStyle="1" w:styleId="ListLabel1461">
    <w:name w:val="ListLabel 1461"/>
    <w:qFormat/>
    <w:rPr>
      <w:sz w:val="22"/>
      <w:szCs w:val="22"/>
    </w:rPr>
  </w:style>
  <w:style w:type="character" w:customStyle="1" w:styleId="ListLabel1462">
    <w:name w:val="ListLabel 1462"/>
    <w:qFormat/>
    <w:rPr>
      <w:sz w:val="22"/>
      <w:szCs w:val="22"/>
    </w:rPr>
  </w:style>
  <w:style w:type="character" w:customStyle="1" w:styleId="ListLabel1463">
    <w:name w:val="ListLabel 1463"/>
    <w:qFormat/>
    <w:rPr>
      <w:sz w:val="24"/>
      <w:szCs w:val="24"/>
    </w:rPr>
  </w:style>
  <w:style w:type="character" w:customStyle="1" w:styleId="ListLabel1464">
    <w:name w:val="ListLabel 1464"/>
    <w:qFormat/>
    <w:rPr>
      <w:sz w:val="24"/>
      <w:szCs w:val="24"/>
    </w:rPr>
  </w:style>
  <w:style w:type="character" w:customStyle="1" w:styleId="ListLabel1465">
    <w:name w:val="ListLabel 1465"/>
    <w:qFormat/>
    <w:rPr>
      <w:sz w:val="24"/>
      <w:szCs w:val="24"/>
    </w:rPr>
  </w:style>
  <w:style w:type="character" w:customStyle="1" w:styleId="ListLabel1466">
    <w:name w:val="ListLabel 1466"/>
    <w:qFormat/>
    <w:rPr>
      <w:sz w:val="24"/>
      <w:szCs w:val="24"/>
    </w:rPr>
  </w:style>
  <w:style w:type="character" w:customStyle="1" w:styleId="ListLabel1467">
    <w:name w:val="ListLabel 1467"/>
    <w:qFormat/>
    <w:rPr>
      <w:sz w:val="24"/>
      <w:szCs w:val="24"/>
    </w:rPr>
  </w:style>
  <w:style w:type="character" w:customStyle="1" w:styleId="ListLabel1468">
    <w:name w:val="ListLabel 1468"/>
    <w:qFormat/>
    <w:rPr>
      <w:sz w:val="24"/>
      <w:szCs w:val="24"/>
    </w:rPr>
  </w:style>
  <w:style w:type="character" w:customStyle="1" w:styleId="ListLabel1469">
    <w:name w:val="ListLabel 1469"/>
    <w:qFormat/>
    <w:rPr>
      <w:sz w:val="24"/>
      <w:szCs w:val="24"/>
    </w:rPr>
  </w:style>
  <w:style w:type="character" w:customStyle="1" w:styleId="ListLabel1470">
    <w:name w:val="ListLabel 1470"/>
    <w:qFormat/>
    <w:rPr>
      <w:sz w:val="24"/>
      <w:szCs w:val="24"/>
    </w:rPr>
  </w:style>
  <w:style w:type="character" w:customStyle="1" w:styleId="ListLabel1471">
    <w:name w:val="ListLabel 1471"/>
    <w:qFormat/>
    <w:rPr>
      <w:sz w:val="24"/>
      <w:szCs w:val="24"/>
    </w:rPr>
  </w:style>
  <w:style w:type="character" w:customStyle="1" w:styleId="ListLabel1472">
    <w:name w:val="ListLabel 1472"/>
    <w:qFormat/>
    <w:rPr>
      <w:sz w:val="24"/>
      <w:szCs w:val="24"/>
    </w:rPr>
  </w:style>
  <w:style w:type="character" w:customStyle="1" w:styleId="ListLabel1473">
    <w:name w:val="ListLabel 1473"/>
    <w:qFormat/>
    <w:rPr>
      <w:sz w:val="24"/>
      <w:szCs w:val="24"/>
    </w:rPr>
  </w:style>
  <w:style w:type="character" w:customStyle="1" w:styleId="ListLabel1474">
    <w:name w:val="ListLabel 1474"/>
    <w:qFormat/>
    <w:rPr>
      <w:sz w:val="24"/>
      <w:szCs w:val="24"/>
    </w:rPr>
  </w:style>
  <w:style w:type="character" w:customStyle="1" w:styleId="ListLabel1475">
    <w:name w:val="ListLabel 1475"/>
    <w:qFormat/>
    <w:rPr>
      <w:sz w:val="24"/>
      <w:szCs w:val="24"/>
    </w:rPr>
  </w:style>
  <w:style w:type="character" w:customStyle="1" w:styleId="ListLabel1476">
    <w:name w:val="ListLabel 1476"/>
    <w:qFormat/>
    <w:rPr>
      <w:sz w:val="24"/>
      <w:szCs w:val="24"/>
    </w:rPr>
  </w:style>
  <w:style w:type="character" w:customStyle="1" w:styleId="ListLabel1477">
    <w:name w:val="ListLabel 1477"/>
    <w:qFormat/>
    <w:rPr>
      <w:sz w:val="24"/>
      <w:szCs w:val="24"/>
    </w:rPr>
  </w:style>
  <w:style w:type="character" w:customStyle="1" w:styleId="ListLabel1478">
    <w:name w:val="ListLabel 1478"/>
    <w:qFormat/>
    <w:rPr>
      <w:sz w:val="24"/>
      <w:szCs w:val="24"/>
    </w:rPr>
  </w:style>
  <w:style w:type="character" w:customStyle="1" w:styleId="ListLabel1479">
    <w:name w:val="ListLabel 1479"/>
    <w:qFormat/>
    <w:rPr>
      <w:sz w:val="24"/>
      <w:szCs w:val="24"/>
    </w:rPr>
  </w:style>
  <w:style w:type="character" w:customStyle="1" w:styleId="ListLabel1480">
    <w:name w:val="ListLabel 1480"/>
    <w:qFormat/>
    <w:rPr>
      <w:sz w:val="24"/>
      <w:szCs w:val="24"/>
    </w:rPr>
  </w:style>
  <w:style w:type="character" w:customStyle="1" w:styleId="ListLabel1481">
    <w:name w:val="ListLabel 1481"/>
    <w:qFormat/>
    <w:rPr>
      <w:color w:val="auto"/>
      <w:kern w:val="0"/>
      <w:sz w:val="24"/>
      <w:szCs w:val="24"/>
      <w:u w:val="none"/>
    </w:rPr>
  </w:style>
  <w:style w:type="character" w:customStyle="1" w:styleId="ListLabel1482">
    <w:name w:val="ListLabel 1482"/>
    <w:qFormat/>
    <w:rPr>
      <w:color w:val="auto"/>
      <w:sz w:val="24"/>
      <w:szCs w:val="24"/>
      <w:u w:val="none"/>
    </w:rPr>
  </w:style>
  <w:style w:type="character" w:customStyle="1" w:styleId="ListLabel1483">
    <w:name w:val="ListLabel 1483"/>
    <w:qFormat/>
    <w:rPr>
      <w:sz w:val="14"/>
      <w:szCs w:val="14"/>
    </w:rPr>
  </w:style>
  <w:style w:type="character" w:customStyle="1" w:styleId="ListLabel1484">
    <w:name w:val="ListLabel 1484"/>
    <w:qFormat/>
    <w:rPr>
      <w:rFonts w:cs="OpenSymbol"/>
    </w:rPr>
  </w:style>
  <w:style w:type="character" w:customStyle="1" w:styleId="ListLabel1485">
    <w:name w:val="ListLabel 1485"/>
    <w:qFormat/>
    <w:rPr>
      <w:sz w:val="24"/>
      <w:szCs w:val="24"/>
    </w:rPr>
  </w:style>
  <w:style w:type="character" w:customStyle="1" w:styleId="ListLabel1486">
    <w:name w:val="ListLabel 1486"/>
    <w:qFormat/>
    <w:rPr>
      <w:rFonts w:eastAsia="Times New Roman" w:cs="Times New Roman"/>
      <w:kern w:val="0"/>
      <w:sz w:val="24"/>
      <w:szCs w:val="24"/>
      <w:lang w:eastAsia="pl-PL"/>
    </w:rPr>
  </w:style>
  <w:style w:type="character" w:customStyle="1" w:styleId="ListLabel1487">
    <w:name w:val="ListLabel 1487"/>
    <w:qFormat/>
    <w:rPr>
      <w:rFonts w:cs="StarSymbol;Arial Unicode MS"/>
      <w:sz w:val="22"/>
      <w:szCs w:val="24"/>
    </w:rPr>
  </w:style>
  <w:style w:type="character" w:customStyle="1" w:styleId="ListLabel1488">
    <w:name w:val="ListLabel 1488"/>
    <w:qFormat/>
    <w:rPr>
      <w:rFonts w:cs="StarSymbol;Arial Unicode MS"/>
      <w:sz w:val="24"/>
      <w:szCs w:val="24"/>
    </w:rPr>
  </w:style>
  <w:style w:type="character" w:customStyle="1" w:styleId="ListLabel1489">
    <w:name w:val="ListLabel 1489"/>
    <w:qFormat/>
    <w:rPr>
      <w:rFonts w:cs="StarSymbol;Arial Unicode MS"/>
      <w:sz w:val="24"/>
      <w:szCs w:val="24"/>
    </w:rPr>
  </w:style>
  <w:style w:type="character" w:customStyle="1" w:styleId="ListLabel1490">
    <w:name w:val="ListLabel 1490"/>
    <w:qFormat/>
    <w:rPr>
      <w:rFonts w:cs="StarSymbol;Arial Unicode MS"/>
      <w:sz w:val="24"/>
      <w:szCs w:val="24"/>
    </w:rPr>
  </w:style>
  <w:style w:type="character" w:customStyle="1" w:styleId="ListLabel1491">
    <w:name w:val="ListLabel 1491"/>
    <w:qFormat/>
    <w:rPr>
      <w:rFonts w:cs="StarSymbol;Arial Unicode MS"/>
      <w:sz w:val="24"/>
      <w:szCs w:val="24"/>
    </w:rPr>
  </w:style>
  <w:style w:type="character" w:customStyle="1" w:styleId="ListLabel1492">
    <w:name w:val="ListLabel 1492"/>
    <w:qFormat/>
    <w:rPr>
      <w:rFonts w:cs="StarSymbol;Arial Unicode MS"/>
      <w:sz w:val="24"/>
      <w:szCs w:val="24"/>
    </w:rPr>
  </w:style>
  <w:style w:type="character" w:customStyle="1" w:styleId="ListLabel1493">
    <w:name w:val="ListLabel 1493"/>
    <w:qFormat/>
    <w:rPr>
      <w:rFonts w:cs="StarSymbol;Arial Unicode MS"/>
      <w:sz w:val="24"/>
      <w:szCs w:val="24"/>
    </w:rPr>
  </w:style>
  <w:style w:type="character" w:customStyle="1" w:styleId="ListLabel1494">
    <w:name w:val="ListLabel 1494"/>
    <w:qFormat/>
    <w:rPr>
      <w:rFonts w:cs="StarSymbol;Arial Unicode MS"/>
      <w:sz w:val="24"/>
      <w:szCs w:val="24"/>
    </w:rPr>
  </w:style>
  <w:style w:type="character" w:customStyle="1" w:styleId="ListLabel1495">
    <w:name w:val="ListLabel 1495"/>
    <w:qFormat/>
    <w:rPr>
      <w:rFonts w:cs="StarSymbol;Arial Unicode MS"/>
      <w:sz w:val="24"/>
      <w:szCs w:val="24"/>
    </w:rPr>
  </w:style>
  <w:style w:type="character" w:customStyle="1" w:styleId="ListLabel1496">
    <w:name w:val="ListLabel 1496"/>
    <w:qFormat/>
    <w:rPr>
      <w:sz w:val="22"/>
      <w:szCs w:val="24"/>
    </w:rPr>
  </w:style>
  <w:style w:type="character" w:customStyle="1" w:styleId="ListLabel1497">
    <w:name w:val="ListLabel 1497"/>
    <w:qFormat/>
    <w:rPr>
      <w:sz w:val="22"/>
      <w:szCs w:val="24"/>
    </w:rPr>
  </w:style>
  <w:style w:type="character" w:customStyle="1" w:styleId="ListLabel1498">
    <w:name w:val="ListLabel 1498"/>
    <w:qFormat/>
    <w:rPr>
      <w:sz w:val="22"/>
      <w:szCs w:val="22"/>
    </w:rPr>
  </w:style>
  <w:style w:type="character" w:customStyle="1" w:styleId="ListLabel1499">
    <w:name w:val="ListLabel 1499"/>
    <w:qFormat/>
    <w:rPr>
      <w:sz w:val="22"/>
      <w:szCs w:val="22"/>
    </w:rPr>
  </w:style>
  <w:style w:type="character" w:customStyle="1" w:styleId="ListLabel1500">
    <w:name w:val="ListLabel 1500"/>
    <w:qFormat/>
    <w:rPr>
      <w:sz w:val="24"/>
      <w:szCs w:val="24"/>
    </w:rPr>
  </w:style>
  <w:style w:type="character" w:customStyle="1" w:styleId="ListLabel1501">
    <w:name w:val="ListLabel 1501"/>
    <w:qFormat/>
    <w:rPr>
      <w:sz w:val="24"/>
      <w:szCs w:val="24"/>
    </w:rPr>
  </w:style>
  <w:style w:type="character" w:customStyle="1" w:styleId="ListLabel1502">
    <w:name w:val="ListLabel 1502"/>
    <w:qFormat/>
    <w:rPr>
      <w:sz w:val="24"/>
      <w:szCs w:val="24"/>
    </w:rPr>
  </w:style>
  <w:style w:type="character" w:customStyle="1" w:styleId="ListLabel1503">
    <w:name w:val="ListLabel 1503"/>
    <w:qFormat/>
    <w:rPr>
      <w:sz w:val="24"/>
      <w:szCs w:val="24"/>
    </w:rPr>
  </w:style>
  <w:style w:type="character" w:customStyle="1" w:styleId="ListLabel1504">
    <w:name w:val="ListLabel 1504"/>
    <w:qFormat/>
    <w:rPr>
      <w:sz w:val="24"/>
      <w:szCs w:val="24"/>
    </w:rPr>
  </w:style>
  <w:style w:type="character" w:customStyle="1" w:styleId="ListLabel1505">
    <w:name w:val="ListLabel 1505"/>
    <w:qFormat/>
    <w:rPr>
      <w:sz w:val="24"/>
      <w:szCs w:val="24"/>
    </w:rPr>
  </w:style>
  <w:style w:type="character" w:customStyle="1" w:styleId="ListLabel1506">
    <w:name w:val="ListLabel 1506"/>
    <w:qFormat/>
    <w:rPr>
      <w:sz w:val="24"/>
      <w:szCs w:val="24"/>
    </w:rPr>
  </w:style>
  <w:style w:type="character" w:customStyle="1" w:styleId="ListLabel1507">
    <w:name w:val="ListLabel 1507"/>
    <w:qFormat/>
    <w:rPr>
      <w:sz w:val="24"/>
      <w:szCs w:val="24"/>
    </w:rPr>
  </w:style>
  <w:style w:type="character" w:customStyle="1" w:styleId="ListLabel1508">
    <w:name w:val="ListLabel 1508"/>
    <w:qFormat/>
    <w:rPr>
      <w:sz w:val="24"/>
      <w:szCs w:val="24"/>
    </w:rPr>
  </w:style>
  <w:style w:type="character" w:customStyle="1" w:styleId="ListLabel1509">
    <w:name w:val="ListLabel 1509"/>
    <w:qFormat/>
    <w:rPr>
      <w:sz w:val="24"/>
      <w:szCs w:val="24"/>
    </w:rPr>
  </w:style>
  <w:style w:type="character" w:customStyle="1" w:styleId="ListLabel1510">
    <w:name w:val="ListLabel 1510"/>
    <w:qFormat/>
    <w:rPr>
      <w:sz w:val="24"/>
      <w:szCs w:val="24"/>
    </w:rPr>
  </w:style>
  <w:style w:type="character" w:customStyle="1" w:styleId="ListLabel1511">
    <w:name w:val="ListLabel 1511"/>
    <w:qFormat/>
    <w:rPr>
      <w:sz w:val="24"/>
      <w:szCs w:val="24"/>
    </w:rPr>
  </w:style>
  <w:style w:type="character" w:customStyle="1" w:styleId="ListLabel1512">
    <w:name w:val="ListLabel 1512"/>
    <w:qFormat/>
    <w:rPr>
      <w:sz w:val="24"/>
      <w:szCs w:val="24"/>
    </w:rPr>
  </w:style>
  <w:style w:type="character" w:customStyle="1" w:styleId="ListLabel1513">
    <w:name w:val="ListLabel 1513"/>
    <w:qFormat/>
    <w:rPr>
      <w:sz w:val="24"/>
      <w:szCs w:val="24"/>
    </w:rPr>
  </w:style>
  <w:style w:type="character" w:customStyle="1" w:styleId="ListLabel1514">
    <w:name w:val="ListLabel 1514"/>
    <w:qFormat/>
    <w:rPr>
      <w:sz w:val="24"/>
      <w:szCs w:val="24"/>
    </w:rPr>
  </w:style>
  <w:style w:type="character" w:customStyle="1" w:styleId="ListLabel1515">
    <w:name w:val="ListLabel 1515"/>
    <w:qFormat/>
    <w:rPr>
      <w:sz w:val="24"/>
      <w:szCs w:val="24"/>
    </w:rPr>
  </w:style>
  <w:style w:type="character" w:customStyle="1" w:styleId="ListLabel1516">
    <w:name w:val="ListLabel 1516"/>
    <w:qFormat/>
    <w:rPr>
      <w:sz w:val="24"/>
      <w:szCs w:val="24"/>
    </w:rPr>
  </w:style>
  <w:style w:type="character" w:customStyle="1" w:styleId="ListLabel1517">
    <w:name w:val="ListLabel 1517"/>
    <w:qFormat/>
    <w:rPr>
      <w:sz w:val="24"/>
      <w:szCs w:val="24"/>
    </w:rPr>
  </w:style>
  <w:style w:type="character" w:customStyle="1" w:styleId="ListLabel1518">
    <w:name w:val="ListLabel 1518"/>
    <w:qFormat/>
    <w:rPr>
      <w:color w:val="auto"/>
      <w:kern w:val="0"/>
      <w:sz w:val="24"/>
      <w:szCs w:val="24"/>
      <w:u w:val="none"/>
    </w:rPr>
  </w:style>
  <w:style w:type="character" w:customStyle="1" w:styleId="ListLabel1519">
    <w:name w:val="ListLabel 1519"/>
    <w:qFormat/>
    <w:rPr>
      <w:color w:val="auto"/>
      <w:sz w:val="24"/>
      <w:szCs w:val="24"/>
      <w:u w:val="none"/>
    </w:rPr>
  </w:style>
  <w:style w:type="character" w:customStyle="1" w:styleId="ListLabel1520">
    <w:name w:val="ListLabel 1520"/>
    <w:qFormat/>
    <w:rPr>
      <w:sz w:val="14"/>
      <w:szCs w:val="14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1">
    <w:name w:val="Nagłówek 11"/>
    <w:basedOn w:val="Normalny"/>
    <w:next w:val="Normalny"/>
    <w:qFormat/>
    <w:pPr>
      <w:keepNext/>
      <w:widowControl w:val="0"/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ind w:left="2694"/>
      <w:jc w:val="both"/>
      <w:outlineLvl w:val="8"/>
    </w:pPr>
    <w:rPr>
      <w:rFonts w:ascii="Georgia" w:hAnsi="Georgia" w:cs="Georgia"/>
      <w:b/>
      <w:sz w:val="26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3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3"/>
    <w:next w:val="Tekstpodstawowy"/>
    <w:qFormat/>
    <w:pPr>
      <w:spacing w:before="60"/>
      <w:jc w:val="center"/>
    </w:pPr>
    <w:rPr>
      <w:sz w:val="36"/>
      <w:szCs w:val="36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western">
    <w:name w:val="western"/>
    <w:basedOn w:val="Normalny"/>
    <w:qFormat/>
    <w:pPr>
      <w:suppressAutoHyphens w:val="0"/>
      <w:spacing w:before="100"/>
      <w:jc w:val="both"/>
    </w:pPr>
    <w:rPr>
      <w:color w:val="000000"/>
      <w:sz w:val="26"/>
      <w:szCs w:val="26"/>
    </w:rPr>
  </w:style>
  <w:style w:type="paragraph" w:styleId="Stopka">
    <w:name w:val="footer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nbrha2t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kmztge2t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2692</Words>
  <Characters>16158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Hewlett-Packard Company</Company>
  <LinksUpToDate>false</LinksUpToDate>
  <CharactersWithSpaces>18813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subject/>
  <dc:creator>wanna</dc:creator>
  <dc:description/>
  <cp:lastModifiedBy>Agnieszka Rosiak</cp:lastModifiedBy>
  <cp:revision>2</cp:revision>
  <cp:lastPrinted>2023-07-21T08:57:00Z</cp:lastPrinted>
  <dcterms:created xsi:type="dcterms:W3CDTF">2023-08-04T06:26:00Z</dcterms:created>
  <dcterms:modified xsi:type="dcterms:W3CDTF">2023-08-04T06:26:00Z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