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1FBFC" w14:textId="43C590C5" w:rsidR="005066F2" w:rsidRPr="005066F2" w:rsidRDefault="005066F2" w:rsidP="005066F2">
      <w:pPr>
        <w:ind w:hanging="34"/>
        <w:jc w:val="center"/>
        <w:rPr>
          <w:rFonts w:ascii="Calibri Light" w:hAnsi="Calibri Light" w:cs="Calibri Light"/>
          <w:b/>
          <w:bCs/>
          <w:color w:val="000000"/>
        </w:rPr>
      </w:pPr>
      <w:r w:rsidRPr="005066F2">
        <w:rPr>
          <w:rFonts w:ascii="Calibri Light" w:hAnsi="Calibri Light" w:cs="Calibri Light"/>
          <w:b/>
        </w:rPr>
        <w:t xml:space="preserve">Uwagi do </w:t>
      </w:r>
      <w:r w:rsidRPr="005066F2">
        <w:rPr>
          <w:rFonts w:ascii="Calibri Light" w:hAnsi="Calibri Light" w:cs="Calibri Light"/>
          <w:b/>
          <w:bCs/>
          <w:color w:val="000000"/>
        </w:rPr>
        <w:t>projektu rozporządzenia Rady Ministrów zmieniającego rozporządzenie w sprawie Centralnego Repozytorium Informacji Publicznej</w:t>
      </w:r>
      <w:r w:rsidR="002746A7">
        <w:rPr>
          <w:rFonts w:ascii="Calibri Light" w:hAnsi="Calibri Light" w:cs="Calibri Light"/>
          <w:b/>
          <w:bCs/>
          <w:color w:val="000000"/>
        </w:rPr>
        <w:t xml:space="preserve"> </w:t>
      </w:r>
      <w:r w:rsidR="002746A7" w:rsidRPr="002746A7">
        <w:rPr>
          <w:rFonts w:ascii="Calibri Light" w:hAnsi="Calibri Light" w:cs="Calibri Light"/>
          <w:bCs/>
          <w:color w:val="000000"/>
        </w:rPr>
        <w:t>(ponowne uzgodnienia międzyresortowe)</w:t>
      </w:r>
    </w:p>
    <w:p w14:paraId="0A06E125" w14:textId="77777777" w:rsidR="00457EFA" w:rsidRDefault="00457EFA" w:rsidP="00457EFA">
      <w:pPr>
        <w:pStyle w:val="Tekstpodstawowy"/>
        <w:rPr>
          <w:rFonts w:ascii="Arial" w:hAnsi="Arial" w:cs="Arial"/>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5811"/>
        <w:gridCol w:w="1985"/>
        <w:gridCol w:w="5245"/>
      </w:tblGrid>
      <w:tr w:rsidR="00457EFA" w:rsidRPr="00732A73" w14:paraId="12B6632E" w14:textId="77777777" w:rsidTr="007278E0">
        <w:tc>
          <w:tcPr>
            <w:tcW w:w="988" w:type="dxa"/>
            <w:tcBorders>
              <w:top w:val="single" w:sz="4" w:space="0" w:color="auto"/>
              <w:left w:val="single" w:sz="4" w:space="0" w:color="auto"/>
              <w:bottom w:val="single" w:sz="4" w:space="0" w:color="auto"/>
              <w:right w:val="single" w:sz="4" w:space="0" w:color="auto"/>
            </w:tcBorders>
            <w:hideMark/>
          </w:tcPr>
          <w:p w14:paraId="44F80B81" w14:textId="77777777" w:rsidR="00457EFA" w:rsidRPr="00732A73" w:rsidRDefault="00457EFA">
            <w:pPr>
              <w:jc w:val="center"/>
              <w:rPr>
                <w:rFonts w:ascii="Calibri" w:hAnsi="Calibri" w:cs="Calibri"/>
                <w:b/>
              </w:rPr>
            </w:pPr>
            <w:r w:rsidRPr="00732A73">
              <w:rPr>
                <w:rFonts w:ascii="Calibri" w:hAnsi="Calibri" w:cs="Calibri"/>
                <w:b/>
              </w:rPr>
              <w:t>Lp.</w:t>
            </w:r>
          </w:p>
        </w:tc>
        <w:tc>
          <w:tcPr>
            <w:tcW w:w="5811" w:type="dxa"/>
            <w:tcBorders>
              <w:top w:val="single" w:sz="4" w:space="0" w:color="auto"/>
              <w:left w:val="single" w:sz="4" w:space="0" w:color="auto"/>
              <w:bottom w:val="single" w:sz="4" w:space="0" w:color="auto"/>
              <w:right w:val="single" w:sz="4" w:space="0" w:color="auto"/>
            </w:tcBorders>
            <w:hideMark/>
          </w:tcPr>
          <w:p w14:paraId="7ADE1D24" w14:textId="77777777" w:rsidR="00457EFA" w:rsidRPr="00732A73" w:rsidRDefault="00457EFA">
            <w:pPr>
              <w:jc w:val="center"/>
              <w:rPr>
                <w:rFonts w:ascii="Calibri" w:hAnsi="Calibri" w:cs="Calibri"/>
                <w:b/>
              </w:rPr>
            </w:pPr>
            <w:r w:rsidRPr="00732A73">
              <w:rPr>
                <w:rFonts w:ascii="Calibri" w:hAnsi="Calibri" w:cs="Calibri"/>
                <w:b/>
              </w:rPr>
              <w:t>Zgłoszona uwaga</w:t>
            </w:r>
          </w:p>
        </w:tc>
        <w:tc>
          <w:tcPr>
            <w:tcW w:w="1985" w:type="dxa"/>
            <w:tcBorders>
              <w:top w:val="single" w:sz="4" w:space="0" w:color="auto"/>
              <w:left w:val="single" w:sz="4" w:space="0" w:color="auto"/>
              <w:bottom w:val="single" w:sz="4" w:space="0" w:color="auto"/>
              <w:right w:val="single" w:sz="4" w:space="0" w:color="auto"/>
            </w:tcBorders>
            <w:hideMark/>
          </w:tcPr>
          <w:p w14:paraId="3610E0A5" w14:textId="77777777" w:rsidR="00457EFA" w:rsidRPr="00732A73" w:rsidRDefault="00457EFA">
            <w:pPr>
              <w:jc w:val="center"/>
              <w:rPr>
                <w:rFonts w:ascii="Calibri" w:hAnsi="Calibri" w:cs="Calibri"/>
                <w:b/>
              </w:rPr>
            </w:pPr>
            <w:r w:rsidRPr="00732A73">
              <w:rPr>
                <w:rFonts w:ascii="Calibri" w:hAnsi="Calibri" w:cs="Calibri"/>
                <w:b/>
              </w:rPr>
              <w:t>Organ zgłaszający uwagę</w:t>
            </w:r>
          </w:p>
        </w:tc>
        <w:tc>
          <w:tcPr>
            <w:tcW w:w="5245" w:type="dxa"/>
            <w:tcBorders>
              <w:top w:val="single" w:sz="4" w:space="0" w:color="auto"/>
              <w:left w:val="single" w:sz="4" w:space="0" w:color="auto"/>
              <w:bottom w:val="single" w:sz="4" w:space="0" w:color="auto"/>
              <w:right w:val="single" w:sz="4" w:space="0" w:color="auto"/>
            </w:tcBorders>
            <w:hideMark/>
          </w:tcPr>
          <w:p w14:paraId="4086E971" w14:textId="77777777" w:rsidR="00457EFA" w:rsidRPr="00732A73" w:rsidRDefault="00457EFA">
            <w:pPr>
              <w:jc w:val="center"/>
              <w:rPr>
                <w:rFonts w:ascii="Calibri" w:hAnsi="Calibri" w:cs="Calibri"/>
                <w:b/>
              </w:rPr>
            </w:pPr>
            <w:r w:rsidRPr="00732A73">
              <w:rPr>
                <w:rFonts w:ascii="Calibri" w:hAnsi="Calibri" w:cs="Calibri"/>
                <w:b/>
              </w:rPr>
              <w:t>Stanowisko MC</w:t>
            </w:r>
          </w:p>
        </w:tc>
      </w:tr>
      <w:tr w:rsidR="00E36CEC" w:rsidRPr="00732A73" w14:paraId="1D960661" w14:textId="77777777" w:rsidTr="007278E0">
        <w:tc>
          <w:tcPr>
            <w:tcW w:w="988" w:type="dxa"/>
            <w:tcBorders>
              <w:top w:val="single" w:sz="4" w:space="0" w:color="auto"/>
              <w:left w:val="single" w:sz="4" w:space="0" w:color="auto"/>
              <w:bottom w:val="single" w:sz="4" w:space="0" w:color="auto"/>
              <w:right w:val="single" w:sz="4" w:space="0" w:color="auto"/>
            </w:tcBorders>
          </w:tcPr>
          <w:p w14:paraId="09787BAE" w14:textId="77777777" w:rsidR="00E36CEC" w:rsidRPr="00732A73" w:rsidRDefault="00E36CEC" w:rsidP="009667CE">
            <w:pPr>
              <w:pStyle w:val="Akapitzlist"/>
              <w:numPr>
                <w:ilvl w:val="0"/>
                <w:numId w:val="3"/>
              </w:numPr>
              <w:rPr>
                <w:rFonts w:cs="Calibri"/>
                <w:b/>
                <w:sz w:val="24"/>
                <w:szCs w:val="24"/>
              </w:rPr>
            </w:pPr>
          </w:p>
        </w:tc>
        <w:tc>
          <w:tcPr>
            <w:tcW w:w="5811" w:type="dxa"/>
            <w:tcBorders>
              <w:top w:val="single" w:sz="4" w:space="0" w:color="auto"/>
              <w:left w:val="single" w:sz="4" w:space="0" w:color="auto"/>
              <w:bottom w:val="single" w:sz="4" w:space="0" w:color="auto"/>
              <w:right w:val="single" w:sz="4" w:space="0" w:color="auto"/>
            </w:tcBorders>
          </w:tcPr>
          <w:p w14:paraId="43B09728" w14:textId="038732B4" w:rsidR="00DB1329" w:rsidRPr="00732A73" w:rsidRDefault="006C5E59" w:rsidP="00DB1329">
            <w:pPr>
              <w:autoSpaceDE w:val="0"/>
              <w:autoSpaceDN w:val="0"/>
              <w:adjustRightInd w:val="0"/>
              <w:rPr>
                <w:rFonts w:ascii="Calibri" w:eastAsiaTheme="minorHAnsi" w:hAnsi="Calibri" w:cs="Calibri"/>
                <w:lang w:eastAsia="en-US"/>
              </w:rPr>
            </w:pPr>
            <w:r w:rsidRPr="00732A73">
              <w:rPr>
                <w:rFonts w:ascii="Calibri" w:eastAsiaTheme="minorHAnsi" w:hAnsi="Calibri" w:cs="Calibri"/>
                <w:lang w:eastAsia="en-US"/>
              </w:rPr>
              <w:t>D</w:t>
            </w:r>
            <w:r w:rsidR="00DB1329" w:rsidRPr="00732A73">
              <w:rPr>
                <w:rFonts w:ascii="Calibri" w:eastAsiaTheme="minorHAnsi" w:hAnsi="Calibri" w:cs="Calibri"/>
                <w:lang w:eastAsia="en-US"/>
              </w:rPr>
              <w:t>efinicja dostawcy zawarta w § 1 pkt 1 lit a rozporządzenia zmieniającego wymaga zmiany, gdyż odsyła do przepisów art. 9c ust. 1 ustawy z dnia 6 września 2001 r. o dostępie do informacji publicznej (Dz. U. z 2019 r. poz. 1429), zwanej dalej „ustawą” oraz przepisów wydanych na podstawie art. 9a ust. 3 lub 4 tej ustawy, które nie dotyczą podmiotów zobowiązanych do udostępniania danych w centralnym repozytorium. Katalog podmiotów zobowiązanych do przekazywania danych do Centralnego Repozytorium</w:t>
            </w:r>
          </w:p>
          <w:p w14:paraId="6E2D693F" w14:textId="1727BC89" w:rsidR="00E36CEC" w:rsidRPr="00732A73" w:rsidRDefault="00DB1329" w:rsidP="00732A73">
            <w:pPr>
              <w:autoSpaceDE w:val="0"/>
              <w:autoSpaceDN w:val="0"/>
              <w:adjustRightInd w:val="0"/>
              <w:rPr>
                <w:rFonts w:ascii="Calibri" w:eastAsiaTheme="minorHAnsi" w:hAnsi="Calibri" w:cs="Calibri"/>
                <w:lang w:eastAsia="en-US"/>
              </w:rPr>
            </w:pPr>
            <w:r w:rsidRPr="00732A73">
              <w:rPr>
                <w:rFonts w:ascii="Calibri" w:eastAsiaTheme="minorHAnsi" w:hAnsi="Calibri" w:cs="Calibri"/>
                <w:lang w:eastAsia="en-US"/>
              </w:rPr>
              <w:t>Informacji Publicznej określa już art. 9a i art. 4 ustawy. W związku z powyższym Rządowe Centrum Legislacji proponuje, aby ograniczyć definicję dostawcy i nadać jej brzmienie</w:t>
            </w:r>
            <w:r w:rsidR="00732A73" w:rsidRPr="00732A73">
              <w:rPr>
                <w:rFonts w:ascii="Calibri" w:eastAsiaTheme="minorHAnsi" w:hAnsi="Calibri" w:cs="Calibri"/>
                <w:lang w:eastAsia="en-US"/>
              </w:rPr>
              <w:t>:</w:t>
            </w:r>
            <w:r w:rsidRPr="00732A73">
              <w:rPr>
                <w:rFonts w:ascii="Calibri" w:eastAsiaTheme="minorHAnsi" w:hAnsi="Calibri" w:cs="Calibri"/>
                <w:lang w:eastAsia="en-US"/>
              </w:rPr>
              <w:t xml:space="preserve"> „2) dostawca - podmiot, którego zasoby zostały udostępnione w centralnym repozytorium”</w:t>
            </w:r>
            <w:r w:rsidR="00732A73" w:rsidRPr="00732A73">
              <w:rPr>
                <w:rFonts w:ascii="Calibri" w:eastAsiaTheme="minorHAnsi" w:hAnsi="Calibri" w:cs="Calibri"/>
                <w:lang w:eastAsia="en-US"/>
              </w:rPr>
              <w:t>.</w:t>
            </w:r>
          </w:p>
        </w:tc>
        <w:tc>
          <w:tcPr>
            <w:tcW w:w="1985" w:type="dxa"/>
            <w:tcBorders>
              <w:top w:val="single" w:sz="4" w:space="0" w:color="auto"/>
              <w:left w:val="single" w:sz="4" w:space="0" w:color="auto"/>
              <w:bottom w:val="single" w:sz="4" w:space="0" w:color="auto"/>
              <w:right w:val="single" w:sz="4" w:space="0" w:color="auto"/>
            </w:tcBorders>
          </w:tcPr>
          <w:p w14:paraId="5F2B8813" w14:textId="434062CC" w:rsidR="00E36CEC" w:rsidRPr="00732A73" w:rsidRDefault="00E36CEC" w:rsidP="00E36CEC">
            <w:pPr>
              <w:jc w:val="center"/>
              <w:rPr>
                <w:rFonts w:ascii="Calibri" w:hAnsi="Calibri" w:cs="Calibri"/>
                <w:b/>
              </w:rPr>
            </w:pPr>
            <w:r w:rsidRPr="00732A73">
              <w:rPr>
                <w:rFonts w:ascii="Calibri" w:hAnsi="Calibri" w:cs="Calibri"/>
                <w:b/>
              </w:rPr>
              <w:t>Rządowe Centrum Legislacji</w:t>
            </w:r>
          </w:p>
        </w:tc>
        <w:tc>
          <w:tcPr>
            <w:tcW w:w="5245" w:type="dxa"/>
            <w:tcBorders>
              <w:top w:val="single" w:sz="4" w:space="0" w:color="auto"/>
              <w:left w:val="single" w:sz="4" w:space="0" w:color="auto"/>
              <w:bottom w:val="single" w:sz="4" w:space="0" w:color="auto"/>
              <w:right w:val="single" w:sz="4" w:space="0" w:color="auto"/>
            </w:tcBorders>
          </w:tcPr>
          <w:p w14:paraId="76A8ADBA" w14:textId="77777777" w:rsidR="006C5E59" w:rsidRPr="00732A73" w:rsidRDefault="006C5E59" w:rsidP="006C5E59">
            <w:pPr>
              <w:rPr>
                <w:rFonts w:ascii="Calibri" w:hAnsi="Calibri" w:cs="Calibri"/>
                <w:b/>
              </w:rPr>
            </w:pPr>
            <w:r w:rsidRPr="00732A73">
              <w:rPr>
                <w:rFonts w:ascii="Calibri" w:hAnsi="Calibri" w:cs="Calibri"/>
                <w:b/>
              </w:rPr>
              <w:t>Uwaga przyjęta.</w:t>
            </w:r>
          </w:p>
          <w:p w14:paraId="62A72F7D" w14:textId="77777777" w:rsidR="002041C5" w:rsidRPr="00732A73" w:rsidRDefault="002041C5" w:rsidP="006C5E59">
            <w:pPr>
              <w:rPr>
                <w:rFonts w:ascii="Calibri" w:hAnsi="Calibri" w:cs="Calibri"/>
                <w:b/>
              </w:rPr>
            </w:pPr>
          </w:p>
          <w:p w14:paraId="2E739454" w14:textId="7A48F99E" w:rsidR="004F4E82" w:rsidRPr="00732A73" w:rsidRDefault="002041C5" w:rsidP="002041C5">
            <w:pPr>
              <w:spacing w:after="120"/>
              <w:rPr>
                <w:rFonts w:ascii="Calibri" w:hAnsi="Calibri" w:cs="Calibri"/>
                <w:b/>
              </w:rPr>
            </w:pPr>
            <w:r w:rsidRPr="00732A73">
              <w:rPr>
                <w:rFonts w:ascii="Calibri" w:hAnsi="Calibri" w:cs="Calibri"/>
              </w:rPr>
              <w:t>Propozycja nowego</w:t>
            </w:r>
            <w:r w:rsidRPr="00732A73">
              <w:rPr>
                <w:rFonts w:ascii="Calibri" w:hAnsi="Calibri" w:cs="Calibri"/>
                <w:b/>
              </w:rPr>
              <w:t xml:space="preserve"> </w:t>
            </w:r>
            <w:r w:rsidRPr="00732A73">
              <w:rPr>
                <w:rFonts w:ascii="Calibri" w:hAnsi="Calibri" w:cs="Calibri"/>
              </w:rPr>
              <w:t>b</w:t>
            </w:r>
            <w:r w:rsidR="006C5E59" w:rsidRPr="00732A73">
              <w:rPr>
                <w:rFonts w:ascii="Calibri" w:hAnsi="Calibri" w:cs="Calibri"/>
              </w:rPr>
              <w:t>rzmienia definicji zgodn</w:t>
            </w:r>
            <w:r w:rsidR="001061BB" w:rsidRPr="00732A73">
              <w:rPr>
                <w:rFonts w:ascii="Calibri" w:hAnsi="Calibri" w:cs="Calibri"/>
              </w:rPr>
              <w:t>a</w:t>
            </w:r>
            <w:r w:rsidR="006C5E59" w:rsidRPr="00732A73">
              <w:rPr>
                <w:rFonts w:ascii="Calibri" w:hAnsi="Calibri" w:cs="Calibri"/>
              </w:rPr>
              <w:t xml:space="preserve"> z </w:t>
            </w:r>
            <w:r w:rsidRPr="00732A73">
              <w:rPr>
                <w:rFonts w:ascii="Calibri" w:hAnsi="Calibri" w:cs="Calibri"/>
              </w:rPr>
              <w:t>sugestią</w:t>
            </w:r>
            <w:r w:rsidR="006C5E59" w:rsidRPr="00732A73">
              <w:rPr>
                <w:rFonts w:ascii="Calibri" w:hAnsi="Calibri" w:cs="Calibri"/>
              </w:rPr>
              <w:t xml:space="preserve"> Rządowego Centrum Legislacji:</w:t>
            </w:r>
          </w:p>
          <w:p w14:paraId="24103A37" w14:textId="1EC89A93" w:rsidR="006C5E59" w:rsidRPr="00732A73" w:rsidRDefault="006C5E59" w:rsidP="002E27AB">
            <w:pPr>
              <w:autoSpaceDE w:val="0"/>
              <w:autoSpaceDN w:val="0"/>
              <w:adjustRightInd w:val="0"/>
              <w:rPr>
                <w:rFonts w:ascii="Calibri" w:hAnsi="Calibri" w:cs="Calibri"/>
              </w:rPr>
            </w:pPr>
            <w:r w:rsidRPr="00732A73">
              <w:rPr>
                <w:rFonts w:ascii="Calibri" w:hAnsi="Calibri" w:cs="Calibri"/>
              </w:rPr>
              <w:t xml:space="preserve">„2) </w:t>
            </w:r>
            <w:r w:rsidRPr="00732A73">
              <w:rPr>
                <w:rFonts w:ascii="Calibri" w:hAnsi="Calibri" w:cs="Calibri"/>
                <w:i/>
              </w:rPr>
              <w:t>dostawca – podmiot, którego zasoby informacyjne zostały udostępnione w centralnym repozytorium</w:t>
            </w:r>
            <w:r w:rsidRPr="00732A73">
              <w:rPr>
                <w:rFonts w:ascii="Calibri" w:hAnsi="Calibri" w:cs="Calibri"/>
              </w:rPr>
              <w:t>;”.</w:t>
            </w:r>
          </w:p>
        </w:tc>
      </w:tr>
      <w:tr w:rsidR="00E36CEC" w:rsidRPr="00732A73" w14:paraId="3964C640" w14:textId="77777777" w:rsidTr="007278E0">
        <w:tc>
          <w:tcPr>
            <w:tcW w:w="988" w:type="dxa"/>
            <w:tcBorders>
              <w:top w:val="single" w:sz="4" w:space="0" w:color="auto"/>
              <w:left w:val="single" w:sz="4" w:space="0" w:color="auto"/>
              <w:bottom w:val="single" w:sz="4" w:space="0" w:color="auto"/>
              <w:right w:val="single" w:sz="4" w:space="0" w:color="auto"/>
            </w:tcBorders>
          </w:tcPr>
          <w:p w14:paraId="0804C413" w14:textId="77777777" w:rsidR="00E36CEC" w:rsidRPr="00732A73" w:rsidRDefault="00E36CEC" w:rsidP="00E36CEC">
            <w:pPr>
              <w:pStyle w:val="Akapitzlist"/>
              <w:numPr>
                <w:ilvl w:val="0"/>
                <w:numId w:val="3"/>
              </w:numPr>
              <w:jc w:val="center"/>
              <w:rPr>
                <w:rFonts w:cs="Calibri"/>
                <w:b/>
                <w:sz w:val="24"/>
                <w:szCs w:val="24"/>
              </w:rPr>
            </w:pPr>
          </w:p>
        </w:tc>
        <w:tc>
          <w:tcPr>
            <w:tcW w:w="5811" w:type="dxa"/>
            <w:tcBorders>
              <w:top w:val="single" w:sz="4" w:space="0" w:color="auto"/>
              <w:left w:val="single" w:sz="4" w:space="0" w:color="auto"/>
              <w:bottom w:val="single" w:sz="4" w:space="0" w:color="auto"/>
              <w:right w:val="single" w:sz="4" w:space="0" w:color="auto"/>
            </w:tcBorders>
          </w:tcPr>
          <w:p w14:paraId="665F4F59" w14:textId="40357F8C" w:rsidR="006C5E59" w:rsidRPr="00732A73" w:rsidRDefault="006C5E59" w:rsidP="006C5E59">
            <w:pPr>
              <w:autoSpaceDE w:val="0"/>
              <w:autoSpaceDN w:val="0"/>
              <w:adjustRightInd w:val="0"/>
              <w:rPr>
                <w:rFonts w:ascii="Calibri" w:eastAsiaTheme="minorHAnsi" w:hAnsi="Calibri" w:cs="Calibri"/>
                <w:lang w:eastAsia="en-US"/>
              </w:rPr>
            </w:pPr>
            <w:r w:rsidRPr="00732A73">
              <w:rPr>
                <w:rFonts w:ascii="Calibri" w:eastAsiaTheme="minorHAnsi" w:hAnsi="Calibri" w:cs="Calibri"/>
                <w:lang w:eastAsia="en-US"/>
              </w:rPr>
              <w:t>Zaproponowana definicja interfejsu programistycznego, zawarta w § 1 pkt 1 lit. a rozporządzenia zmieniającego, wymaga uspójnienia z przepisami ustawy. Zgodnie</w:t>
            </w:r>
          </w:p>
          <w:p w14:paraId="0AB2E90D" w14:textId="3F29B0B9" w:rsidR="006C5E59" w:rsidRPr="00732A73" w:rsidRDefault="006C5E59" w:rsidP="006C5E59">
            <w:pPr>
              <w:autoSpaceDE w:val="0"/>
              <w:autoSpaceDN w:val="0"/>
              <w:adjustRightInd w:val="0"/>
              <w:rPr>
                <w:rFonts w:ascii="Calibri" w:eastAsiaTheme="minorHAnsi" w:hAnsi="Calibri" w:cs="Calibri"/>
                <w:lang w:eastAsia="en-US"/>
              </w:rPr>
            </w:pPr>
            <w:r w:rsidRPr="00732A73">
              <w:rPr>
                <w:rFonts w:ascii="Calibri" w:eastAsiaTheme="minorHAnsi" w:hAnsi="Calibri" w:cs="Calibri"/>
                <w:lang w:eastAsia="en-US"/>
              </w:rPr>
              <w:t xml:space="preserve">z art. 9a ust. 2a pkt 2 obowiązek przekazania posiadanych zasobów informacyjnych oraz metadanych może zostać spełniony przez przekazanie samych </w:t>
            </w:r>
            <w:r w:rsidRPr="00732A73">
              <w:rPr>
                <w:rFonts w:ascii="Calibri" w:eastAsiaTheme="minorHAnsi" w:hAnsi="Calibri" w:cs="Calibri"/>
                <w:u w:val="single"/>
                <w:lang w:eastAsia="en-US"/>
              </w:rPr>
              <w:t>metadanych</w:t>
            </w:r>
            <w:r w:rsidRPr="00732A73">
              <w:rPr>
                <w:rFonts w:ascii="Calibri" w:eastAsiaTheme="minorHAnsi" w:hAnsi="Calibri" w:cs="Calibri"/>
                <w:lang w:eastAsia="en-US"/>
              </w:rPr>
              <w:t>, o których</w:t>
            </w:r>
          </w:p>
          <w:p w14:paraId="4B0044CF" w14:textId="283A41BE" w:rsidR="006C5E59" w:rsidRPr="00732A73" w:rsidRDefault="006C5E59" w:rsidP="006C5E59">
            <w:pPr>
              <w:autoSpaceDE w:val="0"/>
              <w:autoSpaceDN w:val="0"/>
              <w:adjustRightInd w:val="0"/>
              <w:rPr>
                <w:rFonts w:ascii="Calibri" w:eastAsiaTheme="minorHAnsi" w:hAnsi="Calibri" w:cs="Calibri"/>
                <w:lang w:eastAsia="en-US"/>
              </w:rPr>
            </w:pPr>
            <w:r w:rsidRPr="00732A73">
              <w:rPr>
                <w:rFonts w:ascii="Calibri" w:eastAsiaTheme="minorHAnsi" w:hAnsi="Calibri" w:cs="Calibri"/>
                <w:lang w:eastAsia="en-US"/>
              </w:rPr>
              <w:t xml:space="preserve">mowa w art. 9a ust. 2, jeżeli zasób informacyjny jest udostępniany przez podmiot zobowiązany w repozytorium powszechnie dostępnym w sieci </w:t>
            </w:r>
            <w:r w:rsidRPr="00732A73">
              <w:rPr>
                <w:rFonts w:ascii="Calibri" w:eastAsiaTheme="minorHAnsi" w:hAnsi="Calibri" w:cs="Calibri"/>
                <w:lang w:eastAsia="en-US"/>
              </w:rPr>
              <w:lastRenderedPageBreak/>
              <w:t xml:space="preserve">teleinformatycznej. W związku z powyższym interfejs programistyczny może stanowić zbiór funkcji umożliwiających przekazanie do centralnego repozytorium </w:t>
            </w:r>
            <w:r w:rsidRPr="00732A73">
              <w:rPr>
                <w:rFonts w:ascii="Calibri" w:eastAsiaTheme="minorHAnsi" w:hAnsi="Calibri" w:cs="Calibri"/>
                <w:u w:val="single"/>
                <w:lang w:eastAsia="en-US"/>
              </w:rPr>
              <w:t>metadanych</w:t>
            </w:r>
            <w:r w:rsidRPr="00732A73">
              <w:rPr>
                <w:rFonts w:ascii="Calibri" w:eastAsiaTheme="minorHAnsi" w:hAnsi="Calibri" w:cs="Calibri"/>
                <w:lang w:eastAsia="en-US"/>
              </w:rPr>
              <w:t xml:space="preserve"> innego zasobu</w:t>
            </w:r>
          </w:p>
          <w:p w14:paraId="39E2AEEC" w14:textId="6BE267D7" w:rsidR="00E36CEC" w:rsidRPr="00732A73" w:rsidRDefault="006C5E59" w:rsidP="006C5E59">
            <w:pPr>
              <w:autoSpaceDE w:val="0"/>
              <w:autoSpaceDN w:val="0"/>
              <w:adjustRightInd w:val="0"/>
              <w:rPr>
                <w:rFonts w:ascii="Calibri" w:eastAsiaTheme="minorHAnsi" w:hAnsi="Calibri" w:cs="Calibri"/>
                <w:lang w:eastAsia="en-US"/>
              </w:rPr>
            </w:pPr>
            <w:r w:rsidRPr="00732A73">
              <w:rPr>
                <w:rFonts w:ascii="Calibri" w:eastAsiaTheme="minorHAnsi" w:hAnsi="Calibri" w:cs="Calibri"/>
                <w:lang w:eastAsia="en-US"/>
              </w:rPr>
              <w:t xml:space="preserve">informacyjnego, o ile jest on udostępniany w repozytorium publicznie dostępnym, natomiast nie powoduje „połączenia i wzajemnej wymiany </w:t>
            </w:r>
            <w:r w:rsidRPr="00732A73">
              <w:rPr>
                <w:rFonts w:ascii="Calibri" w:eastAsiaTheme="minorHAnsi" w:hAnsi="Calibri" w:cs="Calibri"/>
                <w:u w:val="single"/>
                <w:lang w:eastAsia="en-US"/>
              </w:rPr>
              <w:t>danych</w:t>
            </w:r>
            <w:r w:rsidRPr="00732A73">
              <w:rPr>
                <w:rFonts w:ascii="Calibri" w:eastAsiaTheme="minorHAnsi" w:hAnsi="Calibri" w:cs="Calibri"/>
                <w:lang w:eastAsia="en-US"/>
              </w:rPr>
              <w:t xml:space="preserve"> pomiędzy centralnym repozytorium a innym repozytorium powszechnie dostępnym”. W związku ze zmianą definicji interfejsu programistycznego konieczne będzie także dostosowanie do niej brzmienia przepisów, których zmiany zawarto w § 1 pkt 3 lit. b, pkt 6 i 8 rozporządzenia zmienianego.</w:t>
            </w:r>
          </w:p>
        </w:tc>
        <w:tc>
          <w:tcPr>
            <w:tcW w:w="1985" w:type="dxa"/>
            <w:tcBorders>
              <w:top w:val="single" w:sz="4" w:space="0" w:color="auto"/>
              <w:left w:val="single" w:sz="4" w:space="0" w:color="auto"/>
              <w:bottom w:val="single" w:sz="4" w:space="0" w:color="auto"/>
              <w:right w:val="single" w:sz="4" w:space="0" w:color="auto"/>
            </w:tcBorders>
          </w:tcPr>
          <w:p w14:paraId="485D590B" w14:textId="53C830C4" w:rsidR="00E36CEC" w:rsidRPr="00732A73" w:rsidRDefault="00E36CEC" w:rsidP="00E36CEC">
            <w:pPr>
              <w:jc w:val="center"/>
              <w:rPr>
                <w:rFonts w:ascii="Calibri" w:hAnsi="Calibri" w:cs="Calibri"/>
                <w:b/>
              </w:rPr>
            </w:pPr>
            <w:r w:rsidRPr="00732A73">
              <w:rPr>
                <w:rFonts w:ascii="Calibri" w:hAnsi="Calibri" w:cs="Calibri"/>
                <w:b/>
              </w:rPr>
              <w:lastRenderedPageBreak/>
              <w:t>Rządowe Centrum Legislacji</w:t>
            </w:r>
          </w:p>
        </w:tc>
        <w:tc>
          <w:tcPr>
            <w:tcW w:w="5245" w:type="dxa"/>
            <w:tcBorders>
              <w:top w:val="single" w:sz="4" w:space="0" w:color="auto"/>
              <w:left w:val="single" w:sz="4" w:space="0" w:color="auto"/>
              <w:bottom w:val="single" w:sz="4" w:space="0" w:color="auto"/>
              <w:right w:val="single" w:sz="4" w:space="0" w:color="auto"/>
            </w:tcBorders>
          </w:tcPr>
          <w:p w14:paraId="2C381F72" w14:textId="5DB74389" w:rsidR="00E36CEC" w:rsidRPr="00732A73" w:rsidRDefault="00D72566" w:rsidP="0042229C">
            <w:pPr>
              <w:rPr>
                <w:rFonts w:ascii="Calibri" w:hAnsi="Calibri" w:cs="Calibri"/>
                <w:b/>
              </w:rPr>
            </w:pPr>
            <w:r w:rsidRPr="00732A73">
              <w:rPr>
                <w:rFonts w:ascii="Calibri" w:hAnsi="Calibri" w:cs="Calibri"/>
                <w:b/>
              </w:rPr>
              <w:t xml:space="preserve">Uwaga </w:t>
            </w:r>
            <w:r w:rsidR="00A00208" w:rsidRPr="00732A73">
              <w:rPr>
                <w:rFonts w:ascii="Calibri" w:hAnsi="Calibri" w:cs="Calibri"/>
                <w:b/>
              </w:rPr>
              <w:t>przyjęta</w:t>
            </w:r>
            <w:r w:rsidR="006C5E59" w:rsidRPr="00732A73">
              <w:rPr>
                <w:rFonts w:ascii="Calibri" w:hAnsi="Calibri" w:cs="Calibri"/>
                <w:b/>
              </w:rPr>
              <w:t>.</w:t>
            </w:r>
          </w:p>
          <w:p w14:paraId="755EB248" w14:textId="77777777" w:rsidR="002041C5" w:rsidRPr="00732A73" w:rsidRDefault="002041C5" w:rsidP="0042229C">
            <w:pPr>
              <w:rPr>
                <w:rFonts w:ascii="Calibri" w:hAnsi="Calibri" w:cs="Calibri"/>
                <w:b/>
              </w:rPr>
            </w:pPr>
          </w:p>
          <w:p w14:paraId="04DBA2AA" w14:textId="6F0B8AE5" w:rsidR="006C5E59" w:rsidRPr="00732A73" w:rsidRDefault="006C5E59" w:rsidP="002041C5">
            <w:pPr>
              <w:spacing w:after="120"/>
              <w:rPr>
                <w:rFonts w:ascii="Calibri" w:hAnsi="Calibri" w:cs="Calibri"/>
              </w:rPr>
            </w:pPr>
            <w:r w:rsidRPr="00732A73">
              <w:rPr>
                <w:rFonts w:ascii="Calibri" w:hAnsi="Calibri" w:cs="Calibri"/>
              </w:rPr>
              <w:t xml:space="preserve">Propozycja </w:t>
            </w:r>
            <w:r w:rsidR="001061BB" w:rsidRPr="00732A73">
              <w:rPr>
                <w:rFonts w:ascii="Calibri" w:hAnsi="Calibri" w:cs="Calibri"/>
              </w:rPr>
              <w:t xml:space="preserve">nowego brzmienia </w:t>
            </w:r>
            <w:r w:rsidRPr="00732A73">
              <w:rPr>
                <w:rFonts w:ascii="Calibri" w:hAnsi="Calibri" w:cs="Calibri"/>
              </w:rPr>
              <w:t xml:space="preserve">definicji </w:t>
            </w:r>
            <w:r w:rsidR="002041C5" w:rsidRPr="00732A73">
              <w:rPr>
                <w:rFonts w:ascii="Calibri" w:eastAsiaTheme="minorHAnsi" w:hAnsi="Calibri" w:cs="Calibri"/>
                <w:lang w:eastAsia="en-US"/>
              </w:rPr>
              <w:t>interfejsu programistycznego</w:t>
            </w:r>
            <w:r w:rsidRPr="00732A73">
              <w:rPr>
                <w:rFonts w:ascii="Calibri" w:hAnsi="Calibri" w:cs="Calibri"/>
              </w:rPr>
              <w:t>:</w:t>
            </w:r>
          </w:p>
          <w:p w14:paraId="5AA6D348" w14:textId="5637BCE5" w:rsidR="002041C5" w:rsidRPr="00732A73" w:rsidRDefault="002041C5" w:rsidP="0042229C">
            <w:pPr>
              <w:rPr>
                <w:rFonts w:ascii="Calibri" w:hAnsi="Calibri" w:cs="Calibri"/>
              </w:rPr>
            </w:pPr>
            <w:r w:rsidRPr="00732A73">
              <w:rPr>
                <w:rFonts w:ascii="Calibri" w:hAnsi="Calibri" w:cs="Calibri"/>
              </w:rPr>
              <w:t>„3</w:t>
            </w:r>
            <w:r w:rsidRPr="00732A73">
              <w:rPr>
                <w:rFonts w:ascii="Calibri" w:hAnsi="Calibri" w:cs="Calibri"/>
                <w:i/>
              </w:rPr>
              <w:t xml:space="preserve">) interfejs programistyczny – zbiór technicznych funkcji umożliwiających połączenie i wzajemną wymianę zasobów informacyjnych lubi metadanych pomiędzy centralnym repozytorium i innym repozytorium powszechnie dostępnym w sieci </w:t>
            </w:r>
            <w:r w:rsidRPr="00732A73">
              <w:rPr>
                <w:rFonts w:ascii="Calibri" w:hAnsi="Calibri" w:cs="Calibri"/>
                <w:i/>
              </w:rPr>
              <w:lastRenderedPageBreak/>
              <w:t>teleinformatycznej lub innym zewnętrznym oprogramowaniem</w:t>
            </w:r>
            <w:r w:rsidRPr="00732A73">
              <w:rPr>
                <w:rFonts w:ascii="Calibri" w:hAnsi="Calibri" w:cs="Calibri"/>
              </w:rPr>
              <w:t>;”.</w:t>
            </w:r>
          </w:p>
          <w:p w14:paraId="3950377D" w14:textId="77777777" w:rsidR="002041C5" w:rsidRPr="00732A73" w:rsidRDefault="002041C5" w:rsidP="0042229C">
            <w:pPr>
              <w:rPr>
                <w:rFonts w:ascii="Calibri" w:hAnsi="Calibri" w:cs="Calibri"/>
              </w:rPr>
            </w:pPr>
          </w:p>
          <w:p w14:paraId="402DD583" w14:textId="762AD42C" w:rsidR="006C5E59" w:rsidRPr="00732A73" w:rsidRDefault="001E2352" w:rsidP="003A6B9C">
            <w:pPr>
              <w:rPr>
                <w:rFonts w:ascii="Calibri" w:hAnsi="Calibri" w:cs="Calibri"/>
              </w:rPr>
            </w:pPr>
            <w:r w:rsidRPr="00732A73">
              <w:rPr>
                <w:rFonts w:ascii="Calibri" w:hAnsi="Calibri" w:cs="Calibri"/>
              </w:rPr>
              <w:t>Wymiana danych przy pomocy interfejsu programistycznego dotyczy zarówno zasobów informacyjnych jak i metadanych, zaś powyższa definicja dotyczy jedynie funkcjonalności, jakie ma posiadać interfejs. Nie chodzi tu o dokładne określenie</w:t>
            </w:r>
            <w:r w:rsidR="003A6B9C">
              <w:rPr>
                <w:rFonts w:ascii="Calibri" w:hAnsi="Calibri" w:cs="Calibri"/>
              </w:rPr>
              <w:t>,</w:t>
            </w:r>
            <w:r w:rsidRPr="00732A73">
              <w:rPr>
                <w:rFonts w:ascii="Calibri" w:hAnsi="Calibri" w:cs="Calibri"/>
              </w:rPr>
              <w:t xml:space="preserve"> jakie dane są przekazywane za pomocą interfejsu, lecz jak mogą być przekazywane (dwustronna komunikacja). Ponadto, trzeba zauważyć, że nie powinno się ograniczać funkcjonalności interfejsu programistycznego wyłącznie do połączenia z innymi repozytoriami, gdyż w przedmiotowym przypadku może również chodzić o połączenie pomiędzy interfejsem programistycznym a innym systemem informatycznym bądź oprogramowaniem, niekonstytuującym repozytorium. W tej sytuacji proponuj</w:t>
            </w:r>
            <w:r w:rsidR="00732A73" w:rsidRPr="00732A73">
              <w:rPr>
                <w:rFonts w:ascii="Calibri" w:hAnsi="Calibri" w:cs="Calibri"/>
              </w:rPr>
              <w:t>e się</w:t>
            </w:r>
            <w:r w:rsidRPr="00732A73">
              <w:rPr>
                <w:rFonts w:ascii="Calibri" w:hAnsi="Calibri" w:cs="Calibri"/>
              </w:rPr>
              <w:t xml:space="preserve"> dodanie do definicji interfejsu programistycznego fragmentu o możliwości połączenia również z innym zewnętrznym oprogramowaniem, </w:t>
            </w:r>
            <w:r w:rsidR="003A6B9C">
              <w:rPr>
                <w:rFonts w:ascii="Calibri" w:hAnsi="Calibri" w:cs="Calibri"/>
              </w:rPr>
              <w:t>na końcu definicji</w:t>
            </w:r>
            <w:r w:rsidRPr="00732A73">
              <w:rPr>
                <w:rFonts w:ascii="Calibri" w:hAnsi="Calibri" w:cs="Calibri"/>
              </w:rPr>
              <w:t>.</w:t>
            </w:r>
          </w:p>
        </w:tc>
      </w:tr>
      <w:tr w:rsidR="00E36CEC" w:rsidRPr="00732A73" w14:paraId="70ED7A11" w14:textId="77777777" w:rsidTr="007278E0">
        <w:tc>
          <w:tcPr>
            <w:tcW w:w="988" w:type="dxa"/>
            <w:tcBorders>
              <w:top w:val="single" w:sz="4" w:space="0" w:color="auto"/>
              <w:left w:val="single" w:sz="4" w:space="0" w:color="auto"/>
              <w:bottom w:val="single" w:sz="4" w:space="0" w:color="auto"/>
              <w:right w:val="single" w:sz="4" w:space="0" w:color="auto"/>
            </w:tcBorders>
          </w:tcPr>
          <w:p w14:paraId="1C237289" w14:textId="78FC0AE7" w:rsidR="00E36CEC" w:rsidRPr="00732A73" w:rsidRDefault="00E36CEC" w:rsidP="00E36CEC">
            <w:pPr>
              <w:pStyle w:val="Akapitzlist"/>
              <w:numPr>
                <w:ilvl w:val="0"/>
                <w:numId w:val="3"/>
              </w:numPr>
              <w:jc w:val="center"/>
              <w:rPr>
                <w:rFonts w:cs="Calibri"/>
                <w:b/>
                <w:sz w:val="24"/>
                <w:szCs w:val="24"/>
              </w:rPr>
            </w:pPr>
          </w:p>
        </w:tc>
        <w:tc>
          <w:tcPr>
            <w:tcW w:w="5811" w:type="dxa"/>
            <w:tcBorders>
              <w:top w:val="single" w:sz="4" w:space="0" w:color="auto"/>
              <w:left w:val="single" w:sz="4" w:space="0" w:color="auto"/>
              <w:bottom w:val="single" w:sz="4" w:space="0" w:color="auto"/>
              <w:right w:val="single" w:sz="4" w:space="0" w:color="auto"/>
            </w:tcBorders>
          </w:tcPr>
          <w:p w14:paraId="16EDC16C" w14:textId="5AE33A8C" w:rsidR="00F22273" w:rsidRPr="00732A73" w:rsidRDefault="00FD2E88" w:rsidP="00AF7869">
            <w:pPr>
              <w:autoSpaceDE w:val="0"/>
              <w:autoSpaceDN w:val="0"/>
              <w:adjustRightInd w:val="0"/>
              <w:spacing w:after="120"/>
              <w:rPr>
                <w:rFonts w:ascii="Calibri" w:eastAsiaTheme="minorHAnsi" w:hAnsi="Calibri" w:cs="Calibri"/>
                <w:lang w:eastAsia="en-US"/>
              </w:rPr>
            </w:pPr>
            <w:r w:rsidRPr="00732A73">
              <w:rPr>
                <w:rFonts w:ascii="Calibri" w:eastAsiaTheme="minorHAnsi" w:hAnsi="Calibri" w:cs="Calibri"/>
                <w:lang w:eastAsia="en-US"/>
              </w:rPr>
              <w:t xml:space="preserve">Sposób sformułowania projektowanego § 3 ust. 3a sugeruje, że przepis ten dotyczy standardów prowadzenia centralnego repozytorium, które zostały uregulowane w rozdziale 4 rozporządzenia zmienianego. W związku z tym sugeruje się przeniesienie tego przepisu do tego rozdziału. Jeżeli natomiast przepis miałby pozostać w zakresie rozdziału 2 rozporządzenia </w:t>
            </w:r>
            <w:r w:rsidRPr="00732A73">
              <w:rPr>
                <w:rFonts w:ascii="Calibri" w:eastAsiaTheme="minorHAnsi" w:hAnsi="Calibri" w:cs="Calibri"/>
                <w:lang w:eastAsia="en-US"/>
              </w:rPr>
              <w:lastRenderedPageBreak/>
              <w:t>zmienianego konieczne jest dostosowanie jego brzmienia, w taki sposób aby odpowiadał tytułowi rozdziału 2 i dotyczył sposobu przetwarzania i udostępniania zaso</w:t>
            </w:r>
            <w:r w:rsidR="00AF7869" w:rsidRPr="00732A73">
              <w:rPr>
                <w:rFonts w:ascii="Calibri" w:eastAsiaTheme="minorHAnsi" w:hAnsi="Calibri" w:cs="Calibri"/>
                <w:lang w:eastAsia="en-US"/>
              </w:rPr>
              <w:t xml:space="preserve">bów informacyjnych i metadanych. </w:t>
            </w:r>
          </w:p>
        </w:tc>
        <w:tc>
          <w:tcPr>
            <w:tcW w:w="1985" w:type="dxa"/>
            <w:tcBorders>
              <w:top w:val="single" w:sz="4" w:space="0" w:color="auto"/>
              <w:left w:val="single" w:sz="4" w:space="0" w:color="auto"/>
              <w:bottom w:val="single" w:sz="4" w:space="0" w:color="auto"/>
              <w:right w:val="single" w:sz="4" w:space="0" w:color="auto"/>
            </w:tcBorders>
          </w:tcPr>
          <w:p w14:paraId="3A2202EF" w14:textId="00A362F2" w:rsidR="00E36CEC" w:rsidRPr="00732A73" w:rsidRDefault="00E36CEC" w:rsidP="00E36CEC">
            <w:pPr>
              <w:jc w:val="center"/>
              <w:rPr>
                <w:rFonts w:ascii="Calibri" w:hAnsi="Calibri" w:cs="Calibri"/>
                <w:b/>
              </w:rPr>
            </w:pPr>
            <w:r w:rsidRPr="00732A73">
              <w:rPr>
                <w:rFonts w:ascii="Calibri" w:hAnsi="Calibri" w:cs="Calibri"/>
                <w:b/>
              </w:rPr>
              <w:lastRenderedPageBreak/>
              <w:t>Rządowe Centrum Legislacji</w:t>
            </w:r>
          </w:p>
        </w:tc>
        <w:tc>
          <w:tcPr>
            <w:tcW w:w="5245" w:type="dxa"/>
            <w:tcBorders>
              <w:top w:val="single" w:sz="4" w:space="0" w:color="auto"/>
              <w:left w:val="single" w:sz="4" w:space="0" w:color="auto"/>
              <w:bottom w:val="single" w:sz="4" w:space="0" w:color="auto"/>
              <w:right w:val="single" w:sz="4" w:space="0" w:color="auto"/>
            </w:tcBorders>
          </w:tcPr>
          <w:p w14:paraId="76B45002" w14:textId="3ED16273" w:rsidR="00FD2E88" w:rsidRPr="00732A73" w:rsidRDefault="00FD2E88" w:rsidP="00AF7869">
            <w:pPr>
              <w:spacing w:after="120"/>
              <w:rPr>
                <w:rFonts w:ascii="Calibri" w:hAnsi="Calibri" w:cs="Calibri"/>
                <w:b/>
              </w:rPr>
            </w:pPr>
            <w:r w:rsidRPr="00732A73">
              <w:rPr>
                <w:rFonts w:ascii="Calibri" w:hAnsi="Calibri" w:cs="Calibri"/>
                <w:b/>
              </w:rPr>
              <w:t xml:space="preserve">Uwaga </w:t>
            </w:r>
            <w:r w:rsidR="00732A73" w:rsidRPr="00732A73">
              <w:rPr>
                <w:rFonts w:ascii="Calibri" w:hAnsi="Calibri" w:cs="Calibri"/>
                <w:b/>
              </w:rPr>
              <w:t>nieprzyjęta</w:t>
            </w:r>
            <w:r w:rsidRPr="00732A73">
              <w:rPr>
                <w:rFonts w:ascii="Calibri" w:hAnsi="Calibri" w:cs="Calibri"/>
                <w:b/>
              </w:rPr>
              <w:t>.</w:t>
            </w:r>
          </w:p>
          <w:p w14:paraId="45D7553A" w14:textId="71159BE5" w:rsidR="00E36CEC" w:rsidRPr="00732A73" w:rsidRDefault="00AF7869" w:rsidP="00732A73">
            <w:pPr>
              <w:rPr>
                <w:rFonts w:ascii="Calibri" w:hAnsi="Calibri" w:cs="Calibri"/>
                <w:b/>
              </w:rPr>
            </w:pPr>
            <w:r w:rsidRPr="00732A73">
              <w:rPr>
                <w:rFonts w:ascii="Calibri" w:hAnsi="Calibri" w:cs="Calibri"/>
              </w:rPr>
              <w:t xml:space="preserve">Rozdział 2 rozporządzenia zmienianego reguluje sposób przetwarzania i udostępniania zasobów informacyjnych i metadanych oraz wskazuje, kto może je dodawać. Projektowany przepis § 3 ust. 3a wprost definiuje sposób przekazywania zasobów informacyjnych i metadanych: przez Centralne </w:t>
            </w:r>
            <w:r w:rsidRPr="00732A73">
              <w:rPr>
                <w:rFonts w:ascii="Calibri" w:hAnsi="Calibri" w:cs="Calibri"/>
              </w:rPr>
              <w:lastRenderedPageBreak/>
              <w:t>Repozytorium Informacji Publicznej, w sposób automatyczny, za pośrednictwem interfejsu. Trzeba również pamiętać, że przekazywanie danych jest jednym ze sposobów ich przetwarzania, co powoduje, że nie sposób twierdzić, że nie jest to właściwe miejsce dla tego przepisu w ramach systematyki przepisów rozporządzenia zmienianego. Warto też zwrócić uwagę na brzmienie przepisu poprzedzającego, to jest § 3 ust. 3, określającego szczegółowe funkcjonalności interfejsu programistycznego, gdy w proponowanym § 3 ust. 3a również jest mowa o dodatkowej funkcjonalności Centralnego Repozytorium Informacji Publicznej, zapewnianej za pomocą interfejsu. Przepisy zawarte w rozdziale 4 rozporządzenia zmienianego określają natomiast standardy prowadzenia</w:t>
            </w:r>
            <w:r w:rsidRPr="00732A73">
              <w:rPr>
                <w:rFonts w:ascii="Calibri" w:hAnsi="Calibri" w:cs="Calibri"/>
                <w:b/>
              </w:rPr>
              <w:t xml:space="preserve"> </w:t>
            </w:r>
            <w:r w:rsidRPr="00732A73">
              <w:rPr>
                <w:rFonts w:ascii="Calibri" w:hAnsi="Calibri" w:cs="Calibri"/>
              </w:rPr>
              <w:t>Centralnego Repozytorium Informacji Publicznej – np. działanie przez całą dobę czy monitorowanie dostępności jednostki informacji publicznej pod wskazanym adresem URL. W ocenie</w:t>
            </w:r>
            <w:r w:rsidR="00732A73" w:rsidRPr="00732A73">
              <w:rPr>
                <w:rFonts w:ascii="Calibri" w:hAnsi="Calibri" w:cs="Calibri"/>
              </w:rPr>
              <w:t xml:space="preserve"> MC</w:t>
            </w:r>
            <w:r w:rsidRPr="00732A73">
              <w:rPr>
                <w:rFonts w:ascii="Calibri" w:hAnsi="Calibri" w:cs="Calibri"/>
              </w:rPr>
              <w:t xml:space="preserve"> przepisy dotyczące standardów prowadzenia repozytorium nie powinny nadawać nowych funkcjonalności Centralnemu Repozytorium Informacji Publicznej, zaś za taką funkcjonalność należy uznać automatyczną wymianę zasobów i ich udostępnianie</w:t>
            </w:r>
            <w:r w:rsidRPr="00732A73">
              <w:rPr>
                <w:rFonts w:ascii="Calibri" w:hAnsi="Calibri" w:cs="Calibri"/>
                <w:b/>
              </w:rPr>
              <w:t xml:space="preserve">. </w:t>
            </w:r>
          </w:p>
        </w:tc>
      </w:tr>
      <w:tr w:rsidR="005066F2" w:rsidRPr="00732A73" w14:paraId="32C387FD" w14:textId="77777777" w:rsidTr="007278E0">
        <w:tc>
          <w:tcPr>
            <w:tcW w:w="988" w:type="dxa"/>
            <w:tcBorders>
              <w:top w:val="single" w:sz="4" w:space="0" w:color="auto"/>
              <w:left w:val="single" w:sz="4" w:space="0" w:color="auto"/>
              <w:bottom w:val="single" w:sz="4" w:space="0" w:color="auto"/>
              <w:right w:val="single" w:sz="4" w:space="0" w:color="auto"/>
            </w:tcBorders>
          </w:tcPr>
          <w:p w14:paraId="34BFE897" w14:textId="78EAC81E" w:rsidR="005066F2" w:rsidRPr="00732A73" w:rsidRDefault="005066F2" w:rsidP="00E36CEC">
            <w:pPr>
              <w:pStyle w:val="Akapitzlist"/>
              <w:numPr>
                <w:ilvl w:val="0"/>
                <w:numId w:val="3"/>
              </w:numPr>
              <w:jc w:val="center"/>
              <w:rPr>
                <w:rFonts w:cs="Calibri"/>
                <w:b/>
                <w:sz w:val="24"/>
                <w:szCs w:val="24"/>
              </w:rPr>
            </w:pPr>
          </w:p>
        </w:tc>
        <w:tc>
          <w:tcPr>
            <w:tcW w:w="5811" w:type="dxa"/>
            <w:tcBorders>
              <w:top w:val="single" w:sz="4" w:space="0" w:color="auto"/>
              <w:left w:val="single" w:sz="4" w:space="0" w:color="auto"/>
              <w:bottom w:val="single" w:sz="4" w:space="0" w:color="auto"/>
              <w:right w:val="single" w:sz="4" w:space="0" w:color="auto"/>
            </w:tcBorders>
          </w:tcPr>
          <w:p w14:paraId="3F3FC327" w14:textId="27158B12" w:rsidR="00FD2E88" w:rsidRPr="00732A73" w:rsidRDefault="00FD2E88" w:rsidP="00FD2E88">
            <w:pPr>
              <w:autoSpaceDE w:val="0"/>
              <w:autoSpaceDN w:val="0"/>
              <w:adjustRightInd w:val="0"/>
              <w:rPr>
                <w:rFonts w:ascii="Calibri" w:eastAsiaTheme="minorHAnsi" w:hAnsi="Calibri" w:cs="Calibri"/>
                <w:lang w:eastAsia="en-US"/>
              </w:rPr>
            </w:pPr>
            <w:r w:rsidRPr="00732A73">
              <w:rPr>
                <w:rFonts w:ascii="Calibri" w:eastAsiaTheme="minorHAnsi" w:hAnsi="Calibri" w:cs="Calibri"/>
                <w:lang w:eastAsia="en-US"/>
              </w:rPr>
              <w:t>Wyjaśnienia wymaga relacja pomiędzy dodawanym w § 1 pkt 8 rozporządzenia zmieniającego</w:t>
            </w:r>
            <w:r w:rsidR="003A6B9C">
              <w:rPr>
                <w:rFonts w:ascii="Calibri" w:eastAsiaTheme="minorHAnsi" w:hAnsi="Calibri" w:cs="Calibri"/>
                <w:lang w:eastAsia="en-US"/>
              </w:rPr>
              <w:t xml:space="preserve"> przepisem</w:t>
            </w:r>
            <w:r w:rsidRPr="00732A73">
              <w:rPr>
                <w:rFonts w:ascii="Calibri" w:eastAsiaTheme="minorHAnsi" w:hAnsi="Calibri" w:cs="Calibri"/>
                <w:lang w:eastAsia="en-US"/>
              </w:rPr>
              <w:t xml:space="preserve"> §7a oraz obowiązującym § 7 ust. 2 rozporządzenia zmienianego, gdyż</w:t>
            </w:r>
            <w:r w:rsidR="003A6B9C">
              <w:rPr>
                <w:rFonts w:ascii="Calibri" w:eastAsiaTheme="minorHAnsi" w:hAnsi="Calibri" w:cs="Calibri"/>
                <w:lang w:eastAsia="en-US"/>
              </w:rPr>
              <w:t xml:space="preserve"> </w:t>
            </w:r>
            <w:r w:rsidRPr="00732A73">
              <w:rPr>
                <w:rFonts w:ascii="Calibri" w:eastAsiaTheme="minorHAnsi" w:hAnsi="Calibri" w:cs="Calibri"/>
                <w:lang w:eastAsia="en-US"/>
              </w:rPr>
              <w:t xml:space="preserve">zgodnie z przepisem obowiązującym adres URL </w:t>
            </w:r>
            <w:r w:rsidRPr="00732A73">
              <w:rPr>
                <w:rFonts w:ascii="Calibri" w:eastAsiaTheme="minorHAnsi" w:hAnsi="Calibri" w:cs="Calibri"/>
                <w:lang w:eastAsia="en-US"/>
              </w:rPr>
              <w:lastRenderedPageBreak/>
              <w:t>strony internetowej jest „dodawany automatycznie przez centralne repozytorium w przypadku przekazania zasobu</w:t>
            </w:r>
          </w:p>
          <w:p w14:paraId="6DDDFF55" w14:textId="2248BCCF" w:rsidR="00FD2E88" w:rsidRPr="00732A73" w:rsidRDefault="00FD2E88" w:rsidP="00FD2E88">
            <w:pPr>
              <w:autoSpaceDE w:val="0"/>
              <w:autoSpaceDN w:val="0"/>
              <w:adjustRightInd w:val="0"/>
              <w:rPr>
                <w:rFonts w:ascii="Calibri" w:eastAsiaTheme="minorHAnsi" w:hAnsi="Calibri" w:cs="Calibri"/>
                <w:lang w:eastAsia="en-US"/>
              </w:rPr>
            </w:pPr>
            <w:r w:rsidRPr="00732A73">
              <w:rPr>
                <w:rFonts w:ascii="Calibri" w:eastAsiaTheme="minorHAnsi" w:hAnsi="Calibri" w:cs="Calibri"/>
                <w:lang w:eastAsia="en-US"/>
              </w:rPr>
              <w:t>informacyjnego oraz metadanych” zaś dodawany § 7a stanowi, że „oprogramowanie centralnego repozytorium uzupełnia zestaw metadanych (…) adresem URL strony</w:t>
            </w:r>
          </w:p>
          <w:p w14:paraId="414AAAA5" w14:textId="552D9806" w:rsidR="005066F2" w:rsidRPr="00732A73" w:rsidRDefault="00FD2E88" w:rsidP="00FD2E88">
            <w:pPr>
              <w:spacing w:line="276" w:lineRule="auto"/>
              <w:jc w:val="both"/>
              <w:rPr>
                <w:rFonts w:ascii="Calibri" w:hAnsi="Calibri" w:cs="Calibri"/>
                <w:b/>
              </w:rPr>
            </w:pPr>
            <w:r w:rsidRPr="00732A73">
              <w:rPr>
                <w:rFonts w:ascii="Calibri" w:eastAsiaTheme="minorHAnsi" w:hAnsi="Calibri" w:cs="Calibri"/>
                <w:lang w:eastAsia="en-US"/>
              </w:rPr>
              <w:t>internetowej, w ramach której udostępniono j</w:t>
            </w:r>
            <w:r w:rsidR="00B712FF" w:rsidRPr="00732A73">
              <w:rPr>
                <w:rFonts w:ascii="Calibri" w:eastAsiaTheme="minorHAnsi" w:hAnsi="Calibri" w:cs="Calibri"/>
                <w:lang w:eastAsia="en-US"/>
              </w:rPr>
              <w:t xml:space="preserve">ednostkę informacji publicznej”. </w:t>
            </w:r>
          </w:p>
        </w:tc>
        <w:tc>
          <w:tcPr>
            <w:tcW w:w="1985" w:type="dxa"/>
            <w:tcBorders>
              <w:top w:val="single" w:sz="4" w:space="0" w:color="auto"/>
              <w:left w:val="single" w:sz="4" w:space="0" w:color="auto"/>
              <w:bottom w:val="single" w:sz="4" w:space="0" w:color="auto"/>
              <w:right w:val="single" w:sz="4" w:space="0" w:color="auto"/>
            </w:tcBorders>
          </w:tcPr>
          <w:p w14:paraId="688141D9" w14:textId="5083F981" w:rsidR="005066F2" w:rsidRPr="00732A73" w:rsidRDefault="00DB1329" w:rsidP="00E36CEC">
            <w:pPr>
              <w:jc w:val="center"/>
              <w:rPr>
                <w:rFonts w:ascii="Calibri" w:hAnsi="Calibri" w:cs="Calibri"/>
                <w:b/>
              </w:rPr>
            </w:pPr>
            <w:r w:rsidRPr="00732A73">
              <w:rPr>
                <w:rFonts w:ascii="Calibri" w:hAnsi="Calibri" w:cs="Calibri"/>
                <w:b/>
              </w:rPr>
              <w:lastRenderedPageBreak/>
              <w:t>Rządowe Centrum Legislacji</w:t>
            </w:r>
          </w:p>
        </w:tc>
        <w:tc>
          <w:tcPr>
            <w:tcW w:w="5245" w:type="dxa"/>
            <w:tcBorders>
              <w:top w:val="single" w:sz="4" w:space="0" w:color="auto"/>
              <w:left w:val="single" w:sz="4" w:space="0" w:color="auto"/>
              <w:bottom w:val="single" w:sz="4" w:space="0" w:color="auto"/>
              <w:right w:val="single" w:sz="4" w:space="0" w:color="auto"/>
            </w:tcBorders>
          </w:tcPr>
          <w:p w14:paraId="08907A30" w14:textId="77777777" w:rsidR="00FD2E88" w:rsidRPr="00732A73" w:rsidRDefault="00B62E2E" w:rsidP="00FD2E88">
            <w:pPr>
              <w:spacing w:after="120"/>
              <w:rPr>
                <w:rFonts w:ascii="Calibri" w:hAnsi="Calibri" w:cs="Calibri"/>
                <w:b/>
              </w:rPr>
            </w:pPr>
            <w:r w:rsidRPr="00732A73">
              <w:rPr>
                <w:rFonts w:ascii="Calibri" w:hAnsi="Calibri" w:cs="Calibri"/>
                <w:b/>
              </w:rPr>
              <w:t xml:space="preserve">Uwaga </w:t>
            </w:r>
            <w:r w:rsidR="00FD2E88" w:rsidRPr="00732A73">
              <w:rPr>
                <w:rFonts w:ascii="Calibri" w:hAnsi="Calibri" w:cs="Calibri"/>
                <w:b/>
              </w:rPr>
              <w:t>przyjęta</w:t>
            </w:r>
            <w:r w:rsidR="0042229C" w:rsidRPr="00732A73">
              <w:rPr>
                <w:rFonts w:ascii="Calibri" w:hAnsi="Calibri" w:cs="Calibri"/>
                <w:b/>
              </w:rPr>
              <w:t>.</w:t>
            </w:r>
            <w:r w:rsidR="00FD2E88" w:rsidRPr="00732A73">
              <w:rPr>
                <w:rFonts w:ascii="Calibri" w:hAnsi="Calibri" w:cs="Calibri"/>
                <w:b/>
              </w:rPr>
              <w:t xml:space="preserve"> </w:t>
            </w:r>
          </w:p>
          <w:p w14:paraId="6E0D1FF9" w14:textId="5AEDC0DF" w:rsidR="00FD2E88" w:rsidRPr="00732A73" w:rsidRDefault="00FD2E88" w:rsidP="00AF7869">
            <w:pPr>
              <w:spacing w:after="120"/>
              <w:rPr>
                <w:rFonts w:ascii="Calibri" w:hAnsi="Calibri" w:cs="Calibri"/>
              </w:rPr>
            </w:pPr>
            <w:r w:rsidRPr="00732A73">
              <w:rPr>
                <w:rFonts w:ascii="Calibri" w:hAnsi="Calibri" w:cs="Calibri"/>
              </w:rPr>
              <w:t>Dla zwiększenia czytelności przepisów proponuj</w:t>
            </w:r>
            <w:r w:rsidR="00732A73" w:rsidRPr="00732A73">
              <w:rPr>
                <w:rFonts w:ascii="Calibri" w:hAnsi="Calibri" w:cs="Calibri"/>
              </w:rPr>
              <w:t>e</w:t>
            </w:r>
            <w:r w:rsidR="00AE3059">
              <w:rPr>
                <w:rFonts w:ascii="Calibri" w:hAnsi="Calibri" w:cs="Calibri"/>
              </w:rPr>
              <w:t xml:space="preserve"> się</w:t>
            </w:r>
            <w:r w:rsidRPr="00732A73">
              <w:rPr>
                <w:rFonts w:ascii="Calibri" w:hAnsi="Calibri" w:cs="Calibri"/>
              </w:rPr>
              <w:t xml:space="preserve"> połączenie nowododawanych § 6a oraz § 7a w jednym przepisie:</w:t>
            </w:r>
          </w:p>
          <w:p w14:paraId="3F0E0177" w14:textId="77777777" w:rsidR="00FD2E88" w:rsidRPr="00732A73" w:rsidRDefault="00FD2E88" w:rsidP="00FD2E88">
            <w:pPr>
              <w:rPr>
                <w:rFonts w:ascii="Calibri" w:hAnsi="Calibri" w:cs="Calibri"/>
                <w:i/>
              </w:rPr>
            </w:pPr>
            <w:r w:rsidRPr="00732A73">
              <w:rPr>
                <w:rFonts w:ascii="Calibri" w:hAnsi="Calibri" w:cs="Calibri"/>
                <w:i/>
              </w:rPr>
              <w:lastRenderedPageBreak/>
              <w:t>„§ 7a. 1. W przypadku, o którym mowa w § 3 ust. 3a, oprogramowanie centralnego repozytorium automatycznie dodaje zestaw metadanych opisujących zasób informacyjny lub jednostkę informacji publicznej dostępnymi metadanymi, o których mowa w § 6 i § 7, z innego repozytorium powszechnie dostępnego w sieci teleinformatycznej.</w:t>
            </w:r>
          </w:p>
          <w:p w14:paraId="41C80DBB" w14:textId="6BAD6831" w:rsidR="005A0408" w:rsidRPr="00732A73" w:rsidRDefault="00FD2E88" w:rsidP="00B712FF">
            <w:pPr>
              <w:rPr>
                <w:rFonts w:ascii="Calibri" w:hAnsi="Calibri" w:cs="Calibri"/>
                <w:i/>
              </w:rPr>
            </w:pPr>
            <w:r w:rsidRPr="00732A73">
              <w:rPr>
                <w:rFonts w:ascii="Calibri" w:hAnsi="Calibri" w:cs="Calibri"/>
                <w:i/>
              </w:rPr>
              <w:t>2. Oprogramowanie centralnego repozytorium automatycznie dodaje do zestawu metadanych opisujących zasób informacyjny lub jednostkę informacji publicznej adres URL strony internetowej repozytorium, w ramach której udostępniono zasób informacyjny lub jednostkę informacji publicznej.”</w:t>
            </w:r>
          </w:p>
        </w:tc>
      </w:tr>
      <w:tr w:rsidR="00005A9C" w:rsidRPr="00732A73" w14:paraId="175CCCF3" w14:textId="77777777" w:rsidTr="007278E0">
        <w:tc>
          <w:tcPr>
            <w:tcW w:w="988" w:type="dxa"/>
            <w:tcBorders>
              <w:top w:val="single" w:sz="4" w:space="0" w:color="auto"/>
              <w:left w:val="single" w:sz="4" w:space="0" w:color="auto"/>
              <w:bottom w:val="single" w:sz="4" w:space="0" w:color="auto"/>
              <w:right w:val="single" w:sz="4" w:space="0" w:color="auto"/>
            </w:tcBorders>
          </w:tcPr>
          <w:p w14:paraId="009B2825" w14:textId="77777777" w:rsidR="00005A9C" w:rsidRPr="00732A73" w:rsidRDefault="00005A9C" w:rsidP="00E36CEC">
            <w:pPr>
              <w:pStyle w:val="Akapitzlist"/>
              <w:numPr>
                <w:ilvl w:val="0"/>
                <w:numId w:val="3"/>
              </w:numPr>
              <w:jc w:val="center"/>
              <w:rPr>
                <w:rFonts w:cs="Calibri"/>
                <w:b/>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B5FCAD0" w14:textId="528215B5" w:rsidR="00005A9C" w:rsidRPr="00732A73" w:rsidRDefault="00005A9C" w:rsidP="003A6B9C">
            <w:pPr>
              <w:rPr>
                <w:rFonts w:ascii="Calibri" w:eastAsiaTheme="minorHAnsi" w:hAnsi="Calibri" w:cs="Calibri"/>
              </w:rPr>
            </w:pPr>
            <w:r w:rsidRPr="00732A73">
              <w:rPr>
                <w:rFonts w:ascii="Calibri" w:eastAsiaTheme="minorHAnsi" w:hAnsi="Calibri" w:cs="Calibri"/>
              </w:rPr>
              <w:t>Rządowe Centrum Legislacji</w:t>
            </w:r>
            <w:r w:rsidR="00EC7639" w:rsidRPr="00732A73">
              <w:rPr>
                <w:rFonts w:ascii="Calibri" w:eastAsiaTheme="minorHAnsi" w:hAnsi="Calibri" w:cs="Calibri"/>
              </w:rPr>
              <w:t xml:space="preserve"> </w:t>
            </w:r>
            <w:r w:rsidRPr="00732A73">
              <w:rPr>
                <w:rFonts w:ascii="Calibri" w:eastAsiaTheme="minorHAnsi" w:hAnsi="Calibri" w:cs="Calibri"/>
              </w:rPr>
              <w:t>zauważa, że wątpliwości wzbudza nowa definicja interfejsu programistycznego, w zakresie</w:t>
            </w:r>
            <w:r w:rsidR="00EC2D33">
              <w:rPr>
                <w:rFonts w:ascii="Calibri" w:eastAsiaTheme="minorHAnsi" w:hAnsi="Calibri" w:cs="Calibri"/>
              </w:rPr>
              <w:t xml:space="preserve"> </w:t>
            </w:r>
            <w:r w:rsidRPr="00732A73">
              <w:rPr>
                <w:rFonts w:ascii="Calibri" w:eastAsiaTheme="minorHAnsi" w:hAnsi="Calibri" w:cs="Calibri"/>
              </w:rPr>
              <w:t>połączenia i wzajemnej wymiany zasobów informa</w:t>
            </w:r>
            <w:r w:rsidR="00EC7639" w:rsidRPr="00732A73">
              <w:rPr>
                <w:rFonts w:ascii="Calibri" w:eastAsiaTheme="minorHAnsi" w:hAnsi="Calibri" w:cs="Calibri"/>
              </w:rPr>
              <w:t xml:space="preserve">cyjnych lub metadanych pomiędzy </w:t>
            </w:r>
            <w:r w:rsidRPr="00732A73">
              <w:rPr>
                <w:rFonts w:ascii="Calibri" w:eastAsiaTheme="minorHAnsi" w:hAnsi="Calibri" w:cs="Calibri"/>
              </w:rPr>
              <w:t xml:space="preserve">centralnym repozytorium i innym zewnętrznym oprogramowaniem. W </w:t>
            </w:r>
            <w:r w:rsidR="003A6B9C">
              <w:rPr>
                <w:rFonts w:ascii="Calibri" w:eastAsiaTheme="minorHAnsi" w:hAnsi="Calibri" w:cs="Calibri"/>
              </w:rPr>
              <w:t>stanowisku MC</w:t>
            </w:r>
            <w:r w:rsidRPr="00732A73">
              <w:rPr>
                <w:rFonts w:ascii="Calibri" w:eastAsiaTheme="minorHAnsi" w:hAnsi="Calibri" w:cs="Calibri"/>
              </w:rPr>
              <w:t xml:space="preserve"> brak jest</w:t>
            </w:r>
            <w:r w:rsidR="00EC2D33">
              <w:rPr>
                <w:rFonts w:ascii="Calibri" w:eastAsiaTheme="minorHAnsi" w:hAnsi="Calibri" w:cs="Calibri"/>
              </w:rPr>
              <w:t xml:space="preserve"> </w:t>
            </w:r>
            <w:r w:rsidRPr="00732A73">
              <w:rPr>
                <w:rFonts w:ascii="Calibri" w:eastAsiaTheme="minorHAnsi" w:hAnsi="Calibri" w:cs="Calibri"/>
              </w:rPr>
              <w:t>wyjaśni</w:t>
            </w:r>
            <w:r w:rsidR="003A6B9C">
              <w:rPr>
                <w:rFonts w:ascii="Calibri" w:eastAsiaTheme="minorHAnsi" w:hAnsi="Calibri" w:cs="Calibri"/>
              </w:rPr>
              <w:t>enia</w:t>
            </w:r>
            <w:r w:rsidRPr="00732A73">
              <w:rPr>
                <w:rFonts w:ascii="Calibri" w:eastAsiaTheme="minorHAnsi" w:hAnsi="Calibri" w:cs="Calibri"/>
              </w:rPr>
              <w:t xml:space="preserve"> co należy rozumieć przez „inne zewn</w:t>
            </w:r>
            <w:r w:rsidR="00EC7639" w:rsidRPr="00732A73">
              <w:rPr>
                <w:rFonts w:ascii="Calibri" w:eastAsiaTheme="minorHAnsi" w:hAnsi="Calibri" w:cs="Calibri"/>
              </w:rPr>
              <w:t xml:space="preserve">ętrzne oprogramowanie”. Również </w:t>
            </w:r>
            <w:r w:rsidRPr="00732A73">
              <w:rPr>
                <w:rFonts w:ascii="Calibri" w:eastAsiaTheme="minorHAnsi" w:hAnsi="Calibri" w:cs="Calibri"/>
              </w:rPr>
              <w:t>w uzasadnieniu do projektu kwestia ta została pominięta. W</w:t>
            </w:r>
            <w:r w:rsidR="00EC7639" w:rsidRPr="00732A73">
              <w:rPr>
                <w:rFonts w:ascii="Calibri" w:eastAsiaTheme="minorHAnsi" w:hAnsi="Calibri" w:cs="Calibri"/>
              </w:rPr>
              <w:t xml:space="preserve">skazać należy, że ustawa z dnia </w:t>
            </w:r>
            <w:r w:rsidRPr="00732A73">
              <w:rPr>
                <w:rFonts w:ascii="Calibri" w:eastAsiaTheme="minorHAnsi" w:hAnsi="Calibri" w:cs="Calibri"/>
              </w:rPr>
              <w:t>6 września 2001 r. o dostępie do informacji publiczn</w:t>
            </w:r>
            <w:r w:rsidR="00EC7639" w:rsidRPr="00732A73">
              <w:rPr>
                <w:rFonts w:ascii="Calibri" w:eastAsiaTheme="minorHAnsi" w:hAnsi="Calibri" w:cs="Calibri"/>
              </w:rPr>
              <w:t xml:space="preserve">ej (Dz. U. z 2019 r. poz. 1429) </w:t>
            </w:r>
            <w:r w:rsidRPr="00732A73">
              <w:rPr>
                <w:rFonts w:ascii="Calibri" w:eastAsiaTheme="minorHAnsi" w:hAnsi="Calibri" w:cs="Calibri"/>
              </w:rPr>
              <w:t>przewiduje możliwość przekazywania metadanych pom</w:t>
            </w:r>
            <w:r w:rsidR="00EC7639" w:rsidRPr="00732A73">
              <w:rPr>
                <w:rFonts w:ascii="Calibri" w:eastAsiaTheme="minorHAnsi" w:hAnsi="Calibri" w:cs="Calibri"/>
              </w:rPr>
              <w:t xml:space="preserve">iędzy centralnym repozytorium a </w:t>
            </w:r>
            <w:r w:rsidRPr="00732A73">
              <w:rPr>
                <w:rFonts w:ascii="Calibri" w:eastAsiaTheme="minorHAnsi" w:hAnsi="Calibri" w:cs="Calibri"/>
              </w:rPr>
              <w:t xml:space="preserve">innym </w:t>
            </w:r>
            <w:r w:rsidR="00EC2D33">
              <w:rPr>
                <w:rFonts w:ascii="Calibri" w:eastAsiaTheme="minorHAnsi" w:hAnsi="Calibri" w:cs="Calibri"/>
              </w:rPr>
              <w:t>r</w:t>
            </w:r>
            <w:r w:rsidRPr="00732A73">
              <w:rPr>
                <w:rFonts w:ascii="Calibri" w:eastAsiaTheme="minorHAnsi" w:hAnsi="Calibri" w:cs="Calibri"/>
              </w:rPr>
              <w:t>epozytorium powszechnie dostępnym w sieci teleinformatycznej (art. 9a ust. 2a pkt</w:t>
            </w:r>
            <w:r w:rsidR="00EC2D33">
              <w:rPr>
                <w:rFonts w:ascii="Calibri" w:eastAsiaTheme="minorHAnsi" w:hAnsi="Calibri" w:cs="Calibri"/>
              </w:rPr>
              <w:t xml:space="preserve"> </w:t>
            </w:r>
            <w:r w:rsidRPr="00732A73">
              <w:rPr>
                <w:rFonts w:ascii="Calibri" w:eastAsiaTheme="minorHAnsi" w:hAnsi="Calibri" w:cs="Calibri"/>
              </w:rPr>
              <w:t>2). Mając na uwadze powyższe, konieczne jest udziele</w:t>
            </w:r>
            <w:r w:rsidR="00EC7639" w:rsidRPr="00732A73">
              <w:rPr>
                <w:rFonts w:ascii="Calibri" w:eastAsiaTheme="minorHAnsi" w:hAnsi="Calibri" w:cs="Calibri"/>
              </w:rPr>
              <w:t xml:space="preserve">nie </w:t>
            </w:r>
            <w:r w:rsidR="003A6B9C">
              <w:rPr>
                <w:rFonts w:ascii="Calibri" w:eastAsiaTheme="minorHAnsi" w:hAnsi="Calibri" w:cs="Calibri"/>
              </w:rPr>
              <w:lastRenderedPageBreak/>
              <w:t>d</w:t>
            </w:r>
            <w:r w:rsidR="00EC7639" w:rsidRPr="00732A73">
              <w:rPr>
                <w:rFonts w:ascii="Calibri" w:eastAsiaTheme="minorHAnsi" w:hAnsi="Calibri" w:cs="Calibri"/>
              </w:rPr>
              <w:t xml:space="preserve">odatkowych wyjaśnień przez </w:t>
            </w:r>
            <w:r w:rsidRPr="00732A73">
              <w:rPr>
                <w:rFonts w:ascii="Calibri" w:eastAsiaTheme="minorHAnsi" w:hAnsi="Calibri" w:cs="Calibri"/>
              </w:rPr>
              <w:t>Wnioskodawcę i uzupełnienie uzasadnienia w tym zakresie.</w:t>
            </w:r>
          </w:p>
        </w:tc>
        <w:tc>
          <w:tcPr>
            <w:tcW w:w="1985" w:type="dxa"/>
            <w:tcBorders>
              <w:top w:val="single" w:sz="4" w:space="0" w:color="auto"/>
              <w:left w:val="single" w:sz="4" w:space="0" w:color="auto"/>
              <w:bottom w:val="single" w:sz="4" w:space="0" w:color="auto"/>
              <w:right w:val="single" w:sz="4" w:space="0" w:color="auto"/>
            </w:tcBorders>
          </w:tcPr>
          <w:p w14:paraId="04F47053" w14:textId="07DD548C" w:rsidR="00005A9C" w:rsidRPr="00732A73" w:rsidRDefault="00005A9C" w:rsidP="00EC2D33">
            <w:pPr>
              <w:jc w:val="center"/>
              <w:rPr>
                <w:rFonts w:ascii="Calibri" w:hAnsi="Calibri" w:cs="Calibri"/>
                <w:b/>
              </w:rPr>
            </w:pPr>
            <w:r w:rsidRPr="00732A73">
              <w:rPr>
                <w:rFonts w:ascii="Calibri" w:hAnsi="Calibri" w:cs="Calibri"/>
                <w:b/>
              </w:rPr>
              <w:lastRenderedPageBreak/>
              <w:t>Rządowe Centrum Legislacji</w:t>
            </w:r>
          </w:p>
        </w:tc>
        <w:tc>
          <w:tcPr>
            <w:tcW w:w="5245" w:type="dxa"/>
            <w:tcBorders>
              <w:top w:val="single" w:sz="4" w:space="0" w:color="auto"/>
              <w:left w:val="single" w:sz="4" w:space="0" w:color="auto"/>
              <w:bottom w:val="single" w:sz="4" w:space="0" w:color="auto"/>
              <w:right w:val="single" w:sz="4" w:space="0" w:color="auto"/>
            </w:tcBorders>
          </w:tcPr>
          <w:p w14:paraId="673D68E7" w14:textId="38C20B18" w:rsidR="00EC7639" w:rsidRPr="00732A73" w:rsidRDefault="00EC7639" w:rsidP="00EC7639">
            <w:pPr>
              <w:spacing w:after="120"/>
              <w:rPr>
                <w:rFonts w:ascii="Calibri" w:hAnsi="Calibri" w:cs="Calibri"/>
                <w:b/>
              </w:rPr>
            </w:pPr>
            <w:r w:rsidRPr="00732A73">
              <w:rPr>
                <w:rFonts w:ascii="Calibri" w:hAnsi="Calibri" w:cs="Calibri"/>
                <w:b/>
              </w:rPr>
              <w:t xml:space="preserve">Uwaga </w:t>
            </w:r>
            <w:r w:rsidR="003A6B9C">
              <w:rPr>
                <w:rFonts w:ascii="Calibri" w:hAnsi="Calibri" w:cs="Calibri"/>
                <w:b/>
              </w:rPr>
              <w:t>nieprzyjęta</w:t>
            </w:r>
            <w:r w:rsidRPr="00732A73">
              <w:rPr>
                <w:rFonts w:ascii="Calibri" w:hAnsi="Calibri" w:cs="Calibri"/>
                <w:b/>
              </w:rPr>
              <w:t>.</w:t>
            </w:r>
          </w:p>
          <w:p w14:paraId="2A4F4940" w14:textId="41BF0D6E" w:rsidR="00005A9C" w:rsidRPr="00732A73" w:rsidRDefault="00005A9C" w:rsidP="007278E0">
            <w:pPr>
              <w:rPr>
                <w:rFonts w:ascii="Calibri" w:eastAsiaTheme="minorHAnsi" w:hAnsi="Calibri" w:cs="Calibri"/>
              </w:rPr>
            </w:pPr>
            <w:r w:rsidRPr="00732A73">
              <w:rPr>
                <w:rFonts w:ascii="Calibri" w:eastAsiaTheme="minorHAnsi" w:hAnsi="Calibri" w:cs="Calibri"/>
              </w:rPr>
              <w:t>W odniesieniu do pojęcia „innego zewnętrznego oprogramowania”, wprowadzonego w</w:t>
            </w:r>
            <w:r w:rsidR="00EC2D33">
              <w:rPr>
                <w:rFonts w:ascii="Calibri" w:eastAsiaTheme="minorHAnsi" w:hAnsi="Calibri" w:cs="Calibri"/>
              </w:rPr>
              <w:t xml:space="preserve"> </w:t>
            </w:r>
            <w:r w:rsidRPr="00732A73">
              <w:rPr>
                <w:rFonts w:ascii="Calibri" w:eastAsiaTheme="minorHAnsi" w:hAnsi="Calibri" w:cs="Calibri"/>
              </w:rPr>
              <w:t xml:space="preserve">definicji interfejsu programistycznego, zamieszczonej </w:t>
            </w:r>
            <w:r w:rsidR="00EC7639" w:rsidRPr="00732A73">
              <w:rPr>
                <w:rFonts w:ascii="Calibri" w:eastAsiaTheme="minorHAnsi" w:hAnsi="Calibri" w:cs="Calibri"/>
              </w:rPr>
              <w:t>w § 1 pkt 1 projektu,</w:t>
            </w:r>
            <w:r w:rsidR="00EC2D33">
              <w:rPr>
                <w:rFonts w:ascii="Calibri" w:eastAsiaTheme="minorHAnsi" w:hAnsi="Calibri" w:cs="Calibri"/>
              </w:rPr>
              <w:t xml:space="preserve"> MC</w:t>
            </w:r>
            <w:r w:rsidR="00EC7639" w:rsidRPr="00732A73">
              <w:rPr>
                <w:rFonts w:ascii="Calibri" w:eastAsiaTheme="minorHAnsi" w:hAnsi="Calibri" w:cs="Calibri"/>
              </w:rPr>
              <w:t xml:space="preserve"> uprzejmie </w:t>
            </w:r>
            <w:r w:rsidRPr="00732A73">
              <w:rPr>
                <w:rFonts w:ascii="Calibri" w:eastAsiaTheme="minorHAnsi" w:hAnsi="Calibri" w:cs="Calibri"/>
              </w:rPr>
              <w:t>wyjaśnia, że użytkownicy mogą uzyskać dostęp do z</w:t>
            </w:r>
            <w:r w:rsidR="00EC7639" w:rsidRPr="00732A73">
              <w:rPr>
                <w:rFonts w:ascii="Calibri" w:eastAsiaTheme="minorHAnsi" w:hAnsi="Calibri" w:cs="Calibri"/>
              </w:rPr>
              <w:t xml:space="preserve">asobów Centralnego Repozytorium </w:t>
            </w:r>
            <w:r w:rsidRPr="00732A73">
              <w:rPr>
                <w:rFonts w:ascii="Calibri" w:eastAsiaTheme="minorHAnsi" w:hAnsi="Calibri" w:cs="Calibri"/>
              </w:rPr>
              <w:t>Informacji Publicznej (dalej: CRIP) poprzez portal dane.gov.pl lub poprzez interfejs</w:t>
            </w:r>
            <w:r w:rsidR="00EC2D33">
              <w:rPr>
                <w:rFonts w:ascii="Calibri" w:eastAsiaTheme="minorHAnsi" w:hAnsi="Calibri" w:cs="Calibri"/>
              </w:rPr>
              <w:t xml:space="preserve"> </w:t>
            </w:r>
            <w:r w:rsidRPr="00732A73">
              <w:rPr>
                <w:rFonts w:ascii="Calibri" w:eastAsiaTheme="minorHAnsi" w:hAnsi="Calibri" w:cs="Calibri"/>
              </w:rPr>
              <w:t>programistyczny. Zgodnie z § 3 ust. 2 pkt 5 rozporządzenia zmienianego portal CRIP</w:t>
            </w:r>
          </w:p>
          <w:p w14:paraId="1F96D084" w14:textId="06800502" w:rsidR="00005A9C" w:rsidRPr="00732A73" w:rsidRDefault="00005A9C" w:rsidP="007278E0">
            <w:pPr>
              <w:rPr>
                <w:rFonts w:ascii="Calibri" w:eastAsiaTheme="minorHAnsi" w:hAnsi="Calibri" w:cs="Calibri"/>
              </w:rPr>
            </w:pPr>
            <w:r w:rsidRPr="00732A73">
              <w:rPr>
                <w:rFonts w:ascii="Calibri" w:eastAsiaTheme="minorHAnsi" w:hAnsi="Calibri" w:cs="Calibri"/>
              </w:rPr>
              <w:t>zapewnia dodawanie, aktualizowanie i usuwanie zasobu</w:t>
            </w:r>
            <w:r w:rsidR="00EC7639" w:rsidRPr="00732A73">
              <w:rPr>
                <w:rFonts w:ascii="Calibri" w:eastAsiaTheme="minorHAnsi" w:hAnsi="Calibri" w:cs="Calibri"/>
              </w:rPr>
              <w:t xml:space="preserve"> informacyjnego oraz metadanych </w:t>
            </w:r>
            <w:r w:rsidRPr="00732A73">
              <w:rPr>
                <w:rFonts w:ascii="Calibri" w:eastAsiaTheme="minorHAnsi" w:hAnsi="Calibri" w:cs="Calibri"/>
              </w:rPr>
              <w:t>przez dostawcę. Na podstawie § 3 ust. 3 pkt 4 r</w:t>
            </w:r>
            <w:r w:rsidR="00EC7639" w:rsidRPr="00732A73">
              <w:rPr>
                <w:rFonts w:ascii="Calibri" w:eastAsiaTheme="minorHAnsi" w:hAnsi="Calibri" w:cs="Calibri"/>
              </w:rPr>
              <w:t xml:space="preserve">ozporządzenia zmienianego wyżej </w:t>
            </w:r>
            <w:r w:rsidRPr="00732A73">
              <w:rPr>
                <w:rFonts w:ascii="Calibri" w:eastAsiaTheme="minorHAnsi" w:hAnsi="Calibri" w:cs="Calibri"/>
              </w:rPr>
              <w:t>wymienione czynności mogą być również wykonywane za pomocą int</w:t>
            </w:r>
            <w:r w:rsidR="00EC7639" w:rsidRPr="00732A73">
              <w:rPr>
                <w:rFonts w:ascii="Calibri" w:eastAsiaTheme="minorHAnsi" w:hAnsi="Calibri" w:cs="Calibri"/>
              </w:rPr>
              <w:t xml:space="preserve">erfejsu </w:t>
            </w:r>
            <w:r w:rsidRPr="00732A73">
              <w:rPr>
                <w:rFonts w:ascii="Calibri" w:eastAsiaTheme="minorHAnsi" w:hAnsi="Calibri" w:cs="Calibri"/>
              </w:rPr>
              <w:t xml:space="preserve">programistycznego. W celu </w:t>
            </w:r>
            <w:r w:rsidRPr="00732A73">
              <w:rPr>
                <w:rFonts w:ascii="Calibri" w:eastAsiaTheme="minorHAnsi" w:hAnsi="Calibri" w:cs="Calibri"/>
              </w:rPr>
              <w:lastRenderedPageBreak/>
              <w:t>wykonania tychże czynności d</w:t>
            </w:r>
            <w:r w:rsidR="00EC7639" w:rsidRPr="00732A73">
              <w:rPr>
                <w:rFonts w:ascii="Calibri" w:eastAsiaTheme="minorHAnsi" w:hAnsi="Calibri" w:cs="Calibri"/>
              </w:rPr>
              <w:t xml:space="preserve">ostawca może łączyć się poprzez </w:t>
            </w:r>
            <w:r w:rsidRPr="00732A73">
              <w:rPr>
                <w:rFonts w:ascii="Calibri" w:eastAsiaTheme="minorHAnsi" w:hAnsi="Calibri" w:cs="Calibri"/>
              </w:rPr>
              <w:t>swoje oprogramowanie (czyli inne zewnętrzne oprogramowanie, o którym mowa na</w:t>
            </w:r>
          </w:p>
          <w:p w14:paraId="741363F3" w14:textId="2BE0E4E8" w:rsidR="00005A9C" w:rsidRPr="00732A73" w:rsidRDefault="00005A9C" w:rsidP="007278E0">
            <w:pPr>
              <w:rPr>
                <w:rFonts w:ascii="Calibri" w:eastAsiaTheme="minorHAnsi" w:hAnsi="Calibri" w:cs="Calibri"/>
              </w:rPr>
            </w:pPr>
            <w:r w:rsidRPr="00732A73">
              <w:rPr>
                <w:rFonts w:ascii="Calibri" w:eastAsiaTheme="minorHAnsi" w:hAnsi="Calibri" w:cs="Calibri"/>
              </w:rPr>
              <w:t xml:space="preserve">wstępie niniejszego akapitu) z interfejsem </w:t>
            </w:r>
            <w:r w:rsidR="00EC7639" w:rsidRPr="00732A73">
              <w:rPr>
                <w:rFonts w:ascii="Calibri" w:eastAsiaTheme="minorHAnsi" w:hAnsi="Calibri" w:cs="Calibri"/>
              </w:rPr>
              <w:t xml:space="preserve">programistycznym CRIP. Ponadto, </w:t>
            </w:r>
            <w:r w:rsidRPr="00732A73">
              <w:rPr>
                <w:rFonts w:ascii="Calibri" w:eastAsiaTheme="minorHAnsi" w:hAnsi="Calibri" w:cs="Calibri"/>
              </w:rPr>
              <w:t>wykorzystując interfejs programistyczny CRIP, inni</w:t>
            </w:r>
            <w:r w:rsidR="00EC7639" w:rsidRPr="00732A73">
              <w:rPr>
                <w:rFonts w:ascii="Calibri" w:eastAsiaTheme="minorHAnsi" w:hAnsi="Calibri" w:cs="Calibri"/>
              </w:rPr>
              <w:t xml:space="preserve"> użytkownicy portalu (nie tylko </w:t>
            </w:r>
            <w:r w:rsidRPr="00732A73">
              <w:rPr>
                <w:rFonts w:ascii="Calibri" w:eastAsiaTheme="minorHAnsi" w:hAnsi="Calibri" w:cs="Calibri"/>
              </w:rPr>
              <w:t>dostawcy) mogą za pomocą należącego do nich zewnętrznego oprogramowania</w:t>
            </w:r>
          </w:p>
          <w:p w14:paraId="1FADE96B" w14:textId="59710283" w:rsidR="00005A9C" w:rsidRPr="00732A73" w:rsidRDefault="00005A9C" w:rsidP="007278E0">
            <w:pPr>
              <w:rPr>
                <w:rFonts w:ascii="Calibri" w:eastAsiaTheme="minorHAnsi" w:hAnsi="Calibri" w:cs="Calibri"/>
              </w:rPr>
            </w:pPr>
            <w:r w:rsidRPr="00732A73">
              <w:rPr>
                <w:rFonts w:ascii="Calibri" w:eastAsiaTheme="minorHAnsi" w:hAnsi="Calibri" w:cs="Calibri"/>
              </w:rPr>
              <w:t>przeglądać zasoby informacyjne. Wobec powyższe</w:t>
            </w:r>
            <w:r w:rsidR="00EC7639" w:rsidRPr="00732A73">
              <w:rPr>
                <w:rFonts w:ascii="Calibri" w:eastAsiaTheme="minorHAnsi" w:hAnsi="Calibri" w:cs="Calibri"/>
              </w:rPr>
              <w:t xml:space="preserve">go wprowadzenie pojęcia „innego </w:t>
            </w:r>
            <w:r w:rsidRPr="00732A73">
              <w:rPr>
                <w:rFonts w:ascii="Calibri" w:eastAsiaTheme="minorHAnsi" w:hAnsi="Calibri" w:cs="Calibri"/>
              </w:rPr>
              <w:t>zewnętrznego oprogramowania” w definicji in</w:t>
            </w:r>
            <w:r w:rsidR="00EC7639" w:rsidRPr="00732A73">
              <w:rPr>
                <w:rFonts w:ascii="Calibri" w:eastAsiaTheme="minorHAnsi" w:hAnsi="Calibri" w:cs="Calibri"/>
              </w:rPr>
              <w:t xml:space="preserve">terfejsu programistycznego jest </w:t>
            </w:r>
            <w:r w:rsidRPr="00732A73">
              <w:rPr>
                <w:rFonts w:ascii="Calibri" w:eastAsiaTheme="minorHAnsi" w:hAnsi="Calibri" w:cs="Calibri"/>
              </w:rPr>
              <w:t>uzasadnione dla właściwego opisania sposobu, w jaki na</w:t>
            </w:r>
            <w:r w:rsidR="00EC7639" w:rsidRPr="00732A73">
              <w:rPr>
                <w:rFonts w:ascii="Calibri" w:eastAsiaTheme="minorHAnsi" w:hAnsi="Calibri" w:cs="Calibri"/>
              </w:rPr>
              <w:t xml:space="preserve">stępuje dostęp do zasobów CRIP. </w:t>
            </w:r>
            <w:r w:rsidR="00EC2D33">
              <w:rPr>
                <w:rFonts w:ascii="Calibri" w:eastAsiaTheme="minorHAnsi" w:hAnsi="Calibri" w:cs="Calibri"/>
              </w:rPr>
              <w:t>MC u</w:t>
            </w:r>
            <w:r w:rsidRPr="00732A73">
              <w:rPr>
                <w:rFonts w:ascii="Calibri" w:eastAsiaTheme="minorHAnsi" w:hAnsi="Calibri" w:cs="Calibri"/>
              </w:rPr>
              <w:t>przejmie informuj</w:t>
            </w:r>
            <w:r w:rsidR="00EC2D33">
              <w:rPr>
                <w:rFonts w:ascii="Calibri" w:eastAsiaTheme="minorHAnsi" w:hAnsi="Calibri" w:cs="Calibri"/>
              </w:rPr>
              <w:t>e</w:t>
            </w:r>
            <w:r w:rsidRPr="00732A73">
              <w:rPr>
                <w:rFonts w:ascii="Calibri" w:eastAsiaTheme="minorHAnsi" w:hAnsi="Calibri" w:cs="Calibri"/>
              </w:rPr>
              <w:t>, że uzasadnienie zostało uzupełnione w wyżej wskazanym zakresie.</w:t>
            </w:r>
          </w:p>
          <w:p w14:paraId="6DE06AC9" w14:textId="77777777" w:rsidR="00005A9C" w:rsidRPr="00732A73" w:rsidRDefault="00005A9C" w:rsidP="007278E0">
            <w:pPr>
              <w:rPr>
                <w:rFonts w:ascii="Calibri" w:eastAsiaTheme="minorHAnsi" w:hAnsi="Calibri" w:cs="Calibri"/>
              </w:rPr>
            </w:pPr>
          </w:p>
          <w:p w14:paraId="3085C82A" w14:textId="10276FDF" w:rsidR="00005A9C" w:rsidRPr="00732A73" w:rsidRDefault="00EC2D33" w:rsidP="00342D81">
            <w:pPr>
              <w:rPr>
                <w:rFonts w:ascii="Calibri" w:eastAsiaTheme="minorHAnsi" w:hAnsi="Calibri" w:cs="Calibri"/>
              </w:rPr>
            </w:pPr>
            <w:r>
              <w:rPr>
                <w:rFonts w:ascii="Calibri" w:eastAsiaTheme="minorHAnsi" w:hAnsi="Calibri" w:cs="Calibri"/>
              </w:rPr>
              <w:t>MC</w:t>
            </w:r>
            <w:r w:rsidR="00005A9C" w:rsidRPr="00732A73">
              <w:rPr>
                <w:rFonts w:ascii="Calibri" w:eastAsiaTheme="minorHAnsi" w:hAnsi="Calibri" w:cs="Calibri"/>
              </w:rPr>
              <w:t xml:space="preserve"> </w:t>
            </w:r>
            <w:r w:rsidRPr="00732A73">
              <w:rPr>
                <w:rFonts w:ascii="Calibri" w:eastAsiaTheme="minorHAnsi" w:hAnsi="Calibri" w:cs="Calibri"/>
              </w:rPr>
              <w:t>wyjaśni</w:t>
            </w:r>
            <w:r>
              <w:rPr>
                <w:rFonts w:ascii="Calibri" w:eastAsiaTheme="minorHAnsi" w:hAnsi="Calibri" w:cs="Calibri"/>
              </w:rPr>
              <w:t>a</w:t>
            </w:r>
            <w:r w:rsidRPr="00732A73">
              <w:rPr>
                <w:rFonts w:ascii="Calibri" w:eastAsiaTheme="minorHAnsi" w:hAnsi="Calibri" w:cs="Calibri"/>
              </w:rPr>
              <w:t xml:space="preserve"> </w:t>
            </w:r>
            <w:r w:rsidR="00005A9C" w:rsidRPr="00732A73">
              <w:rPr>
                <w:rFonts w:ascii="Calibri" w:eastAsiaTheme="minorHAnsi" w:hAnsi="Calibri" w:cs="Calibri"/>
              </w:rPr>
              <w:t>również, że możliwość przekazyw</w:t>
            </w:r>
            <w:r w:rsidR="00EC7639" w:rsidRPr="00732A73">
              <w:rPr>
                <w:rFonts w:ascii="Calibri" w:eastAsiaTheme="minorHAnsi" w:hAnsi="Calibri" w:cs="Calibri"/>
              </w:rPr>
              <w:t xml:space="preserve">ania metadanych pomiędzy CRIP a </w:t>
            </w:r>
            <w:r w:rsidR="00005A9C" w:rsidRPr="00732A73">
              <w:rPr>
                <w:rFonts w:ascii="Calibri" w:eastAsiaTheme="minorHAnsi" w:hAnsi="Calibri" w:cs="Calibri"/>
              </w:rPr>
              <w:t>innym repozytorium powszechnie dostępnym w sieci</w:t>
            </w:r>
            <w:r w:rsidR="00EC7639" w:rsidRPr="00732A73">
              <w:rPr>
                <w:rFonts w:ascii="Calibri" w:eastAsiaTheme="minorHAnsi" w:hAnsi="Calibri" w:cs="Calibri"/>
              </w:rPr>
              <w:t xml:space="preserve"> </w:t>
            </w:r>
            <w:r w:rsidR="00342D81">
              <w:rPr>
                <w:rFonts w:ascii="Calibri" w:eastAsiaTheme="minorHAnsi" w:hAnsi="Calibri" w:cs="Calibri"/>
              </w:rPr>
              <w:t>t</w:t>
            </w:r>
            <w:r w:rsidR="00EC7639" w:rsidRPr="00732A73">
              <w:rPr>
                <w:rFonts w:ascii="Calibri" w:eastAsiaTheme="minorHAnsi" w:hAnsi="Calibri" w:cs="Calibri"/>
              </w:rPr>
              <w:t xml:space="preserve">eleinformatycznej, unormowana </w:t>
            </w:r>
            <w:r w:rsidR="00005A9C" w:rsidRPr="00732A73">
              <w:rPr>
                <w:rFonts w:ascii="Calibri" w:eastAsiaTheme="minorHAnsi" w:hAnsi="Calibri" w:cs="Calibri"/>
              </w:rPr>
              <w:t xml:space="preserve">w art. 9a ust. 2a pkt 2 ustawy o dostępie do informacji publicznej to inny </w:t>
            </w:r>
            <w:bookmarkStart w:id="0" w:name="_GoBack"/>
            <w:bookmarkEnd w:id="0"/>
            <w:r>
              <w:rPr>
                <w:rFonts w:ascii="Calibri" w:eastAsiaTheme="minorHAnsi" w:hAnsi="Calibri" w:cs="Calibri"/>
              </w:rPr>
              <w:t>m</w:t>
            </w:r>
            <w:r w:rsidR="00005A9C" w:rsidRPr="00732A73">
              <w:rPr>
                <w:rFonts w:ascii="Calibri" w:eastAsiaTheme="minorHAnsi" w:hAnsi="Calibri" w:cs="Calibri"/>
              </w:rPr>
              <w:t>echanizm, niż</w:t>
            </w:r>
            <w:r>
              <w:rPr>
                <w:rFonts w:ascii="Calibri" w:eastAsiaTheme="minorHAnsi" w:hAnsi="Calibri" w:cs="Calibri"/>
              </w:rPr>
              <w:t xml:space="preserve"> </w:t>
            </w:r>
            <w:r w:rsidR="00005A9C" w:rsidRPr="00732A73">
              <w:rPr>
                <w:rFonts w:ascii="Calibri" w:eastAsiaTheme="minorHAnsi" w:hAnsi="Calibri" w:cs="Calibri"/>
              </w:rPr>
              <w:t>opisany powyżej. W komentowanym przepisie ustawy cho</w:t>
            </w:r>
            <w:r w:rsidR="00EC7639" w:rsidRPr="00732A73">
              <w:rPr>
                <w:rFonts w:ascii="Calibri" w:eastAsiaTheme="minorHAnsi" w:hAnsi="Calibri" w:cs="Calibri"/>
              </w:rPr>
              <w:t xml:space="preserve">dzi o realizację obowiązku </w:t>
            </w:r>
            <w:r w:rsidR="00005A9C" w:rsidRPr="00732A73">
              <w:rPr>
                <w:rFonts w:ascii="Calibri" w:eastAsiaTheme="minorHAnsi" w:hAnsi="Calibri" w:cs="Calibri"/>
              </w:rPr>
              <w:t>przekazywania informacji publicznych przez podmioty wyliczone w art. 9a ust. 2 tejże ustawy, nie zaś o korzystanie z zasobów CRIP przez uż</w:t>
            </w:r>
            <w:r w:rsidR="00EC7639" w:rsidRPr="00732A73">
              <w:rPr>
                <w:rFonts w:ascii="Calibri" w:eastAsiaTheme="minorHAnsi" w:hAnsi="Calibri" w:cs="Calibri"/>
              </w:rPr>
              <w:t xml:space="preserve">ytkowników wskazanych w § 2 pkt 10 rozporządzenia zmienianego. </w:t>
            </w:r>
          </w:p>
        </w:tc>
      </w:tr>
      <w:tr w:rsidR="00EC2D33" w:rsidRPr="00732A73" w14:paraId="34E38667" w14:textId="77777777" w:rsidTr="007278E0">
        <w:tc>
          <w:tcPr>
            <w:tcW w:w="988" w:type="dxa"/>
            <w:tcBorders>
              <w:top w:val="single" w:sz="4" w:space="0" w:color="auto"/>
              <w:left w:val="single" w:sz="4" w:space="0" w:color="auto"/>
              <w:bottom w:val="single" w:sz="4" w:space="0" w:color="auto"/>
              <w:right w:val="single" w:sz="4" w:space="0" w:color="auto"/>
            </w:tcBorders>
          </w:tcPr>
          <w:p w14:paraId="6E30C1F0" w14:textId="77777777" w:rsidR="00EC2D33" w:rsidRPr="00732A73" w:rsidRDefault="00EC2D33" w:rsidP="00EC2D33">
            <w:pPr>
              <w:pStyle w:val="Akapitzlist"/>
              <w:numPr>
                <w:ilvl w:val="0"/>
                <w:numId w:val="3"/>
              </w:numPr>
              <w:jc w:val="center"/>
              <w:rPr>
                <w:rFonts w:cs="Calibri"/>
                <w:b/>
                <w:sz w:val="24"/>
                <w:szCs w:val="24"/>
              </w:rPr>
            </w:pPr>
          </w:p>
        </w:tc>
        <w:tc>
          <w:tcPr>
            <w:tcW w:w="5811" w:type="dxa"/>
            <w:tcBorders>
              <w:top w:val="single" w:sz="4" w:space="0" w:color="auto"/>
              <w:left w:val="single" w:sz="4" w:space="0" w:color="auto"/>
              <w:bottom w:val="single" w:sz="4" w:space="0" w:color="auto"/>
              <w:right w:val="single" w:sz="4" w:space="0" w:color="auto"/>
            </w:tcBorders>
          </w:tcPr>
          <w:p w14:paraId="5F8D1044" w14:textId="62CD14BB" w:rsidR="00EC2D33" w:rsidRPr="00732A73" w:rsidRDefault="00EC2D33" w:rsidP="00EC2D33">
            <w:pPr>
              <w:rPr>
                <w:rFonts w:ascii="Calibri" w:eastAsiaTheme="minorHAnsi" w:hAnsi="Calibri" w:cs="Calibri"/>
              </w:rPr>
            </w:pPr>
            <w:r w:rsidRPr="00732A73">
              <w:rPr>
                <w:rFonts w:ascii="Calibri" w:eastAsiaTheme="minorHAnsi" w:hAnsi="Calibri" w:cs="Calibri"/>
                <w:lang w:eastAsia="en-US"/>
              </w:rPr>
              <w:t xml:space="preserve">Uwagi redakcyjne i legislacyjne (w formie zmian naniesionych na treści </w:t>
            </w:r>
            <w:r w:rsidRPr="00732A73">
              <w:rPr>
                <w:rFonts w:ascii="Calibri" w:eastAsiaTheme="minorHAnsi" w:hAnsi="Calibri" w:cs="Calibri"/>
              </w:rPr>
              <w:t>projektu)</w:t>
            </w:r>
            <w:r>
              <w:rPr>
                <w:rFonts w:ascii="Calibri" w:eastAsiaTheme="minorHAnsi" w:hAnsi="Calibri" w:cs="Calibri"/>
              </w:rPr>
              <w:t>.</w:t>
            </w:r>
          </w:p>
        </w:tc>
        <w:tc>
          <w:tcPr>
            <w:tcW w:w="1985" w:type="dxa"/>
            <w:tcBorders>
              <w:top w:val="single" w:sz="4" w:space="0" w:color="auto"/>
              <w:left w:val="single" w:sz="4" w:space="0" w:color="auto"/>
              <w:bottom w:val="single" w:sz="4" w:space="0" w:color="auto"/>
              <w:right w:val="single" w:sz="4" w:space="0" w:color="auto"/>
            </w:tcBorders>
          </w:tcPr>
          <w:p w14:paraId="41B5F91D" w14:textId="69080AFA" w:rsidR="00EC2D33" w:rsidRPr="00732A73" w:rsidRDefault="00EC2D33" w:rsidP="00EC2D33">
            <w:pPr>
              <w:jc w:val="center"/>
              <w:rPr>
                <w:rFonts w:ascii="Calibri" w:hAnsi="Calibri" w:cs="Calibri"/>
                <w:b/>
              </w:rPr>
            </w:pPr>
            <w:r w:rsidRPr="00732A73">
              <w:rPr>
                <w:rFonts w:ascii="Calibri" w:hAnsi="Calibri" w:cs="Calibri"/>
                <w:b/>
              </w:rPr>
              <w:t>Rządowe Centrum Legislacji</w:t>
            </w:r>
          </w:p>
        </w:tc>
        <w:tc>
          <w:tcPr>
            <w:tcW w:w="5245" w:type="dxa"/>
            <w:tcBorders>
              <w:top w:val="single" w:sz="4" w:space="0" w:color="auto"/>
              <w:left w:val="single" w:sz="4" w:space="0" w:color="auto"/>
              <w:bottom w:val="single" w:sz="4" w:space="0" w:color="auto"/>
              <w:right w:val="single" w:sz="4" w:space="0" w:color="auto"/>
            </w:tcBorders>
          </w:tcPr>
          <w:p w14:paraId="7499FF8B" w14:textId="47DB3EA1" w:rsidR="00EC2D33" w:rsidRPr="00732A73" w:rsidRDefault="00EC2D33" w:rsidP="00EC2D33">
            <w:pPr>
              <w:rPr>
                <w:rFonts w:ascii="Calibri" w:hAnsi="Calibri" w:cs="Calibri"/>
                <w:b/>
                <w:color w:val="00B050"/>
              </w:rPr>
            </w:pPr>
            <w:r w:rsidRPr="00732A73">
              <w:rPr>
                <w:rFonts w:ascii="Calibri" w:hAnsi="Calibri" w:cs="Calibri"/>
                <w:b/>
              </w:rPr>
              <w:t>Uwag</w:t>
            </w:r>
            <w:r>
              <w:rPr>
                <w:rFonts w:ascii="Calibri" w:hAnsi="Calibri" w:cs="Calibri"/>
                <w:b/>
              </w:rPr>
              <w:t>i</w:t>
            </w:r>
            <w:r w:rsidRPr="00732A73">
              <w:rPr>
                <w:rFonts w:ascii="Calibri" w:hAnsi="Calibri" w:cs="Calibri"/>
                <w:b/>
              </w:rPr>
              <w:t xml:space="preserve"> przyjęt</w:t>
            </w:r>
            <w:r>
              <w:rPr>
                <w:rFonts w:ascii="Calibri" w:hAnsi="Calibri" w:cs="Calibri"/>
                <w:b/>
              </w:rPr>
              <w:t>e i naniesione na projekcie</w:t>
            </w:r>
            <w:r w:rsidRPr="00732A73">
              <w:rPr>
                <w:rFonts w:ascii="Calibri" w:hAnsi="Calibri" w:cs="Calibri"/>
                <w:b/>
              </w:rPr>
              <w:t xml:space="preserve">.  </w:t>
            </w:r>
          </w:p>
          <w:p w14:paraId="7D22A366" w14:textId="52ED78D2" w:rsidR="00EC2D33" w:rsidRPr="00732A73" w:rsidRDefault="00EC2D33" w:rsidP="00EC2D33">
            <w:pPr>
              <w:spacing w:after="120"/>
              <w:rPr>
                <w:rFonts w:ascii="Calibri" w:hAnsi="Calibri" w:cs="Calibri"/>
                <w:b/>
              </w:rPr>
            </w:pPr>
            <w:r w:rsidRPr="00732A73">
              <w:rPr>
                <w:rFonts w:ascii="Calibri" w:hAnsi="Calibri" w:cs="Calibri"/>
                <w:shd w:val="clear" w:color="auto" w:fill="FFFFFF"/>
              </w:rPr>
              <w:t xml:space="preserve"> </w:t>
            </w:r>
          </w:p>
        </w:tc>
      </w:tr>
    </w:tbl>
    <w:p w14:paraId="3F15D110" w14:textId="29BF577E" w:rsidR="000914B3" w:rsidRDefault="0030636D"/>
    <w:sectPr w:rsidR="000914B3" w:rsidSect="00457EF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447E06" w14:textId="77777777" w:rsidR="0030636D" w:rsidRDefault="0030636D" w:rsidP="00501FE4">
      <w:r>
        <w:separator/>
      </w:r>
    </w:p>
  </w:endnote>
  <w:endnote w:type="continuationSeparator" w:id="0">
    <w:p w14:paraId="2556341C" w14:textId="77777777" w:rsidR="0030636D" w:rsidRDefault="0030636D" w:rsidP="00501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596AE" w14:textId="77777777" w:rsidR="0030636D" w:rsidRDefault="0030636D" w:rsidP="00501FE4">
      <w:r>
        <w:separator/>
      </w:r>
    </w:p>
  </w:footnote>
  <w:footnote w:type="continuationSeparator" w:id="0">
    <w:p w14:paraId="31934A32" w14:textId="77777777" w:rsidR="0030636D" w:rsidRDefault="0030636D" w:rsidP="00501F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DF5851"/>
    <w:multiLevelType w:val="hybridMultilevel"/>
    <w:tmpl w:val="B9B4A1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9A771E"/>
    <w:multiLevelType w:val="hybridMultilevel"/>
    <w:tmpl w:val="F6721B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97E7F00"/>
    <w:multiLevelType w:val="hybridMultilevel"/>
    <w:tmpl w:val="B7664D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46693A"/>
    <w:multiLevelType w:val="hybridMultilevel"/>
    <w:tmpl w:val="BC102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E2363D6"/>
    <w:multiLevelType w:val="hybridMultilevel"/>
    <w:tmpl w:val="F6721B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EFA"/>
    <w:rsid w:val="00005A9C"/>
    <w:rsid w:val="00016615"/>
    <w:rsid w:val="00016E3C"/>
    <w:rsid w:val="00027769"/>
    <w:rsid w:val="0004260B"/>
    <w:rsid w:val="0006220E"/>
    <w:rsid w:val="00080146"/>
    <w:rsid w:val="00086FE7"/>
    <w:rsid w:val="000A57E9"/>
    <w:rsid w:val="000B1282"/>
    <w:rsid w:val="000C6F50"/>
    <w:rsid w:val="000D55A8"/>
    <w:rsid w:val="000E77FF"/>
    <w:rsid w:val="000E79D6"/>
    <w:rsid w:val="001061BB"/>
    <w:rsid w:val="00156CD8"/>
    <w:rsid w:val="00171414"/>
    <w:rsid w:val="00186E5B"/>
    <w:rsid w:val="0018797A"/>
    <w:rsid w:val="0019081C"/>
    <w:rsid w:val="00190837"/>
    <w:rsid w:val="001A0635"/>
    <w:rsid w:val="001C3A94"/>
    <w:rsid w:val="001E2352"/>
    <w:rsid w:val="001E3257"/>
    <w:rsid w:val="001E5886"/>
    <w:rsid w:val="001F1711"/>
    <w:rsid w:val="002041C5"/>
    <w:rsid w:val="00223979"/>
    <w:rsid w:val="00272A2C"/>
    <w:rsid w:val="002746A7"/>
    <w:rsid w:val="00274DC4"/>
    <w:rsid w:val="00284DA7"/>
    <w:rsid w:val="002870FB"/>
    <w:rsid w:val="002C5654"/>
    <w:rsid w:val="002D3DFB"/>
    <w:rsid w:val="002D6616"/>
    <w:rsid w:val="002E27AB"/>
    <w:rsid w:val="002F0401"/>
    <w:rsid w:val="00301E80"/>
    <w:rsid w:val="0030636D"/>
    <w:rsid w:val="0033311C"/>
    <w:rsid w:val="00342D81"/>
    <w:rsid w:val="00351A50"/>
    <w:rsid w:val="0035296D"/>
    <w:rsid w:val="00355C77"/>
    <w:rsid w:val="00360B94"/>
    <w:rsid w:val="00373F08"/>
    <w:rsid w:val="003A6B9C"/>
    <w:rsid w:val="003C2B3A"/>
    <w:rsid w:val="003F1773"/>
    <w:rsid w:val="003F2A4C"/>
    <w:rsid w:val="00403137"/>
    <w:rsid w:val="0042162C"/>
    <w:rsid w:val="0042229C"/>
    <w:rsid w:val="00432828"/>
    <w:rsid w:val="00433607"/>
    <w:rsid w:val="00437B6C"/>
    <w:rsid w:val="004416DC"/>
    <w:rsid w:val="00445029"/>
    <w:rsid w:val="00457EFA"/>
    <w:rsid w:val="00474CC6"/>
    <w:rsid w:val="004851B7"/>
    <w:rsid w:val="004869E2"/>
    <w:rsid w:val="00486C8C"/>
    <w:rsid w:val="004960B3"/>
    <w:rsid w:val="00497888"/>
    <w:rsid w:val="004A2EDC"/>
    <w:rsid w:val="004C1F77"/>
    <w:rsid w:val="004C2940"/>
    <w:rsid w:val="004F4E82"/>
    <w:rsid w:val="00501FE4"/>
    <w:rsid w:val="005066F2"/>
    <w:rsid w:val="00510185"/>
    <w:rsid w:val="0051712C"/>
    <w:rsid w:val="005219AC"/>
    <w:rsid w:val="00526A8D"/>
    <w:rsid w:val="00553C8F"/>
    <w:rsid w:val="00577C9A"/>
    <w:rsid w:val="00591DE8"/>
    <w:rsid w:val="005A0408"/>
    <w:rsid w:val="005A6712"/>
    <w:rsid w:val="005B2294"/>
    <w:rsid w:val="005E085F"/>
    <w:rsid w:val="00633C49"/>
    <w:rsid w:val="00651E08"/>
    <w:rsid w:val="0065277D"/>
    <w:rsid w:val="00662FA0"/>
    <w:rsid w:val="00665762"/>
    <w:rsid w:val="00687045"/>
    <w:rsid w:val="00697454"/>
    <w:rsid w:val="006B3C21"/>
    <w:rsid w:val="006B3FC0"/>
    <w:rsid w:val="006C43F7"/>
    <w:rsid w:val="006C5E59"/>
    <w:rsid w:val="006D0C9D"/>
    <w:rsid w:val="00705614"/>
    <w:rsid w:val="00712C0D"/>
    <w:rsid w:val="00723DD5"/>
    <w:rsid w:val="00723EAE"/>
    <w:rsid w:val="00724F1B"/>
    <w:rsid w:val="007278E0"/>
    <w:rsid w:val="00732A73"/>
    <w:rsid w:val="0075015A"/>
    <w:rsid w:val="007935D2"/>
    <w:rsid w:val="007B7074"/>
    <w:rsid w:val="007E3EC9"/>
    <w:rsid w:val="008254E8"/>
    <w:rsid w:val="0084471E"/>
    <w:rsid w:val="00893853"/>
    <w:rsid w:val="008A0BDC"/>
    <w:rsid w:val="008A2E9D"/>
    <w:rsid w:val="008A3727"/>
    <w:rsid w:val="008A7DF5"/>
    <w:rsid w:val="008C1CF4"/>
    <w:rsid w:val="008E58EA"/>
    <w:rsid w:val="008F7361"/>
    <w:rsid w:val="00923FA3"/>
    <w:rsid w:val="009667CE"/>
    <w:rsid w:val="00966EBD"/>
    <w:rsid w:val="009671F0"/>
    <w:rsid w:val="0098521E"/>
    <w:rsid w:val="00985943"/>
    <w:rsid w:val="00996CC6"/>
    <w:rsid w:val="009B644E"/>
    <w:rsid w:val="009B6A38"/>
    <w:rsid w:val="009B7165"/>
    <w:rsid w:val="009C719F"/>
    <w:rsid w:val="009E633A"/>
    <w:rsid w:val="009F4130"/>
    <w:rsid w:val="00A00208"/>
    <w:rsid w:val="00A14EB6"/>
    <w:rsid w:val="00A26927"/>
    <w:rsid w:val="00A27F31"/>
    <w:rsid w:val="00A32182"/>
    <w:rsid w:val="00A34FAF"/>
    <w:rsid w:val="00A44DAA"/>
    <w:rsid w:val="00A47A58"/>
    <w:rsid w:val="00A53738"/>
    <w:rsid w:val="00A605B4"/>
    <w:rsid w:val="00A613D4"/>
    <w:rsid w:val="00A91687"/>
    <w:rsid w:val="00A93D85"/>
    <w:rsid w:val="00AD7E31"/>
    <w:rsid w:val="00AE3059"/>
    <w:rsid w:val="00AE3E8B"/>
    <w:rsid w:val="00AE6044"/>
    <w:rsid w:val="00AF7869"/>
    <w:rsid w:val="00B17E56"/>
    <w:rsid w:val="00B26C23"/>
    <w:rsid w:val="00B429CF"/>
    <w:rsid w:val="00B5206A"/>
    <w:rsid w:val="00B56FD4"/>
    <w:rsid w:val="00B62E2E"/>
    <w:rsid w:val="00B712FF"/>
    <w:rsid w:val="00B900FC"/>
    <w:rsid w:val="00B91590"/>
    <w:rsid w:val="00BC3054"/>
    <w:rsid w:val="00BC3267"/>
    <w:rsid w:val="00BD7E4B"/>
    <w:rsid w:val="00BE12CF"/>
    <w:rsid w:val="00BF301C"/>
    <w:rsid w:val="00C169B2"/>
    <w:rsid w:val="00C35881"/>
    <w:rsid w:val="00C453BD"/>
    <w:rsid w:val="00C604A8"/>
    <w:rsid w:val="00C72E57"/>
    <w:rsid w:val="00C81CC7"/>
    <w:rsid w:val="00C82CD0"/>
    <w:rsid w:val="00C85B2F"/>
    <w:rsid w:val="00CD50B9"/>
    <w:rsid w:val="00CD7A77"/>
    <w:rsid w:val="00D06E92"/>
    <w:rsid w:val="00D254F6"/>
    <w:rsid w:val="00D40E9C"/>
    <w:rsid w:val="00D6497E"/>
    <w:rsid w:val="00D72566"/>
    <w:rsid w:val="00D75053"/>
    <w:rsid w:val="00D81A59"/>
    <w:rsid w:val="00D943E3"/>
    <w:rsid w:val="00DB0203"/>
    <w:rsid w:val="00DB1329"/>
    <w:rsid w:val="00DE5001"/>
    <w:rsid w:val="00DF3988"/>
    <w:rsid w:val="00E001EF"/>
    <w:rsid w:val="00E10BA6"/>
    <w:rsid w:val="00E20106"/>
    <w:rsid w:val="00E3488F"/>
    <w:rsid w:val="00E36CEC"/>
    <w:rsid w:val="00E40704"/>
    <w:rsid w:val="00E50FFE"/>
    <w:rsid w:val="00E6208F"/>
    <w:rsid w:val="00E626F4"/>
    <w:rsid w:val="00E8652C"/>
    <w:rsid w:val="00E87570"/>
    <w:rsid w:val="00E9748E"/>
    <w:rsid w:val="00EA6BC2"/>
    <w:rsid w:val="00EB0834"/>
    <w:rsid w:val="00EC2D33"/>
    <w:rsid w:val="00EC7639"/>
    <w:rsid w:val="00ED34DE"/>
    <w:rsid w:val="00ED5E78"/>
    <w:rsid w:val="00ED6F3E"/>
    <w:rsid w:val="00EE4875"/>
    <w:rsid w:val="00EF4F09"/>
    <w:rsid w:val="00EF5A3D"/>
    <w:rsid w:val="00F1684D"/>
    <w:rsid w:val="00F2008B"/>
    <w:rsid w:val="00F22273"/>
    <w:rsid w:val="00F3562F"/>
    <w:rsid w:val="00F37CC9"/>
    <w:rsid w:val="00F41E44"/>
    <w:rsid w:val="00F50B50"/>
    <w:rsid w:val="00F805D5"/>
    <w:rsid w:val="00FA13E6"/>
    <w:rsid w:val="00FB1078"/>
    <w:rsid w:val="00FD2E88"/>
    <w:rsid w:val="00FD6FB2"/>
    <w:rsid w:val="00FE4A3E"/>
    <w:rsid w:val="00FE5B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2E6E0"/>
  <w15:chartTrackingRefBased/>
  <w15:docId w15:val="{0E7EC67F-F021-4874-8E9D-CAD3B0086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7EF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nhideWhenUsed/>
    <w:rsid w:val="00457EFA"/>
    <w:pPr>
      <w:spacing w:after="120"/>
    </w:pPr>
  </w:style>
  <w:style w:type="character" w:customStyle="1" w:styleId="TekstpodstawowyZnak">
    <w:name w:val="Tekst podstawowy Znak"/>
    <w:basedOn w:val="Domylnaczcionkaakapitu"/>
    <w:link w:val="Tekstpodstawowy"/>
    <w:rsid w:val="00457EFA"/>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457EFA"/>
    <w:pPr>
      <w:spacing w:after="200" w:line="276" w:lineRule="auto"/>
      <w:ind w:left="720"/>
      <w:contextualSpacing/>
    </w:pPr>
    <w:rPr>
      <w:rFonts w:ascii="Calibri" w:eastAsia="Calibri" w:hAnsi="Calibri"/>
      <w:sz w:val="22"/>
      <w:szCs w:val="22"/>
      <w:lang w:eastAsia="en-US"/>
    </w:rPr>
  </w:style>
  <w:style w:type="character" w:styleId="Odwoanieprzypisudolnego">
    <w:name w:val="footnote reference"/>
    <w:uiPriority w:val="99"/>
    <w:semiHidden/>
    <w:rsid w:val="00501FE4"/>
    <w:rPr>
      <w:rFonts w:cs="Times New Roman"/>
      <w:vertAlign w:val="superscript"/>
    </w:rPr>
  </w:style>
  <w:style w:type="character" w:styleId="Hipercze">
    <w:name w:val="Hyperlink"/>
    <w:basedOn w:val="Domylnaczcionkaakapitu"/>
    <w:uiPriority w:val="99"/>
    <w:unhideWhenUsed/>
    <w:rsid w:val="00ED6F3E"/>
    <w:rPr>
      <w:color w:val="0563C1" w:themeColor="hyperlink"/>
      <w:u w:val="single"/>
    </w:rPr>
  </w:style>
  <w:style w:type="character" w:styleId="Odwoaniedokomentarza">
    <w:name w:val="annotation reference"/>
    <w:basedOn w:val="Domylnaczcionkaakapitu"/>
    <w:uiPriority w:val="99"/>
    <w:semiHidden/>
    <w:unhideWhenUsed/>
    <w:rsid w:val="00432828"/>
    <w:rPr>
      <w:sz w:val="16"/>
      <w:szCs w:val="16"/>
    </w:rPr>
  </w:style>
  <w:style w:type="paragraph" w:styleId="Tekstkomentarza">
    <w:name w:val="annotation text"/>
    <w:basedOn w:val="Normalny"/>
    <w:link w:val="TekstkomentarzaZnak"/>
    <w:uiPriority w:val="99"/>
    <w:semiHidden/>
    <w:unhideWhenUsed/>
    <w:rsid w:val="00432828"/>
    <w:rPr>
      <w:sz w:val="20"/>
      <w:szCs w:val="20"/>
    </w:rPr>
  </w:style>
  <w:style w:type="character" w:customStyle="1" w:styleId="TekstkomentarzaZnak">
    <w:name w:val="Tekst komentarza Znak"/>
    <w:basedOn w:val="Domylnaczcionkaakapitu"/>
    <w:link w:val="Tekstkomentarza"/>
    <w:uiPriority w:val="99"/>
    <w:semiHidden/>
    <w:rsid w:val="0043282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32828"/>
    <w:rPr>
      <w:b/>
      <w:bCs/>
    </w:rPr>
  </w:style>
  <w:style w:type="character" w:customStyle="1" w:styleId="TematkomentarzaZnak">
    <w:name w:val="Temat komentarza Znak"/>
    <w:basedOn w:val="TekstkomentarzaZnak"/>
    <w:link w:val="Tematkomentarza"/>
    <w:uiPriority w:val="99"/>
    <w:semiHidden/>
    <w:rsid w:val="0043282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328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2828"/>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7935D2"/>
    <w:rPr>
      <w:sz w:val="20"/>
      <w:szCs w:val="20"/>
    </w:rPr>
  </w:style>
  <w:style w:type="character" w:customStyle="1" w:styleId="TekstprzypisukocowegoZnak">
    <w:name w:val="Tekst przypisu końcowego Znak"/>
    <w:basedOn w:val="Domylnaczcionkaakapitu"/>
    <w:link w:val="Tekstprzypisukocowego"/>
    <w:uiPriority w:val="99"/>
    <w:semiHidden/>
    <w:rsid w:val="007935D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35D2"/>
    <w:rPr>
      <w:vertAlign w:val="superscript"/>
    </w:rPr>
  </w:style>
  <w:style w:type="character" w:customStyle="1" w:styleId="highlight">
    <w:name w:val="highlight"/>
    <w:basedOn w:val="Domylnaczcionkaakapitu"/>
    <w:rsid w:val="00171414"/>
  </w:style>
  <w:style w:type="character" w:customStyle="1" w:styleId="highlight-disabled">
    <w:name w:val="highlight-disabled"/>
    <w:basedOn w:val="Domylnaczcionkaakapitu"/>
    <w:rsid w:val="000622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530681">
      <w:bodyDiv w:val="1"/>
      <w:marLeft w:val="0"/>
      <w:marRight w:val="0"/>
      <w:marTop w:val="0"/>
      <w:marBottom w:val="0"/>
      <w:divBdr>
        <w:top w:val="none" w:sz="0" w:space="0" w:color="auto"/>
        <w:left w:val="none" w:sz="0" w:space="0" w:color="auto"/>
        <w:bottom w:val="none" w:sz="0" w:space="0" w:color="auto"/>
        <w:right w:val="none" w:sz="0" w:space="0" w:color="auto"/>
      </w:divBdr>
    </w:div>
    <w:div w:id="1153831346">
      <w:bodyDiv w:val="1"/>
      <w:marLeft w:val="0"/>
      <w:marRight w:val="0"/>
      <w:marTop w:val="0"/>
      <w:marBottom w:val="0"/>
      <w:divBdr>
        <w:top w:val="none" w:sz="0" w:space="0" w:color="auto"/>
        <w:left w:val="none" w:sz="0" w:space="0" w:color="auto"/>
        <w:bottom w:val="none" w:sz="0" w:space="0" w:color="auto"/>
        <w:right w:val="none" w:sz="0" w:space="0" w:color="auto"/>
      </w:divBdr>
      <w:divsChild>
        <w:div w:id="1841844932">
          <w:marLeft w:val="0"/>
          <w:marRight w:val="0"/>
          <w:marTop w:val="0"/>
          <w:marBottom w:val="0"/>
          <w:divBdr>
            <w:top w:val="none" w:sz="0" w:space="0" w:color="auto"/>
            <w:left w:val="none" w:sz="0" w:space="0" w:color="auto"/>
            <w:bottom w:val="none" w:sz="0" w:space="0" w:color="auto"/>
            <w:right w:val="none" w:sz="0" w:space="0" w:color="auto"/>
          </w:divBdr>
        </w:div>
      </w:divsChild>
    </w:div>
    <w:div w:id="1157763363">
      <w:bodyDiv w:val="1"/>
      <w:marLeft w:val="0"/>
      <w:marRight w:val="0"/>
      <w:marTop w:val="0"/>
      <w:marBottom w:val="0"/>
      <w:divBdr>
        <w:top w:val="none" w:sz="0" w:space="0" w:color="auto"/>
        <w:left w:val="none" w:sz="0" w:space="0" w:color="auto"/>
        <w:bottom w:val="none" w:sz="0" w:space="0" w:color="auto"/>
        <w:right w:val="none" w:sz="0" w:space="0" w:color="auto"/>
      </w:divBdr>
    </w:div>
    <w:div w:id="1524443440">
      <w:bodyDiv w:val="1"/>
      <w:marLeft w:val="0"/>
      <w:marRight w:val="0"/>
      <w:marTop w:val="0"/>
      <w:marBottom w:val="0"/>
      <w:divBdr>
        <w:top w:val="none" w:sz="0" w:space="0" w:color="auto"/>
        <w:left w:val="none" w:sz="0" w:space="0" w:color="auto"/>
        <w:bottom w:val="none" w:sz="0" w:space="0" w:color="auto"/>
        <w:right w:val="none" w:sz="0" w:space="0" w:color="auto"/>
      </w:divBdr>
      <w:divsChild>
        <w:div w:id="1231773001">
          <w:marLeft w:val="0"/>
          <w:marRight w:val="0"/>
          <w:marTop w:val="0"/>
          <w:marBottom w:val="0"/>
          <w:divBdr>
            <w:top w:val="none" w:sz="0" w:space="0" w:color="auto"/>
            <w:left w:val="none" w:sz="0" w:space="0" w:color="auto"/>
            <w:bottom w:val="none" w:sz="0" w:space="0" w:color="auto"/>
            <w:right w:val="none" w:sz="0" w:space="0" w:color="auto"/>
          </w:divBdr>
        </w:div>
      </w:divsChild>
    </w:div>
    <w:div w:id="1946687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733C1-A609-4219-AD29-FFCA7233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1406</Words>
  <Characters>8438</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9825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Sybilski Dominik</dc:creator>
  <cp:keywords/>
  <dc:description/>
  <cp:lastModifiedBy>Godlewski Daniel</cp:lastModifiedBy>
  <cp:revision>3</cp:revision>
  <dcterms:created xsi:type="dcterms:W3CDTF">2020-01-09T12:23:00Z</dcterms:created>
  <dcterms:modified xsi:type="dcterms:W3CDTF">2020-01-09T12:44:00Z</dcterms:modified>
</cp:coreProperties>
</file>