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1A4B" w14:textId="77777777" w:rsidR="007475AB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215279BA" w14:textId="77777777" w:rsidR="00274D44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4149D2C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55DEA18F" w14:textId="304A8FCF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DAB-I.053.9.2022</w:t>
      </w:r>
      <w:bookmarkEnd w:id="0"/>
      <w:r w:rsidR="0054132D">
        <w:rPr>
          <w:rFonts w:ascii="Lato" w:hAnsi="Lato"/>
          <w:sz w:val="20"/>
        </w:rPr>
        <w:t>.MG.1</w:t>
      </w:r>
    </w:p>
    <w:p w14:paraId="58E8DF76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Pr="00EB4EA7">
        <w:rPr>
          <w:rFonts w:ascii="Lato" w:hAnsi="Lato"/>
          <w:sz w:val="20"/>
        </w:rPr>
        <w:t>07 grudnia 2022</w:t>
      </w:r>
      <w:bookmarkEnd w:id="1"/>
      <w:r w:rsidRPr="00EB4EA7">
        <w:rPr>
          <w:rFonts w:ascii="Lato" w:hAnsi="Lato"/>
          <w:sz w:val="20"/>
        </w:rPr>
        <w:t xml:space="preserve"> r.</w:t>
      </w:r>
    </w:p>
    <w:p w14:paraId="78D19D03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C81728E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2D146BCF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4525F099" w14:textId="77777777" w:rsid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5B8BE729" w14:textId="77777777" w:rsidR="00D723B5" w:rsidRPr="00B06E81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212FF7F9" w14:textId="77777777" w:rsidR="00D723B5" w:rsidRPr="00D50422" w:rsidRDefault="00000000" w:rsidP="00EE5A98">
      <w:pPr>
        <w:tabs>
          <w:tab w:val="center" w:pos="1470"/>
          <w:tab w:val="left" w:pos="5387"/>
        </w:tabs>
        <w:spacing w:before="240" w:after="240" w:line="240" w:lineRule="auto"/>
        <w:jc w:val="center"/>
        <w:outlineLvl w:val="0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b/>
          <w:sz w:val="20"/>
          <w:szCs w:val="20"/>
        </w:rPr>
        <w:t>Zawiadomienie o sposobie załatwienia petycji</w:t>
      </w:r>
    </w:p>
    <w:p w14:paraId="4848CA66" w14:textId="77777777" w:rsidR="009B6EF9" w:rsidRPr="009B6EF9" w:rsidRDefault="00000000" w:rsidP="00EE5A98">
      <w:pPr>
        <w:spacing w:before="240" w:after="240" w:line="240" w:lineRule="auto"/>
        <w:rPr>
          <w:rFonts w:ascii="Lato" w:hAnsi="Lato" w:cstheme="minorHAnsi"/>
          <w:sz w:val="20"/>
          <w:szCs w:val="20"/>
        </w:rPr>
      </w:pPr>
      <w:r w:rsidRPr="009B6EF9">
        <w:rPr>
          <w:rFonts w:ascii="Lato" w:hAnsi="Lato" w:cstheme="minorHAnsi"/>
          <w:sz w:val="20"/>
          <w:szCs w:val="20"/>
        </w:rPr>
        <w:t>Minister Rozwoju i Technologii działając na podstawie art. 13 ust. 1 ustawy z dnia 11 lipca 2014 r.</w:t>
      </w:r>
      <w:r>
        <w:rPr>
          <w:rFonts w:ascii="Lato" w:hAnsi="Lato" w:cstheme="minorHAnsi"/>
          <w:sz w:val="20"/>
          <w:szCs w:val="20"/>
        </w:rPr>
        <w:t xml:space="preserve"> </w:t>
      </w:r>
      <w:r w:rsidRPr="009B6EF9">
        <w:rPr>
          <w:rFonts w:ascii="Lato" w:hAnsi="Lato" w:cstheme="minorHAnsi"/>
          <w:sz w:val="20"/>
          <w:szCs w:val="20"/>
        </w:rPr>
        <w:t>o petycjach (Dz.U. 2018 poz. 870), dalej: „ustawa o petycjach”, w związku z petycją z dnia 7 września 2022 r., przekazaną przez Kancelarię Prezesa Rady Ministrów przy piśmie znak: DSO.ZAN.161.1675.2022 w dniu 12 września 2022 r.</w:t>
      </w:r>
      <w:r w:rsidRPr="009B6EF9">
        <w:rPr>
          <w:rFonts w:ascii="Lato" w:hAnsi="Lato" w:cs="Arial"/>
          <w:sz w:val="20"/>
          <w:szCs w:val="20"/>
        </w:rPr>
        <w:t xml:space="preserve">, </w:t>
      </w:r>
      <w:r w:rsidRPr="009B6EF9">
        <w:rPr>
          <w:rFonts w:ascii="Lato" w:hAnsi="Lato" w:cstheme="minorHAnsi"/>
          <w:sz w:val="20"/>
          <w:szCs w:val="20"/>
        </w:rPr>
        <w:t xml:space="preserve">dotyczącą „ochrony przeciwpożarowej budynków ”, informuje o odrzuceniu petycji. </w:t>
      </w:r>
    </w:p>
    <w:p w14:paraId="2B8974B6" w14:textId="77777777" w:rsidR="009B6EF9" w:rsidRDefault="00000000" w:rsidP="00EE5A98">
      <w:pPr>
        <w:spacing w:before="240" w:after="240" w:line="240" w:lineRule="auto"/>
        <w:jc w:val="center"/>
        <w:rPr>
          <w:rFonts w:ascii="Lato" w:hAnsi="Lato" w:cstheme="minorHAnsi"/>
          <w:b/>
          <w:bCs/>
          <w:sz w:val="20"/>
          <w:szCs w:val="20"/>
        </w:rPr>
      </w:pPr>
      <w:r w:rsidRPr="009B6EF9">
        <w:rPr>
          <w:rFonts w:ascii="Lato" w:hAnsi="Lato" w:cstheme="minorHAnsi"/>
          <w:b/>
          <w:bCs/>
          <w:sz w:val="20"/>
          <w:szCs w:val="20"/>
        </w:rPr>
        <w:t>Uzasadnienie</w:t>
      </w:r>
    </w:p>
    <w:p w14:paraId="534F32CC" w14:textId="77777777" w:rsidR="00E861EB" w:rsidRDefault="00000000" w:rsidP="00F81293">
      <w:pPr>
        <w:spacing w:before="240" w:after="240"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Na wstępie </w:t>
      </w:r>
      <w:r>
        <w:rPr>
          <w:rFonts w:ascii="Lato" w:hAnsi="Lato" w:cstheme="minorHAnsi"/>
          <w:sz w:val="20"/>
          <w:szCs w:val="20"/>
        </w:rPr>
        <w:t xml:space="preserve">uprzejmie informuję, iż kwestie dotyczące ochrony przeciwpożarowej budynków, znajdujące się we właściwości Ministra Rozwoju i Technologii zostały uregulowane zarówno w przepisach </w:t>
      </w:r>
      <w:r w:rsidRPr="00E861EB">
        <w:rPr>
          <w:rFonts w:ascii="Lato" w:hAnsi="Lato" w:cstheme="minorHAnsi"/>
          <w:sz w:val="20"/>
          <w:szCs w:val="20"/>
        </w:rPr>
        <w:t>ustawy z dnia 7 lipca 1994 r. – Prawo budowlane (Dz. U. 2020 r. poz. 1333, z późn. zm.), zwanej dalej „ustawą Pb”</w:t>
      </w:r>
      <w:r>
        <w:rPr>
          <w:rFonts w:ascii="Lato" w:hAnsi="Lato" w:cstheme="minorHAnsi"/>
          <w:sz w:val="20"/>
          <w:szCs w:val="20"/>
        </w:rPr>
        <w:t xml:space="preserve">, jak również rozporządzenia </w:t>
      </w:r>
      <w:r w:rsidRPr="00E861EB">
        <w:rPr>
          <w:rFonts w:ascii="Lato" w:hAnsi="Lato" w:cstheme="minorHAnsi"/>
          <w:sz w:val="20"/>
          <w:szCs w:val="20"/>
        </w:rPr>
        <w:t>Ministra Infrastruktury z dnia 12 kwietnia 2002 r. w</w:t>
      </w:r>
      <w:r>
        <w:rPr>
          <w:rFonts w:ascii="Lato" w:hAnsi="Lato" w:cstheme="minorHAnsi"/>
          <w:sz w:val="20"/>
          <w:szCs w:val="20"/>
        </w:rPr>
        <w:t xml:space="preserve"> </w:t>
      </w:r>
      <w:r w:rsidRPr="00E861EB">
        <w:rPr>
          <w:rFonts w:ascii="Lato" w:hAnsi="Lato" w:cstheme="minorHAnsi"/>
          <w:sz w:val="20"/>
          <w:szCs w:val="20"/>
        </w:rPr>
        <w:t>sprawie warunków technicznych, jakim powinny odpowiadać budynki i ich usytuowanie</w:t>
      </w:r>
      <w:r>
        <w:rPr>
          <w:rFonts w:ascii="Lato" w:hAnsi="Lato" w:cstheme="minorHAnsi"/>
          <w:sz w:val="20"/>
          <w:szCs w:val="20"/>
        </w:rPr>
        <w:t xml:space="preserve"> </w:t>
      </w:r>
      <w:r w:rsidRPr="00E861EB">
        <w:rPr>
          <w:rFonts w:ascii="Lato" w:hAnsi="Lato" w:cstheme="minorHAnsi"/>
          <w:sz w:val="20"/>
          <w:szCs w:val="20"/>
        </w:rPr>
        <w:t>(Dz. U. 2022 r. poz. 1225, z późn. zm.), zwanego dalej „rozporządzeniem Wt”</w:t>
      </w:r>
      <w:r>
        <w:rPr>
          <w:rFonts w:ascii="Lato" w:hAnsi="Lato" w:cstheme="minorHAnsi"/>
          <w:sz w:val="20"/>
          <w:szCs w:val="20"/>
        </w:rPr>
        <w:t>.</w:t>
      </w:r>
    </w:p>
    <w:p w14:paraId="205C9D4B" w14:textId="77777777" w:rsidR="001F4DEB" w:rsidRPr="001F4DEB" w:rsidRDefault="00000000" w:rsidP="00F81293">
      <w:pPr>
        <w:spacing w:before="240" w:after="240" w:line="240" w:lineRule="auto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Z</w:t>
      </w:r>
      <w:r w:rsidRPr="001F4DEB">
        <w:rPr>
          <w:rFonts w:ascii="Lato" w:hAnsi="Lato" w:cstheme="minorHAnsi"/>
          <w:sz w:val="20"/>
          <w:szCs w:val="20"/>
        </w:rPr>
        <w:t>godnie</w:t>
      </w:r>
      <w:r>
        <w:rPr>
          <w:rFonts w:ascii="Lato" w:hAnsi="Lato" w:cstheme="minorHAnsi"/>
          <w:sz w:val="20"/>
          <w:szCs w:val="20"/>
        </w:rPr>
        <w:t xml:space="preserve"> bowiem</w:t>
      </w:r>
      <w:r w:rsidRPr="001F4DEB">
        <w:rPr>
          <w:rFonts w:ascii="Lato" w:hAnsi="Lato" w:cstheme="minorHAnsi"/>
          <w:sz w:val="20"/>
          <w:szCs w:val="20"/>
        </w:rPr>
        <w:t xml:space="preserve"> z art. 5 ust. 1 </w:t>
      </w:r>
      <w:r>
        <w:rPr>
          <w:rFonts w:ascii="Lato" w:hAnsi="Lato" w:cstheme="minorHAnsi"/>
          <w:sz w:val="20"/>
          <w:szCs w:val="20"/>
        </w:rPr>
        <w:t xml:space="preserve">pkt 1 lit b i d </w:t>
      </w:r>
      <w:r w:rsidRPr="001F4DEB">
        <w:rPr>
          <w:rFonts w:ascii="Lato" w:hAnsi="Lato" w:cstheme="minorHAnsi"/>
          <w:sz w:val="20"/>
          <w:szCs w:val="20"/>
        </w:rPr>
        <w:t>ustawy</w:t>
      </w:r>
      <w:r>
        <w:rPr>
          <w:rFonts w:ascii="Lato" w:hAnsi="Lato" w:cstheme="minorHAnsi"/>
          <w:sz w:val="20"/>
          <w:szCs w:val="20"/>
        </w:rPr>
        <w:t xml:space="preserve"> Pb</w:t>
      </w:r>
      <w:r w:rsidRPr="001F4DEB">
        <w:rPr>
          <w:rFonts w:ascii="Lato" w:hAnsi="Lato" w:cstheme="minorHAnsi"/>
          <w:sz w:val="20"/>
          <w:szCs w:val="20"/>
        </w:rPr>
        <w:t xml:space="preserve"> obiekt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budowlany jako całość oraz jego poszczególne części, wraz ze związanymi z nim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urządzeniami budowlanymi należy, biorąc pod uwagę przewidywany okres użytkowania,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projektować i budować w sposób określony w przepisach, w tym techniczno</w:t>
      </w:r>
      <w:r>
        <w:rPr>
          <w:rFonts w:ascii="Lato" w:hAnsi="Lato" w:cstheme="minorHAnsi"/>
          <w:sz w:val="20"/>
          <w:szCs w:val="20"/>
        </w:rPr>
        <w:t>-</w:t>
      </w:r>
      <w:r w:rsidRPr="001F4DEB">
        <w:rPr>
          <w:rFonts w:ascii="Lato" w:hAnsi="Lato" w:cstheme="minorHAnsi"/>
          <w:sz w:val="20"/>
          <w:szCs w:val="20"/>
        </w:rPr>
        <w:t>budowlanych,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oraz zgodnie z zasadami wiedzy technicznej, zapewniając spełnienie podstawowych wymagań dotyczących obiektów budowlanych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określonych w załączniku I do rozporządzenia Parlamentu Europejskiego i Rady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(UE) Nr 305/2011 z dnia 9 marca 2011 r. ustanawiającego zharmonizowane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warunki wprowadzania do obrotu wyrobów budowlanych i uchylającego dyrektywę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Rady 89/106/EWG (Dz. Urz. UE L 88 z 04.04.2011, str. 5, z późn. zm.),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dotyczących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bezpieczeństwa pożarowego</w:t>
      </w:r>
      <w:r>
        <w:rPr>
          <w:rFonts w:ascii="Lato" w:hAnsi="Lato" w:cstheme="minorHAnsi"/>
          <w:sz w:val="20"/>
          <w:szCs w:val="20"/>
        </w:rPr>
        <w:t xml:space="preserve"> oraz</w:t>
      </w:r>
      <w:r w:rsidRPr="001F4DEB">
        <w:rPr>
          <w:rFonts w:ascii="Lato" w:hAnsi="Lato" w:cstheme="minorHAnsi"/>
          <w:sz w:val="20"/>
          <w:szCs w:val="20"/>
        </w:rPr>
        <w:t xml:space="preserve"> bezpieczeństwa użytkowania i dostępności obiektów,</w:t>
      </w:r>
    </w:p>
    <w:p w14:paraId="1C0B1047" w14:textId="77777777" w:rsidR="001F4DEB" w:rsidRDefault="00000000" w:rsidP="00F81293">
      <w:pPr>
        <w:spacing w:before="240" w:after="240"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Z kolei przepisy rozporządzenia </w:t>
      </w:r>
      <w:r>
        <w:rPr>
          <w:rFonts w:ascii="Lato" w:hAnsi="Lato" w:cstheme="minorHAnsi"/>
          <w:sz w:val="20"/>
          <w:szCs w:val="20"/>
        </w:rPr>
        <w:t xml:space="preserve">Wt </w:t>
      </w:r>
      <w:r w:rsidRPr="001F4DEB">
        <w:rPr>
          <w:rFonts w:ascii="Lato" w:hAnsi="Lato" w:cstheme="minorHAnsi"/>
          <w:sz w:val="20"/>
          <w:szCs w:val="20"/>
        </w:rPr>
        <w:t>ustalają warunki techniczne, jakim powinny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odpowiadać budynki i związane z nimi urządzenia, ich usytuowanie na działce budowlanej oraz zagospodarowanie działek przeznaczonych pod zabudowę, zapewniające spełnienie wymagań art. 5 i 6 ustawy Pb (§ 1 rozporządzenia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Wt).</w:t>
      </w:r>
    </w:p>
    <w:p w14:paraId="6F7C38F3" w14:textId="77777777" w:rsidR="00CB31D2" w:rsidRPr="001F4DEB" w:rsidRDefault="00000000" w:rsidP="00F81293">
      <w:pPr>
        <w:spacing w:before="240" w:after="240" w:line="240" w:lineRule="auto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Zaznaczyć przy tym należy, iż przepisy dotyczące bezpieczeństwa pożarowego znajdują się w Dziale VI rozporządzenia Wt (</w:t>
      </w:r>
      <w:r w:rsidRPr="00E4242C">
        <w:rPr>
          <w:rFonts w:ascii="Lato" w:hAnsi="Lato" w:cstheme="minorHAnsi"/>
          <w:sz w:val="20"/>
          <w:szCs w:val="20"/>
        </w:rPr>
        <w:t xml:space="preserve">§ 208 ust. </w:t>
      </w:r>
      <w:r>
        <w:rPr>
          <w:rFonts w:ascii="Lato" w:hAnsi="Lato" w:cstheme="minorHAnsi"/>
          <w:sz w:val="20"/>
          <w:szCs w:val="20"/>
        </w:rPr>
        <w:t>1</w:t>
      </w:r>
      <w:r w:rsidRPr="00E4242C">
        <w:rPr>
          <w:rFonts w:ascii="Lato" w:hAnsi="Lato" w:cstheme="minorHAnsi"/>
          <w:sz w:val="20"/>
          <w:szCs w:val="20"/>
        </w:rPr>
        <w:t xml:space="preserve"> rozporządzenia Wt</w:t>
      </w:r>
      <w:r>
        <w:rPr>
          <w:rFonts w:ascii="Lato" w:hAnsi="Lato" w:cstheme="minorHAnsi"/>
          <w:sz w:val="20"/>
          <w:szCs w:val="20"/>
        </w:rPr>
        <w:t>). O</w:t>
      </w:r>
      <w:r w:rsidRPr="001F4DEB">
        <w:rPr>
          <w:rFonts w:ascii="Lato" w:hAnsi="Lato" w:cstheme="minorHAnsi"/>
          <w:sz w:val="20"/>
          <w:szCs w:val="20"/>
        </w:rPr>
        <w:t>kreślają</w:t>
      </w:r>
      <w:r>
        <w:rPr>
          <w:rFonts w:ascii="Lato" w:hAnsi="Lato" w:cstheme="minorHAnsi"/>
          <w:sz w:val="20"/>
          <w:szCs w:val="20"/>
        </w:rPr>
        <w:t xml:space="preserve"> one </w:t>
      </w:r>
      <w:r w:rsidRPr="001F4DEB">
        <w:rPr>
          <w:rFonts w:ascii="Lato" w:hAnsi="Lato" w:cstheme="minorHAnsi"/>
          <w:sz w:val="20"/>
          <w:szCs w:val="20"/>
        </w:rPr>
        <w:t>wymagania dotyczące bezpieczeństwa pożarowego budynków lub ich części, wynikające z ich przeznaczenia i sposobu użytkowania, wysokości lub liczby kondygnacji, a także położenia w stosunku do poziomu terenu oraz do innych obiektów budowlanyc</w:t>
      </w:r>
      <w:r>
        <w:rPr>
          <w:rFonts w:ascii="Lato" w:hAnsi="Lato" w:cstheme="minorHAnsi"/>
          <w:sz w:val="20"/>
          <w:szCs w:val="20"/>
        </w:rPr>
        <w:t>h. Ponadto s</w:t>
      </w:r>
      <w:r w:rsidRPr="001F4DEB">
        <w:rPr>
          <w:rFonts w:ascii="Lato" w:hAnsi="Lato" w:cstheme="minorHAnsi"/>
          <w:sz w:val="20"/>
          <w:szCs w:val="20"/>
        </w:rPr>
        <w:t>tosowanie przepisów rozporządzenia</w:t>
      </w:r>
      <w:r>
        <w:rPr>
          <w:rFonts w:ascii="Lato" w:hAnsi="Lato" w:cstheme="minorHAnsi"/>
          <w:sz w:val="20"/>
          <w:szCs w:val="20"/>
        </w:rPr>
        <w:t xml:space="preserve"> (zgodnie z </w:t>
      </w:r>
      <w:r w:rsidRPr="001F4DEB">
        <w:rPr>
          <w:rFonts w:ascii="Lato" w:hAnsi="Lato" w:cstheme="minorHAnsi"/>
          <w:sz w:val="20"/>
          <w:szCs w:val="20"/>
        </w:rPr>
        <w:t xml:space="preserve">§ 208 </w:t>
      </w:r>
      <w:r>
        <w:rPr>
          <w:rFonts w:ascii="Lato" w:hAnsi="Lato" w:cstheme="minorHAnsi"/>
          <w:sz w:val="20"/>
          <w:szCs w:val="20"/>
        </w:rPr>
        <w:t xml:space="preserve">ust. 2 rozporządzenia Wt) </w:t>
      </w:r>
      <w:r w:rsidRPr="001F4DEB">
        <w:rPr>
          <w:rFonts w:ascii="Lato" w:hAnsi="Lato" w:cstheme="minorHAnsi"/>
          <w:sz w:val="20"/>
          <w:szCs w:val="20"/>
        </w:rPr>
        <w:t>wymaga uwzględnienia:</w:t>
      </w:r>
    </w:p>
    <w:p w14:paraId="0BA1B539" w14:textId="77777777" w:rsidR="00CB31D2" w:rsidRPr="00E4242C" w:rsidRDefault="00000000" w:rsidP="00E4242C">
      <w:pPr>
        <w:pStyle w:val="Akapitzlist"/>
        <w:numPr>
          <w:ilvl w:val="0"/>
          <w:numId w:val="4"/>
        </w:numPr>
        <w:spacing w:after="0" w:line="240" w:lineRule="auto"/>
        <w:rPr>
          <w:rFonts w:ascii="Lato" w:hAnsi="Lato" w:cstheme="minorHAnsi"/>
          <w:sz w:val="20"/>
          <w:szCs w:val="20"/>
        </w:rPr>
      </w:pPr>
      <w:r w:rsidRPr="00E4242C">
        <w:rPr>
          <w:rFonts w:ascii="Lato" w:hAnsi="Lato" w:cstheme="minorHAnsi"/>
          <w:sz w:val="20"/>
          <w:szCs w:val="20"/>
        </w:rPr>
        <w:lastRenderedPageBreak/>
        <w:t xml:space="preserve">przepisów odrębnych dotyczących ochrony przeciwpożarowej, określających w szczególności: </w:t>
      </w:r>
    </w:p>
    <w:p w14:paraId="55B1F165" w14:textId="77777777" w:rsidR="00CB31D2" w:rsidRPr="001F4DEB" w:rsidRDefault="00000000" w:rsidP="00E4242C">
      <w:pPr>
        <w:spacing w:after="0" w:line="240" w:lineRule="auto"/>
        <w:ind w:firstLine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a) zasady oceny zagrożenia wybuchem i wyznaczania stref zagrożenia wybuchem, </w:t>
      </w:r>
    </w:p>
    <w:p w14:paraId="2686978B" w14:textId="77777777" w:rsidR="00CB31D2" w:rsidRPr="001F4DEB" w:rsidRDefault="00000000" w:rsidP="00E4242C">
      <w:pPr>
        <w:spacing w:after="0" w:line="240" w:lineRule="auto"/>
        <w:ind w:left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b) warunki wyposażania budynków lub ich części w instalacje sygnalizacyjno-alarmowe i stałe urządzenia gaśnicze, </w:t>
      </w:r>
    </w:p>
    <w:p w14:paraId="14707FE6" w14:textId="77777777" w:rsidR="00CB31D2" w:rsidRPr="001F4DEB" w:rsidRDefault="00000000" w:rsidP="00E4242C">
      <w:pPr>
        <w:spacing w:after="0" w:line="240" w:lineRule="auto"/>
        <w:ind w:firstLine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c) zasady przeciwpożarowego zaopatrzenia wodnego, </w:t>
      </w:r>
    </w:p>
    <w:p w14:paraId="3AE74A36" w14:textId="77777777" w:rsidR="00CB31D2" w:rsidRPr="001F4DEB" w:rsidRDefault="00000000" w:rsidP="00E4242C">
      <w:pPr>
        <w:spacing w:after="0" w:line="240" w:lineRule="auto"/>
        <w:ind w:firstLine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d) wymagania dotyczące dróg pożarowych; </w:t>
      </w:r>
    </w:p>
    <w:p w14:paraId="5616C12C" w14:textId="77777777" w:rsidR="00CB31D2" w:rsidRPr="00E4242C" w:rsidRDefault="00000000" w:rsidP="00E4242C">
      <w:pPr>
        <w:pStyle w:val="Akapitzlist"/>
        <w:numPr>
          <w:ilvl w:val="0"/>
          <w:numId w:val="4"/>
        </w:numPr>
        <w:spacing w:after="0" w:line="240" w:lineRule="auto"/>
        <w:rPr>
          <w:rFonts w:ascii="Lato" w:hAnsi="Lato" w:cstheme="minorHAnsi"/>
          <w:sz w:val="20"/>
          <w:szCs w:val="20"/>
        </w:rPr>
      </w:pPr>
      <w:r w:rsidRPr="00E4242C">
        <w:rPr>
          <w:rFonts w:ascii="Lato" w:hAnsi="Lato" w:cstheme="minorHAnsi"/>
          <w:sz w:val="20"/>
          <w:szCs w:val="20"/>
        </w:rPr>
        <w:t xml:space="preserve">wymagań Polskich Norm i warunków określonych w załączniku nr 3 do rozporządzenia, dotyczących w szczególności zasad ustalania: </w:t>
      </w:r>
    </w:p>
    <w:p w14:paraId="41FDA0BB" w14:textId="77777777" w:rsidR="00CB31D2" w:rsidRPr="001F4DEB" w:rsidRDefault="00000000" w:rsidP="00E4242C">
      <w:pPr>
        <w:spacing w:after="0" w:line="240" w:lineRule="auto"/>
        <w:ind w:firstLine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a) gęstości obciążenia ogniowego pomieszczeń i stref pożarowych, </w:t>
      </w:r>
    </w:p>
    <w:p w14:paraId="3A0C076A" w14:textId="77777777" w:rsidR="00CB31D2" w:rsidRPr="001F4DEB" w:rsidRDefault="00000000" w:rsidP="00E4242C">
      <w:pPr>
        <w:spacing w:after="0" w:line="240" w:lineRule="auto"/>
        <w:ind w:left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b) klas odporności ogniowej i dymoszczelności elementów budynku oraz elementów stosowanych w instalacjach, w tym zamknięć otworów, </w:t>
      </w:r>
    </w:p>
    <w:p w14:paraId="7A855368" w14:textId="77777777" w:rsidR="00CB31D2" w:rsidRPr="001F4DEB" w:rsidRDefault="00000000" w:rsidP="00E4242C">
      <w:pPr>
        <w:spacing w:after="0" w:line="240" w:lineRule="auto"/>
        <w:ind w:firstLine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c) klas odporności dachów na ogień zewnętrzny, </w:t>
      </w:r>
    </w:p>
    <w:p w14:paraId="67DDBE2E" w14:textId="77777777" w:rsidR="00CB31D2" w:rsidRPr="001F4DEB" w:rsidRDefault="00000000" w:rsidP="00E4242C">
      <w:pPr>
        <w:spacing w:after="0" w:line="240" w:lineRule="auto"/>
        <w:ind w:firstLine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d) właściwości funkcjonalnych urządzeń służących do wentylacji pożarowej, </w:t>
      </w:r>
    </w:p>
    <w:p w14:paraId="40D5DF3A" w14:textId="77777777" w:rsidR="00CB31D2" w:rsidRPr="001F4DEB" w:rsidRDefault="00000000" w:rsidP="00E4242C">
      <w:pPr>
        <w:spacing w:after="0" w:line="240" w:lineRule="auto"/>
        <w:ind w:left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e) stopnia rozprzestrzeniania ognia przez ściany zewnętrzne od strony zewnętrznej, </w:t>
      </w:r>
    </w:p>
    <w:p w14:paraId="67E178DA" w14:textId="77777777" w:rsidR="00CB31D2" w:rsidRPr="001F4DEB" w:rsidRDefault="00000000" w:rsidP="00E4242C">
      <w:pPr>
        <w:spacing w:after="0" w:line="240" w:lineRule="auto"/>
        <w:ind w:firstLine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f) klas reakcji na ogień wyrobów (materiałów) budowlanych, </w:t>
      </w:r>
    </w:p>
    <w:p w14:paraId="4FE639A8" w14:textId="77777777" w:rsidR="00CB31D2" w:rsidRPr="001F4DEB" w:rsidRDefault="00000000" w:rsidP="001A7677">
      <w:pPr>
        <w:spacing w:after="240" w:line="240" w:lineRule="auto"/>
        <w:ind w:firstLine="720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>g) toksyczności produktów rozkładu spalania materiałów.</w:t>
      </w:r>
    </w:p>
    <w:p w14:paraId="4E3EC28A" w14:textId="77777777" w:rsidR="001F4DEB" w:rsidRPr="001F4DEB" w:rsidRDefault="00000000" w:rsidP="00E861EB">
      <w:pPr>
        <w:spacing w:after="0" w:line="240" w:lineRule="auto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 xml:space="preserve">Zgodnie z </w:t>
      </w:r>
      <w:r w:rsidRPr="001F4DEB">
        <w:rPr>
          <w:rFonts w:ascii="Lato" w:hAnsi="Lato" w:cstheme="minorHAnsi"/>
          <w:sz w:val="20"/>
          <w:szCs w:val="20"/>
        </w:rPr>
        <w:t xml:space="preserve">§ 207 </w:t>
      </w:r>
      <w:r>
        <w:rPr>
          <w:rFonts w:ascii="Lato" w:hAnsi="Lato" w:cstheme="minorHAnsi"/>
          <w:sz w:val="20"/>
          <w:szCs w:val="20"/>
        </w:rPr>
        <w:t>ust. 1 rozporządzenia Wt, b</w:t>
      </w:r>
      <w:r w:rsidRPr="001F4DEB">
        <w:rPr>
          <w:rFonts w:ascii="Lato" w:hAnsi="Lato" w:cstheme="minorHAnsi"/>
          <w:sz w:val="20"/>
          <w:szCs w:val="20"/>
        </w:rPr>
        <w:t>udynek i urządzenia z nim związane powinny być projektowane i wykonane w sposób ograniczający możliwość powstania pożaru, a w razie jego wystąpienia zapewniający:</w:t>
      </w:r>
    </w:p>
    <w:p w14:paraId="58BA002C" w14:textId="77777777" w:rsidR="001F4DEB" w:rsidRPr="001F4DEB" w:rsidRDefault="00000000" w:rsidP="00E861EB">
      <w:pPr>
        <w:spacing w:after="0"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>1) zachowanie nośności konstrukcji przez określony czas;</w:t>
      </w:r>
    </w:p>
    <w:p w14:paraId="72A5823B" w14:textId="77777777" w:rsidR="001F4DEB" w:rsidRPr="001F4DEB" w:rsidRDefault="00000000" w:rsidP="00E861EB">
      <w:pPr>
        <w:spacing w:after="0"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>2) ograniczenie rozprzestrzeniania się ognia i dymu wewnątrz budynku;</w:t>
      </w:r>
    </w:p>
    <w:p w14:paraId="52820100" w14:textId="77777777" w:rsidR="001F4DEB" w:rsidRPr="001F4DEB" w:rsidRDefault="00000000" w:rsidP="00E861EB">
      <w:pPr>
        <w:spacing w:after="0"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>3) ograniczenie rozprzestrzeniania się pożaru na sąsiednie obiekty budowlane lub tereny przyległe;</w:t>
      </w:r>
    </w:p>
    <w:p w14:paraId="606D48AC" w14:textId="77777777" w:rsidR="001F4DEB" w:rsidRPr="001F4DEB" w:rsidRDefault="00000000" w:rsidP="00E861EB">
      <w:pPr>
        <w:spacing w:after="0"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>4) możliwość ewakuacji ludzi lub ich uratowania w inny sposób;</w:t>
      </w:r>
    </w:p>
    <w:p w14:paraId="5B89C8FF" w14:textId="77777777" w:rsidR="001F4DEB" w:rsidRPr="001F4DEB" w:rsidRDefault="00000000" w:rsidP="00E861EB">
      <w:pPr>
        <w:spacing w:after="0"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>5) uwzględnienie bezpieczeństwa ekip ratowniczych.</w:t>
      </w:r>
    </w:p>
    <w:p w14:paraId="4FF0C8A9" w14:textId="77777777" w:rsidR="001F4DEB" w:rsidRPr="001F4DEB" w:rsidRDefault="00000000" w:rsidP="00EE5A98">
      <w:pPr>
        <w:spacing w:before="240" w:after="240"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Wobec powyższego zasadnym wydaje się stwierdzenie, iż </w:t>
      </w:r>
      <w:r>
        <w:rPr>
          <w:rFonts w:ascii="Lato" w:hAnsi="Lato" w:cstheme="minorHAnsi"/>
          <w:sz w:val="20"/>
          <w:szCs w:val="20"/>
        </w:rPr>
        <w:t>wymagania</w:t>
      </w:r>
      <w:r w:rsidRPr="001F4DEB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t xml:space="preserve">dotyczące bezpieczeństwa pożarowego w budynkach, znajdujące się we właściwości Ministra Rozwoju i Technologii, </w:t>
      </w:r>
      <w:r w:rsidRPr="001F4DEB">
        <w:rPr>
          <w:rFonts w:ascii="Lato" w:hAnsi="Lato" w:cstheme="minorHAnsi"/>
          <w:sz w:val="20"/>
          <w:szCs w:val="20"/>
        </w:rPr>
        <w:t>zostały już uregulowane w przepisach powszechnie obowiązujących.</w:t>
      </w:r>
    </w:p>
    <w:p w14:paraId="634ED60E" w14:textId="77777777" w:rsidR="001F4DEB" w:rsidRPr="004F11D6" w:rsidRDefault="00000000" w:rsidP="00EE5A98">
      <w:pPr>
        <w:spacing w:before="240" w:after="240"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 xml:space="preserve">Niezależnie od powyższego, uprzejmie informuję, iż  kwestie dotyczące umieszczania </w:t>
      </w:r>
      <w:r w:rsidRPr="004F11D6">
        <w:rPr>
          <w:rFonts w:ascii="Lato" w:hAnsi="Lato" w:cstheme="minorHAnsi"/>
          <w:sz w:val="20"/>
          <w:szCs w:val="20"/>
        </w:rPr>
        <w:t xml:space="preserve">gaśnic w budynkach czy też wymagania dla wewnętrznej instalacji hydrantowej znajdują się poza zakresem właściwości MRiT. Niemniej regulacje w tym zakresie można znaleźć w  ustawie </w:t>
      </w:r>
      <w:r w:rsidRPr="004F11D6">
        <w:rPr>
          <w:rFonts w:ascii="Lato" w:hAnsi="Lato"/>
          <w:sz w:val="20"/>
          <w:szCs w:val="20"/>
        </w:rPr>
        <w:t xml:space="preserve">z dnia 24 sierpnia 1991 r. </w:t>
      </w:r>
      <w:r w:rsidRPr="004F11D6">
        <w:rPr>
          <w:rFonts w:ascii="Lato" w:hAnsi="Lato" w:cstheme="minorHAnsi"/>
          <w:sz w:val="20"/>
          <w:szCs w:val="20"/>
        </w:rPr>
        <w:t xml:space="preserve">o ochronie przeciwpożarowej </w:t>
      </w:r>
      <w:r w:rsidRPr="004F11D6">
        <w:rPr>
          <w:rFonts w:ascii="Lato" w:hAnsi="Lato"/>
          <w:sz w:val="20"/>
          <w:szCs w:val="20"/>
        </w:rPr>
        <w:t>(Dz.U. z 2022 r. poz. 2057)</w:t>
      </w:r>
      <w:r w:rsidRPr="004F11D6">
        <w:rPr>
          <w:rFonts w:ascii="Lato" w:hAnsi="Lato" w:cstheme="minorHAnsi"/>
          <w:sz w:val="20"/>
          <w:szCs w:val="20"/>
        </w:rPr>
        <w:t xml:space="preserve">, </w:t>
      </w:r>
      <w:r>
        <w:rPr>
          <w:rFonts w:ascii="Lato" w:hAnsi="Lato" w:cstheme="minorHAnsi"/>
          <w:sz w:val="20"/>
          <w:szCs w:val="20"/>
        </w:rPr>
        <w:t>r</w:t>
      </w:r>
      <w:r w:rsidRPr="004F11D6">
        <w:rPr>
          <w:rFonts w:ascii="Lato" w:hAnsi="Lato" w:cstheme="minorHAnsi"/>
          <w:sz w:val="20"/>
          <w:szCs w:val="20"/>
        </w:rPr>
        <w:t xml:space="preserve">ozporządzeniu Ministra Spraw Wewnętrznych i Administracji </w:t>
      </w:r>
      <w:r w:rsidRPr="004F11D6">
        <w:rPr>
          <w:rFonts w:ascii="Lato" w:hAnsi="Lato"/>
          <w:sz w:val="20"/>
          <w:szCs w:val="20"/>
        </w:rPr>
        <w:t xml:space="preserve">z dnia 7 czerwca 2010 r. </w:t>
      </w:r>
      <w:r w:rsidRPr="004F11D6">
        <w:rPr>
          <w:rFonts w:ascii="Lato" w:hAnsi="Lato" w:cstheme="minorHAnsi"/>
          <w:sz w:val="20"/>
          <w:szCs w:val="20"/>
        </w:rPr>
        <w:t xml:space="preserve">w sprawie ochrony przeciwpożarowej budynków, innych obiektów budowlanych i terenów </w:t>
      </w:r>
      <w:r w:rsidRPr="004F11D6">
        <w:rPr>
          <w:rFonts w:ascii="Lato" w:hAnsi="Lato"/>
          <w:sz w:val="20"/>
          <w:szCs w:val="20"/>
        </w:rPr>
        <w:t>(Dz.U. Nr 109, poz. 719)</w:t>
      </w:r>
      <w:r w:rsidRPr="004F11D6">
        <w:rPr>
          <w:rFonts w:ascii="Lato" w:hAnsi="Lato" w:cstheme="minorHAnsi"/>
          <w:sz w:val="20"/>
          <w:szCs w:val="20"/>
        </w:rPr>
        <w:t xml:space="preserve"> oraz </w:t>
      </w:r>
      <w:r>
        <w:rPr>
          <w:rFonts w:ascii="Lato" w:hAnsi="Lato" w:cstheme="minorHAnsi"/>
          <w:sz w:val="20"/>
          <w:szCs w:val="20"/>
        </w:rPr>
        <w:t>r</w:t>
      </w:r>
      <w:r w:rsidRPr="004F11D6">
        <w:rPr>
          <w:rFonts w:ascii="Lato" w:hAnsi="Lato" w:cstheme="minorHAnsi"/>
          <w:sz w:val="20"/>
          <w:szCs w:val="20"/>
        </w:rPr>
        <w:t xml:space="preserve">ozporządzeniu Ministra Spraw Wewnętrznych i Administracji </w:t>
      </w:r>
      <w:r w:rsidRPr="004F11D6">
        <w:rPr>
          <w:rFonts w:ascii="Lato" w:hAnsi="Lato"/>
          <w:sz w:val="20"/>
          <w:szCs w:val="20"/>
        </w:rPr>
        <w:t xml:space="preserve">z dnia 24 lipca 2009 r. </w:t>
      </w:r>
      <w:r w:rsidRPr="004F11D6">
        <w:rPr>
          <w:rFonts w:ascii="Lato" w:hAnsi="Lato" w:cstheme="minorHAnsi"/>
          <w:sz w:val="20"/>
          <w:szCs w:val="20"/>
        </w:rPr>
        <w:t xml:space="preserve">w sprawie przeciwpożarowego zaopatrzenia w wodę oraz dróg pożarowych </w:t>
      </w:r>
      <w:r w:rsidRPr="004F11D6">
        <w:rPr>
          <w:rFonts w:ascii="Lato" w:hAnsi="Lato"/>
          <w:sz w:val="20"/>
          <w:szCs w:val="20"/>
        </w:rPr>
        <w:t>(Dz.U. Nr 124, poz. 1030)</w:t>
      </w:r>
      <w:r w:rsidRPr="004F11D6">
        <w:rPr>
          <w:rFonts w:ascii="Lato" w:hAnsi="Lato" w:cstheme="minorHAnsi"/>
          <w:sz w:val="20"/>
          <w:szCs w:val="20"/>
        </w:rPr>
        <w:t xml:space="preserve">. Dlatego też w przedmiotowej kwestii powinien wypowiedzieć się Minister Spraw Wewnętrznych i Administracji, właściwy w zakresie ww. aktów prawnych, do którego KPRM również przekazał przedmiotowe wystąpienie. </w:t>
      </w:r>
    </w:p>
    <w:p w14:paraId="6276CF0B" w14:textId="77777777" w:rsidR="00D234EA" w:rsidRPr="001F4DEB" w:rsidRDefault="00000000" w:rsidP="00EE5A98">
      <w:pPr>
        <w:spacing w:before="240" w:after="240" w:line="240" w:lineRule="auto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Jednocześnie informuję, iż k</w:t>
      </w:r>
      <w:r w:rsidRPr="001F4DEB">
        <w:rPr>
          <w:rFonts w:ascii="Lato" w:hAnsi="Lato" w:cstheme="minorHAnsi"/>
          <w:sz w:val="20"/>
          <w:szCs w:val="20"/>
        </w:rPr>
        <w:t xml:space="preserve">westie dotyczące </w:t>
      </w:r>
      <w:r>
        <w:rPr>
          <w:rFonts w:ascii="Lato" w:hAnsi="Lato" w:cstheme="minorHAnsi"/>
          <w:sz w:val="20"/>
          <w:szCs w:val="20"/>
        </w:rPr>
        <w:t xml:space="preserve">pierwszej pomocy przedmedycznej oraz </w:t>
      </w:r>
      <w:r w:rsidRPr="001F4DEB">
        <w:rPr>
          <w:rFonts w:ascii="Lato" w:hAnsi="Lato" w:cstheme="minorHAnsi"/>
          <w:sz w:val="20"/>
          <w:szCs w:val="20"/>
        </w:rPr>
        <w:t xml:space="preserve">szkolenia </w:t>
      </w:r>
      <w:r>
        <w:rPr>
          <w:rFonts w:ascii="Lato" w:hAnsi="Lato" w:cstheme="minorHAnsi"/>
          <w:sz w:val="20"/>
          <w:szCs w:val="20"/>
        </w:rPr>
        <w:t>w tym zakresie, znajdują się we właściwości Ministerstwa Zdrowia. Wobec czego niniejsze wystąpienie zostało również przekazane do Ministerstwa Zdrowia celem przeanalizowania przedmiotowej kwestii.</w:t>
      </w:r>
    </w:p>
    <w:p w14:paraId="02F1D1C9" w14:textId="77777777" w:rsidR="009B6EF9" w:rsidRPr="001F4DEB" w:rsidRDefault="00000000" w:rsidP="00EE5A98">
      <w:pPr>
        <w:spacing w:before="240" w:after="240" w:line="240" w:lineRule="auto"/>
        <w:rPr>
          <w:rFonts w:ascii="Lato" w:hAnsi="Lato" w:cstheme="minorHAnsi"/>
          <w:b/>
          <w:bCs/>
          <w:sz w:val="20"/>
          <w:szCs w:val="20"/>
        </w:rPr>
      </w:pPr>
      <w:r w:rsidRPr="001F4DEB">
        <w:rPr>
          <w:rFonts w:ascii="Lato" w:hAnsi="Lato" w:cstheme="minorHAnsi"/>
          <w:b/>
          <w:bCs/>
          <w:sz w:val="20"/>
          <w:szCs w:val="20"/>
        </w:rPr>
        <w:lastRenderedPageBreak/>
        <w:t>Pouczenie</w:t>
      </w:r>
      <w:r w:rsidRPr="001F4DEB">
        <w:rPr>
          <w:rFonts w:ascii="Lato" w:hAnsi="Lato" w:cstheme="minorHAnsi"/>
          <w:sz w:val="20"/>
          <w:szCs w:val="20"/>
        </w:rPr>
        <w:br/>
        <w:t>Zgodnie z art. 13 ust. 2 ustawy o petycjach, sposób załatwienia petycji nie może być przedmiotem</w:t>
      </w:r>
      <w:r>
        <w:rPr>
          <w:rFonts w:ascii="Lato" w:hAnsi="Lato" w:cstheme="minorHAnsi"/>
          <w:sz w:val="20"/>
          <w:szCs w:val="20"/>
        </w:rPr>
        <w:t xml:space="preserve"> </w:t>
      </w:r>
      <w:r w:rsidRPr="001F4DEB">
        <w:rPr>
          <w:rFonts w:ascii="Lato" w:hAnsi="Lato" w:cstheme="minorHAnsi"/>
          <w:sz w:val="20"/>
          <w:szCs w:val="20"/>
        </w:rPr>
        <w:t>skargi.</w:t>
      </w:r>
    </w:p>
    <w:p w14:paraId="1209B801" w14:textId="77777777" w:rsidR="00EB4EA7" w:rsidRPr="00565D32" w:rsidRDefault="00000000" w:rsidP="00C53987">
      <w:pPr>
        <w:spacing w:after="120" w:line="240" w:lineRule="exact"/>
        <w:rPr>
          <w:rFonts w:ascii="Lato" w:hAnsi="Lato"/>
          <w:sz w:val="20"/>
        </w:rPr>
      </w:pPr>
    </w:p>
    <w:p w14:paraId="19E4C9BF" w14:textId="77777777" w:rsidR="00EB4EA7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z </w:t>
      </w:r>
      <w:r w:rsidRPr="0093525C">
        <w:rPr>
          <w:rFonts w:ascii="Lato" w:hAnsi="Lato"/>
          <w:b/>
          <w:bCs/>
          <w:sz w:val="20"/>
        </w:rPr>
        <w:t>wyrazami szacunku</w:t>
      </w:r>
    </w:p>
    <w:p w14:paraId="791C6486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2" w:name="ezdPracownikNazwa"/>
      <w:r w:rsidRPr="00565D32">
        <w:rPr>
          <w:rFonts w:ascii="Lato" w:hAnsi="Lato"/>
          <w:sz w:val="20"/>
        </w:rPr>
        <w:t>Małgorzata Getlich</w:t>
      </w:r>
      <w:bookmarkEnd w:id="2"/>
    </w:p>
    <w:p w14:paraId="5149551A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3" w:name="ezdPracownikStanowisko"/>
      <w:r w:rsidRPr="00565D32">
        <w:rPr>
          <w:rFonts w:ascii="Lato" w:hAnsi="Lato"/>
          <w:sz w:val="20"/>
        </w:rPr>
        <w:t>zastępca dyrektora departamentu</w:t>
      </w:r>
      <w:bookmarkEnd w:id="3"/>
    </w:p>
    <w:p w14:paraId="055299FF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4" w:name="ezdPracownikAtrybut3"/>
      <w:r w:rsidRPr="00565D32">
        <w:rPr>
          <w:rFonts w:ascii="Lato" w:hAnsi="Lato"/>
          <w:sz w:val="20"/>
        </w:rPr>
        <w:t>/ kwalifikowany podpis elektroniczny /</w:t>
      </w:r>
      <w:bookmarkEnd w:id="4"/>
    </w:p>
    <w:p w14:paraId="4CEA6D0E" w14:textId="77777777" w:rsidR="00D234EA" w:rsidRDefault="00000000" w:rsidP="001F4DEB">
      <w:pPr>
        <w:spacing w:line="360" w:lineRule="auto"/>
        <w:rPr>
          <w:rFonts w:ascii="Lato" w:hAnsi="Lato" w:cstheme="minorHAnsi"/>
          <w:sz w:val="20"/>
          <w:szCs w:val="20"/>
        </w:rPr>
      </w:pPr>
    </w:p>
    <w:p w14:paraId="58668C60" w14:textId="77777777" w:rsidR="002D2459" w:rsidRPr="002D2459" w:rsidRDefault="00000000" w:rsidP="001F4DEB">
      <w:pPr>
        <w:spacing w:line="360" w:lineRule="auto"/>
        <w:rPr>
          <w:rFonts w:ascii="Lato" w:hAnsi="Lato" w:cstheme="minorHAnsi"/>
          <w:b/>
          <w:bCs/>
          <w:sz w:val="20"/>
          <w:szCs w:val="20"/>
        </w:rPr>
      </w:pPr>
      <w:r w:rsidRPr="002D2459">
        <w:rPr>
          <w:rFonts w:ascii="Lato" w:hAnsi="Lato" w:cstheme="minorHAnsi"/>
          <w:b/>
          <w:bCs/>
          <w:sz w:val="20"/>
          <w:szCs w:val="20"/>
        </w:rPr>
        <w:t>Do wiadomości:</w:t>
      </w:r>
    </w:p>
    <w:p w14:paraId="712413FE" w14:textId="77777777" w:rsidR="002D2459" w:rsidRPr="002D2459" w:rsidRDefault="00000000" w:rsidP="002D2459">
      <w:pPr>
        <w:pStyle w:val="Akapitzlist"/>
        <w:numPr>
          <w:ilvl w:val="0"/>
          <w:numId w:val="7"/>
        </w:numPr>
        <w:spacing w:line="360" w:lineRule="auto"/>
      </w:pPr>
      <w:r>
        <w:rPr>
          <w:rFonts w:ascii="Lato" w:hAnsi="Lato" w:cstheme="minorHAnsi"/>
          <w:sz w:val="20"/>
          <w:szCs w:val="20"/>
        </w:rPr>
        <w:t>Ministerstwo Spraw Wewnętrznych i Administracji</w:t>
      </w:r>
    </w:p>
    <w:p w14:paraId="101FDE4E" w14:textId="77777777" w:rsidR="002D2459" w:rsidRDefault="00000000" w:rsidP="00EE5A98">
      <w:pPr>
        <w:spacing w:line="240" w:lineRule="auto"/>
        <w:rPr>
          <w:rFonts w:ascii="Lato" w:hAnsi="Lato" w:cstheme="minorHAnsi"/>
          <w:sz w:val="20"/>
          <w:szCs w:val="20"/>
        </w:rPr>
      </w:pPr>
    </w:p>
    <w:p w14:paraId="31A00086" w14:textId="77777777" w:rsidR="001F4DEB" w:rsidRDefault="00000000" w:rsidP="00EE5A98">
      <w:pPr>
        <w:spacing w:line="240" w:lineRule="auto"/>
        <w:rPr>
          <w:rFonts w:ascii="Lato" w:hAnsi="Lato" w:cstheme="minorHAnsi"/>
          <w:sz w:val="20"/>
          <w:szCs w:val="20"/>
        </w:rPr>
      </w:pPr>
      <w:r w:rsidRPr="001F4DEB">
        <w:rPr>
          <w:rFonts w:ascii="Lato" w:hAnsi="Lato" w:cstheme="minorHAnsi"/>
          <w:sz w:val="20"/>
          <w:szCs w:val="20"/>
        </w:rPr>
        <w:t>Sekretariat DAB</w:t>
      </w:r>
      <w:r w:rsidRPr="001F4DEB">
        <w:rPr>
          <w:rFonts w:ascii="Lato" w:hAnsi="Lato" w:cstheme="minorHAnsi"/>
          <w:sz w:val="18"/>
          <w:szCs w:val="18"/>
        </w:rPr>
        <w:br/>
      </w:r>
      <w:r w:rsidRPr="001F4DEB">
        <w:rPr>
          <w:rFonts w:ascii="Lato" w:hAnsi="Lato" w:cstheme="minorHAnsi"/>
          <w:sz w:val="20"/>
          <w:szCs w:val="20"/>
        </w:rPr>
        <w:t>E-mail: sekretariatDAB@mrit.gov.pl</w:t>
      </w:r>
      <w:r w:rsidRPr="001F4DEB">
        <w:rPr>
          <w:rFonts w:ascii="Lato" w:hAnsi="Lato" w:cstheme="minorHAnsi"/>
          <w:sz w:val="18"/>
          <w:szCs w:val="18"/>
        </w:rPr>
        <w:br/>
      </w:r>
      <w:r w:rsidRPr="001F4DEB">
        <w:rPr>
          <w:rFonts w:ascii="Lato" w:hAnsi="Lato" w:cstheme="minorHAnsi"/>
          <w:sz w:val="20"/>
          <w:szCs w:val="20"/>
        </w:rPr>
        <w:t>Telefon: 22 323 40 01</w:t>
      </w:r>
    </w:p>
    <w:p w14:paraId="6240D245" w14:textId="77777777" w:rsidR="007177DE" w:rsidRDefault="00000000" w:rsidP="00EE5A98">
      <w:pPr>
        <w:spacing w:line="240" w:lineRule="auto"/>
        <w:rPr>
          <w:rFonts w:ascii="Lato" w:hAnsi="Lato" w:cstheme="minorHAnsi"/>
          <w:sz w:val="20"/>
          <w:szCs w:val="20"/>
        </w:rPr>
      </w:pPr>
    </w:p>
    <w:p w14:paraId="6BCF86BE" w14:textId="77777777" w:rsidR="007177DE" w:rsidRPr="007177DE" w:rsidRDefault="00000000" w:rsidP="00EE5A98">
      <w:pPr>
        <w:spacing w:line="240" w:lineRule="auto"/>
        <w:rPr>
          <w:rFonts w:ascii="Lato" w:hAnsi="Lato" w:cstheme="minorHAnsi"/>
          <w:b/>
          <w:bCs/>
          <w:sz w:val="20"/>
          <w:szCs w:val="20"/>
        </w:rPr>
      </w:pPr>
      <w:r w:rsidRPr="007177DE">
        <w:rPr>
          <w:rFonts w:ascii="Lato" w:hAnsi="Lato" w:cstheme="minorHAnsi"/>
          <w:b/>
          <w:bCs/>
          <w:sz w:val="20"/>
          <w:szCs w:val="20"/>
        </w:rPr>
        <w:t>Informacja o przetwarzaniu danych osobowych</w:t>
      </w:r>
    </w:p>
    <w:p w14:paraId="13711386" w14:textId="77777777" w:rsidR="00D94AEF" w:rsidRPr="00D94AEF" w:rsidRDefault="00000000" w:rsidP="00D94AEF">
      <w:pPr>
        <w:spacing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Zgodnie z art. 14 Rozporządzenia Parlamentu Europejskiego i Rady (UE) 2016/679 z dnia 27 kwietnia 2016 r. w sprawie ochrony osób fizycznych w związku z przetwarzaniem danych osobowych i w sprawie swobodnego przepływu takich danych oraz uchylenia dyrektywy 95/46/WE (Dz. U. L 119 z 4 maja 2016 z późn. zm.), zwanego dalej „RODO”, informuję, że:</w:t>
      </w:r>
    </w:p>
    <w:p w14:paraId="7406AFC1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Administratorem Pani/Pana danych osobowych jest Minister Rozwoju i Technologii z siedzibą w Warszawie, przy Placu Trzech Krzyży 3/5, 00-507 Warszawa, kancelaria@mrit.pl, tel. +48 222 500 123, adres skrytki na ePUAP: /MRPIT/SkrytkaESP, natomiast wykonującym obowiązki administratora jest Dyrektor Departamentu Architektury, Budownictwa i Geodezji.</w:t>
      </w:r>
    </w:p>
    <w:p w14:paraId="3F91622B" w14:textId="77777777" w:rsidR="00D94AEF" w:rsidRPr="00D94AEF" w:rsidRDefault="00000000" w:rsidP="00D94AEF">
      <w:pPr>
        <w:pStyle w:val="Akapitzlist"/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Dane kontaktowe do Inspektora Ochrony Danych: Inspektor Ochrony Danych, Ministerstwo Rozwoju, Pracy i Technologii, Plac Trzech Krzyży 3/5, 00-507 Warszawa, adres e-mail: iod@mrit.gov.pl.</w:t>
      </w:r>
    </w:p>
    <w:p w14:paraId="476FEA8E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ind w:left="714" w:hanging="357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Pani/Pana dane osobowe pochodzą z pisma przekazanego przez Kancelarię Prezesa Rady Ministrów.</w:t>
      </w:r>
    </w:p>
    <w:p w14:paraId="2B8628BF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Pani/Pana dane osobowe będą przetwarzane w oparciu o art. 6 ust. 1 lit. c) RODO tj. na podstawie obowiązku prawnego ciążącego na administratorze, na podstawie przepisów ustawy z dnia 11 lipca 2014 r. o petycjach (Dz. U. z 2018 r., poz. 870), w celu rozpatrzenia petycji.</w:t>
      </w:r>
    </w:p>
    <w:p w14:paraId="54D5F516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Pani/Pana dane osobowe mogą być udostępniane podmiotom do tego uprawnionym na podstawie odrębnych przepisów.</w:t>
      </w:r>
    </w:p>
    <w:p w14:paraId="2F2834B2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Pani/Pana dane osobowe będą przechowywane przez okres niezbędny do realizacji celów przetwarzania, nie krócej niż okres wskazany w przepisach o archiwizacji.</w:t>
      </w:r>
    </w:p>
    <w:p w14:paraId="347A5320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lastRenderedPageBreak/>
        <w:t>Pani/Pana dane osobowe nie będą podlegać zautomatyzowanemu podejmowaniu decyzji lub profilowaniu.</w:t>
      </w:r>
    </w:p>
    <w:p w14:paraId="53D3D0E2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Pani/Pana dane osobowe nie będą przekazywane do państwa trzeciego ani do organizacji międzynarodowych.</w:t>
      </w:r>
    </w:p>
    <w:p w14:paraId="00015B47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Podanie danych jest dobrowolne, ale niezbędne do rozpatrzenia petycji.</w:t>
      </w:r>
    </w:p>
    <w:p w14:paraId="4F1758DB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Przysługuje Pani/Panu prawo dostępu do treści swoich danych oraz ich sprostowania.</w:t>
      </w:r>
    </w:p>
    <w:p w14:paraId="4DB8ADE3" w14:textId="77777777" w:rsidR="00D94AEF" w:rsidRPr="00D94AEF" w:rsidRDefault="00000000" w:rsidP="00D94AEF">
      <w:pPr>
        <w:numPr>
          <w:ilvl w:val="0"/>
          <w:numId w:val="5"/>
        </w:numPr>
        <w:spacing w:after="0" w:line="240" w:lineRule="auto"/>
        <w:rPr>
          <w:rFonts w:ascii="Lato" w:hAnsi="Lato" w:cs="Arial"/>
          <w:sz w:val="20"/>
          <w:szCs w:val="20"/>
          <w:lang w:eastAsia="en-GB"/>
        </w:rPr>
      </w:pPr>
      <w:r w:rsidRPr="00D94AEF">
        <w:rPr>
          <w:rFonts w:ascii="Lato" w:hAnsi="Lato" w:cs="Arial"/>
          <w:sz w:val="20"/>
          <w:szCs w:val="20"/>
          <w:lang w:eastAsia="en-GB"/>
        </w:rPr>
        <w:t>Przysługuje Pani/Panu również prawo do złożenia skargi w związku z przetwarzaniem ww. danych do Prezesa Urzędu Ochrony Danych Osobowych, na adres: 00-193 Warszawa, ul. Stawki 2.</w:t>
      </w:r>
    </w:p>
    <w:p w14:paraId="40F3CD7C" w14:textId="77777777" w:rsidR="00D94AEF" w:rsidRPr="001F4DEB" w:rsidRDefault="00000000" w:rsidP="00EE5A98">
      <w:pPr>
        <w:spacing w:line="240" w:lineRule="auto"/>
        <w:rPr>
          <w:rFonts w:ascii="Lato" w:hAnsi="Lato" w:cstheme="minorHAnsi"/>
          <w:sz w:val="20"/>
          <w:szCs w:val="20"/>
        </w:rPr>
      </w:pPr>
    </w:p>
    <w:p w14:paraId="641ED6BA" w14:textId="77777777" w:rsidR="001F4DEB" w:rsidRPr="00565D32" w:rsidRDefault="00000000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1F4DEB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58B75" w14:textId="77777777" w:rsidR="00166AAF" w:rsidRDefault="00166AAF">
      <w:pPr>
        <w:spacing w:after="0" w:line="240" w:lineRule="auto"/>
      </w:pPr>
      <w:r>
        <w:separator/>
      </w:r>
    </w:p>
  </w:endnote>
  <w:endnote w:type="continuationSeparator" w:id="0">
    <w:p w14:paraId="084A8ACD" w14:textId="77777777" w:rsidR="00166AAF" w:rsidRDefault="00166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0B0C85-787F-4F4E-981D-775782B86255}"/>
    <w:embedBold r:id="rId2" w:fontKey="{31C1C5EF-76D8-453C-8A0F-D67630D5D80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036A000-C409-471B-AA3D-E859F2ECB895}"/>
    <w:embedBold r:id="rId4" w:fontKey="{568D3243-D555-41E2-89F7-14031A378C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C40F1E5-0498-4E93-8BBA-00AD6E908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0281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0EFB3C" wp14:editId="0AC9205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565F19E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2F323D3" w14:textId="77777777" w:rsidR="003A197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5C40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E22A56" wp14:editId="1F7EDE5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CCEDA04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68EB254" w14:textId="77777777" w:rsidR="00947F4D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A1A11" w14:textId="77777777" w:rsidR="00166AAF" w:rsidRDefault="00166AAF">
      <w:pPr>
        <w:spacing w:after="0" w:line="240" w:lineRule="auto"/>
      </w:pPr>
      <w:r>
        <w:separator/>
      </w:r>
    </w:p>
  </w:footnote>
  <w:footnote w:type="continuationSeparator" w:id="0">
    <w:p w14:paraId="2B64659A" w14:textId="77777777" w:rsidR="00166AAF" w:rsidRDefault="00166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76DA6" w14:textId="77777777" w:rsidR="009276B2" w:rsidRDefault="0000000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98307" w14:textId="77777777" w:rsidR="00947F4D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0EA6087" wp14:editId="1A85FA5B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7FE"/>
    <w:multiLevelType w:val="multilevel"/>
    <w:tmpl w:val="2E8E8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527A62"/>
    <w:multiLevelType w:val="multilevel"/>
    <w:tmpl w:val="97E80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733B51"/>
    <w:multiLevelType w:val="hybridMultilevel"/>
    <w:tmpl w:val="4462F3E4"/>
    <w:lvl w:ilvl="0" w:tplc="FDFE9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56AD4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0D6C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4817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EB4849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2E42E2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D56DF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ED452B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7FED5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6220F5E"/>
    <w:multiLevelType w:val="hybridMultilevel"/>
    <w:tmpl w:val="54640F68"/>
    <w:lvl w:ilvl="0" w:tplc="D71E33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82A0A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62CF27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86852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61AD7D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E76469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8CA29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62E05B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B2ABD1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59238F8"/>
    <w:multiLevelType w:val="hybridMultilevel"/>
    <w:tmpl w:val="62E44F36"/>
    <w:lvl w:ilvl="0" w:tplc="1C44B5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ABC33AC" w:tentative="1">
      <w:start w:val="1"/>
      <w:numFmt w:val="lowerLetter"/>
      <w:lvlText w:val="%2."/>
      <w:lvlJc w:val="left"/>
      <w:pPr>
        <w:ind w:left="1440" w:hanging="360"/>
      </w:pPr>
    </w:lvl>
    <w:lvl w:ilvl="2" w:tplc="B58E9180" w:tentative="1">
      <w:start w:val="1"/>
      <w:numFmt w:val="lowerRoman"/>
      <w:lvlText w:val="%3."/>
      <w:lvlJc w:val="right"/>
      <w:pPr>
        <w:ind w:left="2160" w:hanging="180"/>
      </w:pPr>
    </w:lvl>
    <w:lvl w:ilvl="3" w:tplc="4426BC8A" w:tentative="1">
      <w:start w:val="1"/>
      <w:numFmt w:val="decimal"/>
      <w:lvlText w:val="%4."/>
      <w:lvlJc w:val="left"/>
      <w:pPr>
        <w:ind w:left="2880" w:hanging="360"/>
      </w:pPr>
    </w:lvl>
    <w:lvl w:ilvl="4" w:tplc="6EAE8A28" w:tentative="1">
      <w:start w:val="1"/>
      <w:numFmt w:val="lowerLetter"/>
      <w:lvlText w:val="%5."/>
      <w:lvlJc w:val="left"/>
      <w:pPr>
        <w:ind w:left="3600" w:hanging="360"/>
      </w:pPr>
    </w:lvl>
    <w:lvl w:ilvl="5" w:tplc="9D7C1FA0" w:tentative="1">
      <w:start w:val="1"/>
      <w:numFmt w:val="lowerRoman"/>
      <w:lvlText w:val="%6."/>
      <w:lvlJc w:val="right"/>
      <w:pPr>
        <w:ind w:left="4320" w:hanging="180"/>
      </w:pPr>
    </w:lvl>
    <w:lvl w:ilvl="6" w:tplc="98B24EDE" w:tentative="1">
      <w:start w:val="1"/>
      <w:numFmt w:val="decimal"/>
      <w:lvlText w:val="%7."/>
      <w:lvlJc w:val="left"/>
      <w:pPr>
        <w:ind w:left="5040" w:hanging="360"/>
      </w:pPr>
    </w:lvl>
    <w:lvl w:ilvl="7" w:tplc="1908BD38" w:tentative="1">
      <w:start w:val="1"/>
      <w:numFmt w:val="lowerLetter"/>
      <w:lvlText w:val="%8."/>
      <w:lvlJc w:val="left"/>
      <w:pPr>
        <w:ind w:left="5760" w:hanging="360"/>
      </w:pPr>
    </w:lvl>
    <w:lvl w:ilvl="8" w:tplc="AF64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1E1E9B"/>
    <w:multiLevelType w:val="hybridMultilevel"/>
    <w:tmpl w:val="957C204C"/>
    <w:lvl w:ilvl="0" w:tplc="777683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98A22F4" w:tentative="1">
      <w:start w:val="1"/>
      <w:numFmt w:val="lowerLetter"/>
      <w:lvlText w:val="%2."/>
      <w:lvlJc w:val="left"/>
      <w:pPr>
        <w:ind w:left="1440" w:hanging="360"/>
      </w:pPr>
    </w:lvl>
    <w:lvl w:ilvl="2" w:tplc="77AA1062" w:tentative="1">
      <w:start w:val="1"/>
      <w:numFmt w:val="lowerRoman"/>
      <w:lvlText w:val="%3."/>
      <w:lvlJc w:val="right"/>
      <w:pPr>
        <w:ind w:left="2160" w:hanging="180"/>
      </w:pPr>
    </w:lvl>
    <w:lvl w:ilvl="3" w:tplc="F68274EE" w:tentative="1">
      <w:start w:val="1"/>
      <w:numFmt w:val="decimal"/>
      <w:lvlText w:val="%4."/>
      <w:lvlJc w:val="left"/>
      <w:pPr>
        <w:ind w:left="2880" w:hanging="360"/>
      </w:pPr>
    </w:lvl>
    <w:lvl w:ilvl="4" w:tplc="737E4C10" w:tentative="1">
      <w:start w:val="1"/>
      <w:numFmt w:val="lowerLetter"/>
      <w:lvlText w:val="%5."/>
      <w:lvlJc w:val="left"/>
      <w:pPr>
        <w:ind w:left="3600" w:hanging="360"/>
      </w:pPr>
    </w:lvl>
    <w:lvl w:ilvl="5" w:tplc="7160140A" w:tentative="1">
      <w:start w:val="1"/>
      <w:numFmt w:val="lowerRoman"/>
      <w:lvlText w:val="%6."/>
      <w:lvlJc w:val="right"/>
      <w:pPr>
        <w:ind w:left="4320" w:hanging="180"/>
      </w:pPr>
    </w:lvl>
    <w:lvl w:ilvl="6" w:tplc="086A40B6" w:tentative="1">
      <w:start w:val="1"/>
      <w:numFmt w:val="decimal"/>
      <w:lvlText w:val="%7."/>
      <w:lvlJc w:val="left"/>
      <w:pPr>
        <w:ind w:left="5040" w:hanging="360"/>
      </w:pPr>
    </w:lvl>
    <w:lvl w:ilvl="7" w:tplc="E48A07F6" w:tentative="1">
      <w:start w:val="1"/>
      <w:numFmt w:val="lowerLetter"/>
      <w:lvlText w:val="%8."/>
      <w:lvlJc w:val="left"/>
      <w:pPr>
        <w:ind w:left="5760" w:hanging="360"/>
      </w:pPr>
    </w:lvl>
    <w:lvl w:ilvl="8" w:tplc="AE628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DE5441"/>
    <w:multiLevelType w:val="hybridMultilevel"/>
    <w:tmpl w:val="EF3685A2"/>
    <w:lvl w:ilvl="0" w:tplc="DD406E6C">
      <w:start w:val="1"/>
      <w:numFmt w:val="decimal"/>
      <w:lvlText w:val="%1."/>
      <w:lvlJc w:val="left"/>
      <w:pPr>
        <w:ind w:left="720" w:hanging="360"/>
      </w:pPr>
    </w:lvl>
    <w:lvl w:ilvl="1" w:tplc="A3765336" w:tentative="1">
      <w:start w:val="1"/>
      <w:numFmt w:val="lowerLetter"/>
      <w:lvlText w:val="%2."/>
      <w:lvlJc w:val="left"/>
      <w:pPr>
        <w:ind w:left="1440" w:hanging="360"/>
      </w:pPr>
    </w:lvl>
    <w:lvl w:ilvl="2" w:tplc="C000453A" w:tentative="1">
      <w:start w:val="1"/>
      <w:numFmt w:val="lowerRoman"/>
      <w:lvlText w:val="%3."/>
      <w:lvlJc w:val="right"/>
      <w:pPr>
        <w:ind w:left="2160" w:hanging="180"/>
      </w:pPr>
    </w:lvl>
    <w:lvl w:ilvl="3" w:tplc="3C9A419C" w:tentative="1">
      <w:start w:val="1"/>
      <w:numFmt w:val="decimal"/>
      <w:lvlText w:val="%4."/>
      <w:lvlJc w:val="left"/>
      <w:pPr>
        <w:ind w:left="2880" w:hanging="360"/>
      </w:pPr>
    </w:lvl>
    <w:lvl w:ilvl="4" w:tplc="8B384912" w:tentative="1">
      <w:start w:val="1"/>
      <w:numFmt w:val="lowerLetter"/>
      <w:lvlText w:val="%5."/>
      <w:lvlJc w:val="left"/>
      <w:pPr>
        <w:ind w:left="3600" w:hanging="360"/>
      </w:pPr>
    </w:lvl>
    <w:lvl w:ilvl="5" w:tplc="A552E928" w:tentative="1">
      <w:start w:val="1"/>
      <w:numFmt w:val="lowerRoman"/>
      <w:lvlText w:val="%6."/>
      <w:lvlJc w:val="right"/>
      <w:pPr>
        <w:ind w:left="4320" w:hanging="180"/>
      </w:pPr>
    </w:lvl>
    <w:lvl w:ilvl="6" w:tplc="5F04B3A0" w:tentative="1">
      <w:start w:val="1"/>
      <w:numFmt w:val="decimal"/>
      <w:lvlText w:val="%7."/>
      <w:lvlJc w:val="left"/>
      <w:pPr>
        <w:ind w:left="5040" w:hanging="360"/>
      </w:pPr>
    </w:lvl>
    <w:lvl w:ilvl="7" w:tplc="97FE7CFC" w:tentative="1">
      <w:start w:val="1"/>
      <w:numFmt w:val="lowerLetter"/>
      <w:lvlText w:val="%8."/>
      <w:lvlJc w:val="left"/>
      <w:pPr>
        <w:ind w:left="5760" w:hanging="360"/>
      </w:pPr>
    </w:lvl>
    <w:lvl w:ilvl="8" w:tplc="6578042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8410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8064899">
    <w:abstractNumId w:val="2"/>
  </w:num>
  <w:num w:numId="3" w16cid:durableId="1951693480">
    <w:abstractNumId w:val="6"/>
  </w:num>
  <w:num w:numId="4" w16cid:durableId="822744831">
    <w:abstractNumId w:val="5"/>
  </w:num>
  <w:num w:numId="5" w16cid:durableId="20619005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07817786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22794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ABF"/>
    <w:rsid w:val="00166AAF"/>
    <w:rsid w:val="0054132D"/>
    <w:rsid w:val="00566ABF"/>
    <w:rsid w:val="0083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9324"/>
  <w15:docId w15:val="{AB4F6AFE-EFE9-4ED4-9690-7D21AAB5F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2F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72F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72FB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2F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2FB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72FB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42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1174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Głowacka Monika</cp:lastModifiedBy>
  <cp:revision>3</cp:revision>
  <cp:lastPrinted>2022-09-08T13:34:00Z</cp:lastPrinted>
  <dcterms:created xsi:type="dcterms:W3CDTF">2023-04-03T09:58:00Z</dcterms:created>
  <dcterms:modified xsi:type="dcterms:W3CDTF">2023-04-03T10:16:00Z</dcterms:modified>
</cp:coreProperties>
</file>