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CC80" w14:textId="77777777" w:rsidR="00EC7754" w:rsidRDefault="00907243">
      <w:pPr>
        <w:pStyle w:val="Nagwek1"/>
        <w:spacing w:before="600" w:after="200"/>
        <w:jc w:val="center"/>
        <w:rPr>
          <w:rFonts w:asciiTheme="minorHAnsi" w:hAnsiTheme="minorHAnsi" w:cstheme="minorHAnsi"/>
          <w:color w:val="auto"/>
          <w:sz w:val="36"/>
          <w:szCs w:val="36"/>
          <w:lang w:val="en-GB"/>
        </w:rPr>
      </w:pPr>
      <w:bookmarkStart w:id="0" w:name="_GoBack"/>
      <w:bookmarkEnd w:id="0"/>
      <w:r>
        <w:rPr>
          <w:rFonts w:asciiTheme="minorHAnsi" w:hAnsiTheme="minorHAnsi" w:cstheme="minorHAnsi"/>
          <w:color w:val="auto"/>
          <w:sz w:val="36"/>
          <w:szCs w:val="36"/>
          <w:lang w:val="en-GB"/>
        </w:rPr>
        <w:t>Polish-Chinese/Chinese-Polish 3</w:t>
      </w:r>
      <w:r>
        <w:rPr>
          <w:rFonts w:asciiTheme="minorHAnsi" w:hAnsiTheme="minorHAnsi" w:cstheme="minorHAnsi"/>
          <w:color w:val="auto"/>
          <w:sz w:val="36"/>
          <w:szCs w:val="36"/>
          <w:vertAlign w:val="superscript"/>
          <w:lang w:val="en-GB"/>
        </w:rPr>
        <w:t>rd</w:t>
      </w:r>
      <w:r>
        <w:rPr>
          <w:rFonts w:asciiTheme="minorHAnsi" w:hAnsiTheme="minorHAnsi" w:cstheme="minorHAnsi"/>
          <w:color w:val="auto"/>
          <w:sz w:val="36"/>
          <w:szCs w:val="36"/>
          <w:lang w:val="en-GB"/>
        </w:rPr>
        <w:t xml:space="preserve"> Joint Research Call</w:t>
      </w:r>
    </w:p>
    <w:p w14:paraId="2AC907DE" w14:textId="77777777" w:rsidR="00EC7754" w:rsidRDefault="00907243">
      <w:pPr>
        <w:spacing w:before="200" w:after="400"/>
        <w:jc w:val="center"/>
        <w:rPr>
          <w:rFonts w:cstheme="minorHAnsi"/>
          <w:b/>
          <w:sz w:val="36"/>
          <w:szCs w:val="24"/>
          <w:lang w:val="en-GB"/>
        </w:rPr>
      </w:pPr>
      <w:r>
        <w:rPr>
          <w:rFonts w:cstheme="minorHAnsi"/>
          <w:b/>
          <w:sz w:val="36"/>
          <w:szCs w:val="24"/>
          <w:lang w:val="en-GB"/>
        </w:rPr>
        <w:t>Call Text</w:t>
      </w:r>
    </w:p>
    <w:p w14:paraId="7D3FA06B" w14:textId="77777777" w:rsidR="00EC7754" w:rsidRDefault="00907243">
      <w:pPr>
        <w:pStyle w:val="Akapitzlist1"/>
        <w:numPr>
          <w:ilvl w:val="0"/>
          <w:numId w:val="1"/>
        </w:numPr>
        <w:spacing w:before="300" w:line="264" w:lineRule="auto"/>
        <w:ind w:left="425" w:hanging="425"/>
        <w:contextualSpacing w:val="0"/>
        <w:rPr>
          <w:rFonts w:cstheme="minorHAnsi"/>
          <w:b/>
          <w:sz w:val="24"/>
          <w:szCs w:val="24"/>
          <w:lang w:val="en-GB"/>
        </w:rPr>
      </w:pPr>
      <w:r>
        <w:rPr>
          <w:rFonts w:cstheme="minorHAnsi"/>
          <w:b/>
          <w:sz w:val="24"/>
          <w:szCs w:val="24"/>
          <w:lang w:val="en-GB"/>
        </w:rPr>
        <w:t>Objectives of the call</w:t>
      </w:r>
    </w:p>
    <w:p w14:paraId="0CFA21BC"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The National Centre for Research and Development (NCBR), Poland and the Ministry of Science and Technology of the People’s Republic of China have established a joint research call with the purpose of enhancing cooperation between Polish and Chinese research teams. </w:t>
      </w:r>
    </w:p>
    <w:p w14:paraId="72ECDC52"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The call is announced based on the Letter of Intent for Cooperation in Joint Research and Development signed on 21 June 2016 between China and Poland. </w:t>
      </w:r>
    </w:p>
    <w:p w14:paraId="03CD2A62" w14:textId="77777777" w:rsidR="00EC7754" w:rsidRDefault="00907243">
      <w:pPr>
        <w:spacing w:line="264" w:lineRule="auto"/>
        <w:rPr>
          <w:rFonts w:cstheme="minorHAnsi"/>
          <w:sz w:val="24"/>
          <w:szCs w:val="24"/>
          <w:lang w:val="en-GB"/>
        </w:rPr>
      </w:pPr>
      <w:r>
        <w:rPr>
          <w:rFonts w:cstheme="minorHAnsi"/>
          <w:sz w:val="24"/>
          <w:szCs w:val="24"/>
          <w:lang w:val="en-GB"/>
        </w:rPr>
        <w:t>The aims of the cooperation are as follows:</w:t>
      </w:r>
    </w:p>
    <w:p w14:paraId="70DF96FD" w14:textId="77777777" w:rsidR="00EC7754" w:rsidRDefault="00907243">
      <w:pPr>
        <w:pStyle w:val="Akapitzlist1"/>
        <w:numPr>
          <w:ilvl w:val="255"/>
          <w:numId w:val="0"/>
        </w:numPr>
        <w:spacing w:line="264" w:lineRule="auto"/>
        <w:ind w:left="360"/>
        <w:rPr>
          <w:rFonts w:cstheme="minorHAnsi"/>
          <w:sz w:val="24"/>
          <w:szCs w:val="24"/>
          <w:lang w:val="en-GB"/>
        </w:rPr>
      </w:pPr>
      <w:r>
        <w:rPr>
          <w:rFonts w:cstheme="minorHAnsi"/>
          <w:sz w:val="24"/>
          <w:szCs w:val="24"/>
          <w:lang w:val="en-GB"/>
        </w:rPr>
        <w:t>Enhancing Polish-Chinese cooperation;</w:t>
      </w:r>
    </w:p>
    <w:p w14:paraId="4CB05A40" w14:textId="77777777" w:rsidR="00EC7754" w:rsidRDefault="00907243">
      <w:pPr>
        <w:pStyle w:val="Akapitzlist1"/>
        <w:numPr>
          <w:ilvl w:val="255"/>
          <w:numId w:val="0"/>
        </w:numPr>
        <w:spacing w:line="264" w:lineRule="auto"/>
        <w:ind w:left="360"/>
        <w:rPr>
          <w:rFonts w:cstheme="minorHAnsi"/>
          <w:sz w:val="24"/>
          <w:szCs w:val="24"/>
          <w:lang w:val="en-GB"/>
        </w:rPr>
      </w:pPr>
      <w:r>
        <w:rPr>
          <w:rFonts w:cstheme="minorHAnsi"/>
          <w:sz w:val="24"/>
          <w:szCs w:val="24"/>
          <w:lang w:val="en-GB"/>
        </w:rPr>
        <w:t>Increasing and developing high quality research networking between researchers;</w:t>
      </w:r>
    </w:p>
    <w:p w14:paraId="24832A49" w14:textId="77777777" w:rsidR="00EC7754" w:rsidRDefault="00907243">
      <w:pPr>
        <w:pStyle w:val="Akapitzlist1"/>
        <w:numPr>
          <w:ilvl w:val="255"/>
          <w:numId w:val="0"/>
        </w:numPr>
        <w:spacing w:line="264" w:lineRule="auto"/>
        <w:ind w:left="360"/>
        <w:rPr>
          <w:rFonts w:cstheme="minorHAnsi"/>
          <w:sz w:val="24"/>
          <w:szCs w:val="24"/>
          <w:lang w:val="en-GB"/>
        </w:rPr>
      </w:pPr>
      <w:r>
        <w:rPr>
          <w:rFonts w:cstheme="minorHAnsi"/>
          <w:sz w:val="24"/>
          <w:szCs w:val="24"/>
          <w:lang w:val="en-GB"/>
        </w:rPr>
        <w:t>Exchanging existing  and creating new knowledge;</w:t>
      </w:r>
    </w:p>
    <w:p w14:paraId="56F9EE9C" w14:textId="77777777" w:rsidR="00EC7754" w:rsidRDefault="00907243">
      <w:pPr>
        <w:pStyle w:val="Akapitzlist1"/>
        <w:numPr>
          <w:ilvl w:val="255"/>
          <w:numId w:val="0"/>
        </w:numPr>
        <w:spacing w:line="264" w:lineRule="auto"/>
        <w:ind w:left="360"/>
        <w:rPr>
          <w:rFonts w:cstheme="minorHAnsi"/>
          <w:sz w:val="24"/>
          <w:szCs w:val="24"/>
          <w:lang w:val="en-GB"/>
        </w:rPr>
      </w:pPr>
      <w:r>
        <w:rPr>
          <w:rFonts w:cstheme="minorHAnsi"/>
          <w:sz w:val="24"/>
          <w:szCs w:val="24"/>
          <w:lang w:val="en-GB"/>
        </w:rPr>
        <w:t>Enhancing level of science and technology in both countries;</w:t>
      </w:r>
    </w:p>
    <w:p w14:paraId="4D43CA70" w14:textId="77777777" w:rsidR="00EC7754" w:rsidRDefault="00907243">
      <w:pPr>
        <w:pStyle w:val="Akapitzlist1"/>
        <w:numPr>
          <w:ilvl w:val="255"/>
          <w:numId w:val="0"/>
        </w:numPr>
        <w:spacing w:after="0" w:line="240" w:lineRule="auto"/>
        <w:ind w:left="357"/>
        <w:contextualSpacing w:val="0"/>
        <w:rPr>
          <w:rFonts w:cstheme="minorHAnsi"/>
          <w:sz w:val="24"/>
          <w:szCs w:val="24"/>
          <w:lang w:val="en-GB"/>
        </w:rPr>
      </w:pPr>
      <w:r>
        <w:rPr>
          <w:rFonts w:cstheme="minorHAnsi"/>
          <w:sz w:val="24"/>
          <w:szCs w:val="24"/>
          <w:lang w:val="en-GB"/>
        </w:rPr>
        <w:t>Increasing impact of Polish and Chinese research activities;</w:t>
      </w:r>
    </w:p>
    <w:p w14:paraId="3CB9F684" w14:textId="77777777" w:rsidR="00EC7754" w:rsidRDefault="00907243">
      <w:pPr>
        <w:pStyle w:val="Akapitzlist1"/>
        <w:numPr>
          <w:ilvl w:val="255"/>
          <w:numId w:val="0"/>
        </w:numPr>
        <w:spacing w:after="0" w:line="240" w:lineRule="auto"/>
        <w:ind w:left="357"/>
        <w:contextualSpacing w:val="0"/>
        <w:rPr>
          <w:rFonts w:cstheme="minorHAnsi"/>
          <w:sz w:val="24"/>
          <w:szCs w:val="24"/>
          <w:lang w:val="en-GB"/>
        </w:rPr>
      </w:pPr>
      <w:r>
        <w:rPr>
          <w:rFonts w:cstheme="minorHAnsi"/>
          <w:sz w:val="24"/>
          <w:szCs w:val="24"/>
          <w:lang w:val="en-GB"/>
        </w:rPr>
        <w:t>Strengthening the participation between academia and private business actors in Poland and China.</w:t>
      </w:r>
    </w:p>
    <w:p w14:paraId="4532F8E6" w14:textId="77777777" w:rsidR="00EC7754" w:rsidRDefault="00907243">
      <w:pPr>
        <w:pStyle w:val="Akapitzlist1"/>
        <w:numPr>
          <w:ilvl w:val="0"/>
          <w:numId w:val="1"/>
        </w:numPr>
        <w:spacing w:before="300" w:line="264" w:lineRule="auto"/>
        <w:ind w:left="425" w:hanging="425"/>
        <w:contextualSpacing w:val="0"/>
        <w:rPr>
          <w:rFonts w:cstheme="minorHAnsi"/>
          <w:b/>
          <w:sz w:val="24"/>
          <w:szCs w:val="24"/>
          <w:lang w:val="en-GB"/>
        </w:rPr>
      </w:pPr>
      <w:r>
        <w:rPr>
          <w:rFonts w:cstheme="minorHAnsi"/>
          <w:b/>
          <w:sz w:val="24"/>
          <w:szCs w:val="24"/>
          <w:lang w:val="en-GB"/>
        </w:rPr>
        <w:t>Eligibility</w:t>
      </w:r>
    </w:p>
    <w:p w14:paraId="4F836C51"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Proposals may be submitted by public and/or private entities that are eligible to participate in the call according to the respective funding regulations of the funding institutions. These can be public/ private research institutions, higher education institutions and small and medium enterprises performing R&amp;D activities. </w:t>
      </w:r>
    </w:p>
    <w:p w14:paraId="7FDF3451" w14:textId="77777777" w:rsidR="00EC7754" w:rsidRDefault="00907243">
      <w:pPr>
        <w:spacing w:line="264" w:lineRule="auto"/>
        <w:rPr>
          <w:rFonts w:cstheme="minorHAnsi"/>
          <w:sz w:val="24"/>
          <w:szCs w:val="24"/>
          <w:lang w:val="en-GB"/>
        </w:rPr>
      </w:pPr>
      <w:r>
        <w:rPr>
          <w:rFonts w:cstheme="minorHAnsi"/>
          <w:sz w:val="24"/>
          <w:szCs w:val="24"/>
          <w:lang w:val="en-GB"/>
        </w:rPr>
        <w:t>The call is open to the following research areas:</w:t>
      </w:r>
    </w:p>
    <w:p w14:paraId="30E6FFE9" w14:textId="046EC6E9" w:rsidR="00EC7754" w:rsidRDefault="00907243">
      <w:pPr>
        <w:pStyle w:val="Akapitzlist1"/>
        <w:tabs>
          <w:tab w:val="left" w:pos="851"/>
        </w:tabs>
        <w:spacing w:line="264" w:lineRule="auto"/>
        <w:jc w:val="both"/>
        <w:rPr>
          <w:rFonts w:cstheme="minorHAnsi"/>
          <w:sz w:val="24"/>
          <w:szCs w:val="24"/>
          <w:lang w:val="en-GB"/>
        </w:rPr>
      </w:pPr>
      <w:r>
        <w:rPr>
          <w:rFonts w:cstheme="minorHAnsi"/>
          <w:sz w:val="24"/>
          <w:szCs w:val="24"/>
          <w:lang w:val="en-GB"/>
        </w:rPr>
        <w:t xml:space="preserve">1. </w:t>
      </w:r>
      <w:r w:rsidR="00FB5DE1">
        <w:rPr>
          <w:rFonts w:eastAsia="Times New Roman" w:cs="Arial"/>
          <w:sz w:val="24"/>
          <w:szCs w:val="24"/>
          <w:lang w:val="en-GB"/>
        </w:rPr>
        <w:t>Information and communication technologies (</w:t>
      </w:r>
      <w:r>
        <w:rPr>
          <w:rFonts w:cstheme="minorHAnsi"/>
          <w:sz w:val="24"/>
          <w:szCs w:val="24"/>
          <w:lang w:val="en-GB"/>
        </w:rPr>
        <w:t>ICT</w:t>
      </w:r>
      <w:r w:rsidR="00FB5DE1">
        <w:rPr>
          <w:rFonts w:cstheme="minorHAnsi"/>
          <w:sz w:val="24"/>
          <w:szCs w:val="24"/>
          <w:lang w:val="en-GB"/>
        </w:rPr>
        <w:t>)</w:t>
      </w:r>
      <w:r>
        <w:rPr>
          <w:rFonts w:cstheme="minorHAnsi"/>
          <w:sz w:val="24"/>
          <w:szCs w:val="24"/>
          <w:lang w:val="en-GB"/>
        </w:rPr>
        <w:t>;</w:t>
      </w:r>
    </w:p>
    <w:p w14:paraId="28F46A7B" w14:textId="77777777" w:rsidR="00EC7754" w:rsidRDefault="00907243">
      <w:pPr>
        <w:pStyle w:val="Akapitzlist1"/>
        <w:tabs>
          <w:tab w:val="left" w:pos="851"/>
        </w:tabs>
        <w:spacing w:line="264" w:lineRule="auto"/>
        <w:jc w:val="both"/>
        <w:rPr>
          <w:rFonts w:cstheme="minorHAnsi"/>
          <w:sz w:val="24"/>
          <w:szCs w:val="24"/>
          <w:lang w:val="en-GB"/>
        </w:rPr>
      </w:pPr>
      <w:r>
        <w:rPr>
          <w:rFonts w:cstheme="minorHAnsi"/>
          <w:sz w:val="24"/>
          <w:szCs w:val="24"/>
          <w:lang w:val="en-GB"/>
        </w:rPr>
        <w:t>2. Energy technology, including new energy development, clean coal utilization, sustainable energy use;</w:t>
      </w:r>
    </w:p>
    <w:p w14:paraId="43A5CC8C" w14:textId="77777777" w:rsidR="00EC7754" w:rsidRDefault="00907243">
      <w:pPr>
        <w:pStyle w:val="Akapitzlist1"/>
        <w:tabs>
          <w:tab w:val="left" w:pos="851"/>
        </w:tabs>
        <w:spacing w:line="264" w:lineRule="auto"/>
        <w:jc w:val="both"/>
        <w:rPr>
          <w:rFonts w:cstheme="minorHAnsi"/>
          <w:sz w:val="24"/>
          <w:szCs w:val="24"/>
          <w:lang w:val="en-GB"/>
        </w:rPr>
      </w:pPr>
      <w:r>
        <w:rPr>
          <w:rFonts w:cstheme="minorHAnsi"/>
          <w:sz w:val="24"/>
          <w:szCs w:val="24"/>
          <w:lang w:val="en-GB"/>
        </w:rPr>
        <w:t>3. Environmental technology, including environmental engineering, water resources management, pollution and deforestation</w:t>
      </w:r>
      <w:r>
        <w:rPr>
          <w:rFonts w:cstheme="minorHAnsi" w:hint="eastAsia"/>
          <w:sz w:val="24"/>
          <w:szCs w:val="24"/>
          <w:lang w:val="en-US" w:eastAsia="zh-CN"/>
        </w:rPr>
        <w:t xml:space="preserve"> prevention and treatment</w:t>
      </w:r>
      <w:r>
        <w:rPr>
          <w:rFonts w:cstheme="minorHAnsi"/>
          <w:sz w:val="24"/>
          <w:szCs w:val="24"/>
          <w:lang w:val="en-GB"/>
        </w:rPr>
        <w:t>;</w:t>
      </w:r>
    </w:p>
    <w:p w14:paraId="4AA4E4DC" w14:textId="77777777" w:rsidR="00EC7754" w:rsidRDefault="00907243">
      <w:pPr>
        <w:pStyle w:val="Akapitzlist1"/>
        <w:tabs>
          <w:tab w:val="left" w:pos="851"/>
        </w:tabs>
        <w:spacing w:line="264" w:lineRule="auto"/>
        <w:jc w:val="both"/>
        <w:rPr>
          <w:rFonts w:cstheme="minorHAnsi"/>
          <w:sz w:val="24"/>
          <w:szCs w:val="24"/>
          <w:highlight w:val="yellow"/>
          <w:lang w:val="en-GB"/>
        </w:rPr>
      </w:pPr>
      <w:r>
        <w:rPr>
          <w:rFonts w:cstheme="minorHAnsi"/>
          <w:sz w:val="24"/>
          <w:szCs w:val="24"/>
          <w:lang w:val="en-GB"/>
        </w:rPr>
        <w:t>4. Material science</w:t>
      </w:r>
      <w:r>
        <w:rPr>
          <w:rFonts w:cstheme="minorHAnsi"/>
          <w:sz w:val="24"/>
          <w:szCs w:val="24"/>
          <w:lang w:val="en-GB" w:eastAsia="zh-CN"/>
        </w:rPr>
        <w:t>, including biomaterials, nanomaterials, inorganic non-metallic materials</w:t>
      </w:r>
      <w:r>
        <w:rPr>
          <w:rFonts w:cstheme="minorHAnsi"/>
          <w:sz w:val="24"/>
          <w:szCs w:val="24"/>
          <w:lang w:val="en-GB"/>
        </w:rPr>
        <w:t>.</w:t>
      </w:r>
    </w:p>
    <w:p w14:paraId="32ECA922" w14:textId="77777777" w:rsidR="00EC7754" w:rsidRDefault="00EC7754">
      <w:pPr>
        <w:pStyle w:val="Akapitzlist1"/>
        <w:tabs>
          <w:tab w:val="left" w:pos="851"/>
        </w:tabs>
        <w:spacing w:line="264" w:lineRule="auto"/>
        <w:ind w:left="0"/>
        <w:jc w:val="both"/>
        <w:rPr>
          <w:rFonts w:cstheme="minorHAnsi"/>
          <w:sz w:val="24"/>
          <w:szCs w:val="24"/>
          <w:highlight w:val="yellow"/>
          <w:lang w:val="en-GB"/>
        </w:rPr>
      </w:pPr>
    </w:p>
    <w:p w14:paraId="3C2155B1" w14:textId="77777777" w:rsidR="00EC7754" w:rsidRDefault="00EC7754">
      <w:pPr>
        <w:pStyle w:val="Akapitzlist1"/>
        <w:tabs>
          <w:tab w:val="left" w:pos="851"/>
        </w:tabs>
        <w:spacing w:line="264" w:lineRule="auto"/>
        <w:ind w:left="0"/>
        <w:jc w:val="both"/>
        <w:rPr>
          <w:rFonts w:cstheme="minorHAnsi"/>
          <w:sz w:val="24"/>
          <w:szCs w:val="24"/>
          <w:highlight w:val="yellow"/>
          <w:lang w:val="en-GB"/>
        </w:rPr>
      </w:pPr>
    </w:p>
    <w:p w14:paraId="65E1470F" w14:textId="77777777" w:rsidR="00EC7754" w:rsidRDefault="00907243">
      <w:pPr>
        <w:pStyle w:val="Akapitzlist1"/>
        <w:numPr>
          <w:ilvl w:val="0"/>
          <w:numId w:val="1"/>
        </w:numPr>
        <w:spacing w:before="300" w:line="264" w:lineRule="auto"/>
        <w:ind w:left="426" w:hanging="426"/>
        <w:contextualSpacing w:val="0"/>
        <w:rPr>
          <w:rFonts w:cstheme="minorHAnsi"/>
          <w:b/>
          <w:sz w:val="24"/>
          <w:szCs w:val="24"/>
          <w:lang w:val="en-GB"/>
        </w:rPr>
      </w:pPr>
      <w:r>
        <w:rPr>
          <w:rFonts w:cstheme="minorHAnsi"/>
          <w:b/>
          <w:sz w:val="24"/>
          <w:szCs w:val="24"/>
          <w:lang w:val="en-GB"/>
        </w:rPr>
        <w:lastRenderedPageBreak/>
        <w:t>Funding</w:t>
      </w:r>
    </w:p>
    <w:p w14:paraId="0E6FE989" w14:textId="77777777" w:rsidR="00EC7754" w:rsidRDefault="00907243">
      <w:pPr>
        <w:spacing w:line="264" w:lineRule="auto"/>
        <w:jc w:val="both"/>
        <w:rPr>
          <w:rFonts w:cstheme="minorHAnsi"/>
          <w:sz w:val="24"/>
          <w:szCs w:val="24"/>
          <w:lang w:val="en-GB"/>
        </w:rPr>
      </w:pPr>
      <w:r>
        <w:rPr>
          <w:rFonts w:cstheme="minorHAnsi"/>
          <w:sz w:val="24"/>
          <w:szCs w:val="24"/>
          <w:lang w:val="en-GB"/>
        </w:rPr>
        <w:t>Project partners will be funded by the funding institutions of the respective partner countries (Poland and China). The projects will be supported with grants of the national budget in accordance with the respective national funding regulations. The final selection shall be based upon the joint decision by the funding institutions. The applicable awarding institution will base its decision on the national evaluation procedure of proposals and within the scope of the available budget.</w:t>
      </w:r>
    </w:p>
    <w:p w14:paraId="765EF380" w14:textId="77777777" w:rsidR="00EC7754" w:rsidRDefault="00907243">
      <w:pPr>
        <w:spacing w:line="264" w:lineRule="auto"/>
        <w:jc w:val="both"/>
        <w:rPr>
          <w:rFonts w:cstheme="minorHAnsi"/>
          <w:sz w:val="24"/>
          <w:szCs w:val="24"/>
          <w:lang w:val="en-US" w:eastAsia="zh-CN"/>
        </w:rPr>
      </w:pPr>
      <w:r>
        <w:rPr>
          <w:rFonts w:cstheme="minorHAnsi"/>
          <w:sz w:val="24"/>
          <w:szCs w:val="24"/>
          <w:lang w:val="en-GB"/>
        </w:rPr>
        <w:t>Each project may be supported with a maximum amount of 500.000 EUR for a period of 3 years by each of the funding institutions.</w:t>
      </w:r>
      <w:r>
        <w:rPr>
          <w:rFonts w:cstheme="minorHAnsi" w:hint="eastAsia"/>
          <w:sz w:val="24"/>
          <w:szCs w:val="24"/>
          <w:lang w:val="en-US" w:eastAsia="zh-CN"/>
        </w:rPr>
        <w:t xml:space="preserve"> The total funding on the Polish side is 3 million euros, </w:t>
      </w:r>
      <w:r>
        <w:rPr>
          <w:rStyle w:val="Odwoaniedokomentarza"/>
          <w:rFonts w:hint="eastAsia"/>
          <w:sz w:val="24"/>
          <w:szCs w:val="24"/>
          <w:lang w:val="en-US" w:eastAsia="zh-CN"/>
        </w:rPr>
        <w:t xml:space="preserve">and 24million RMB on the Chinese side, </w:t>
      </w:r>
      <w:r>
        <w:rPr>
          <w:rStyle w:val="Odwoaniedokomentarza"/>
          <w:rFonts w:hint="eastAsia"/>
          <w:lang w:val="en-US" w:eastAsia="zh-CN"/>
        </w:rPr>
        <w:t xml:space="preserve"> </w:t>
      </w:r>
      <w:r>
        <w:rPr>
          <w:rFonts w:cstheme="minorHAnsi" w:hint="eastAsia"/>
          <w:sz w:val="24"/>
          <w:szCs w:val="24"/>
          <w:lang w:val="en-US" w:eastAsia="zh-CN"/>
        </w:rPr>
        <w:t>and the finally funded projects will not exceed 6.</w:t>
      </w:r>
    </w:p>
    <w:p w14:paraId="33B06153" w14:textId="77777777" w:rsidR="00EC7754" w:rsidRDefault="00907243">
      <w:pPr>
        <w:spacing w:line="264" w:lineRule="auto"/>
        <w:rPr>
          <w:rFonts w:cstheme="minorHAnsi"/>
          <w:lang w:val="en-GB"/>
        </w:rPr>
      </w:pPr>
      <w:r>
        <w:rPr>
          <w:rFonts w:cstheme="minorHAnsi"/>
          <w:sz w:val="24"/>
          <w:szCs w:val="24"/>
          <w:lang w:val="en-GB"/>
        </w:rPr>
        <w:t xml:space="preserve">The eligible cost in the call are the following: </w:t>
      </w:r>
    </w:p>
    <w:p w14:paraId="10926F51" w14:textId="77777777" w:rsidR="00EC7754" w:rsidRDefault="00907243">
      <w:pPr>
        <w:pStyle w:val="Akapitzlist2"/>
        <w:numPr>
          <w:ilvl w:val="0"/>
          <w:numId w:val="2"/>
        </w:numPr>
        <w:spacing w:after="0" w:line="240" w:lineRule="auto"/>
        <w:ind w:left="714" w:hanging="357"/>
        <w:rPr>
          <w:rFonts w:cstheme="minorHAnsi"/>
          <w:sz w:val="24"/>
          <w:szCs w:val="24"/>
          <w:lang w:val="en-GB"/>
        </w:rPr>
      </w:pPr>
      <w:r>
        <w:rPr>
          <w:rFonts w:cstheme="minorHAnsi"/>
          <w:sz w:val="24"/>
          <w:szCs w:val="24"/>
          <w:lang w:val="en-GB"/>
        </w:rPr>
        <w:t>personnel,</w:t>
      </w:r>
    </w:p>
    <w:p w14:paraId="5CC538D0" w14:textId="77777777" w:rsidR="00EC7754" w:rsidRDefault="00907243">
      <w:pPr>
        <w:pStyle w:val="Akapitzlist1"/>
        <w:numPr>
          <w:ilvl w:val="0"/>
          <w:numId w:val="2"/>
        </w:numPr>
        <w:spacing w:after="0" w:line="240" w:lineRule="auto"/>
        <w:ind w:left="714" w:hanging="357"/>
        <w:rPr>
          <w:rFonts w:cstheme="minorHAnsi"/>
          <w:sz w:val="24"/>
          <w:szCs w:val="24"/>
          <w:lang w:val="en-GB"/>
        </w:rPr>
      </w:pPr>
      <w:r>
        <w:rPr>
          <w:rFonts w:cstheme="minorHAnsi"/>
          <w:sz w:val="24"/>
          <w:szCs w:val="24"/>
          <w:lang w:val="en-GB"/>
        </w:rPr>
        <w:t>equipment,</w:t>
      </w:r>
    </w:p>
    <w:p w14:paraId="15215ADB" w14:textId="77777777" w:rsidR="00EC7754" w:rsidRDefault="00907243">
      <w:pPr>
        <w:pStyle w:val="Akapitzlist1"/>
        <w:numPr>
          <w:ilvl w:val="0"/>
          <w:numId w:val="2"/>
        </w:numPr>
        <w:spacing w:after="0" w:line="240" w:lineRule="auto"/>
        <w:ind w:left="714" w:hanging="357"/>
        <w:rPr>
          <w:rFonts w:cstheme="minorHAnsi"/>
          <w:sz w:val="24"/>
          <w:szCs w:val="24"/>
          <w:lang w:val="en-GB"/>
        </w:rPr>
      </w:pPr>
      <w:r>
        <w:rPr>
          <w:rFonts w:cstheme="minorHAnsi"/>
          <w:sz w:val="24"/>
          <w:szCs w:val="24"/>
          <w:lang w:val="en-GB"/>
        </w:rPr>
        <w:t xml:space="preserve">consumables, </w:t>
      </w:r>
    </w:p>
    <w:p w14:paraId="3BA74E7D" w14:textId="77777777" w:rsidR="00EC7754" w:rsidRDefault="00907243">
      <w:pPr>
        <w:pStyle w:val="Akapitzlist1"/>
        <w:numPr>
          <w:ilvl w:val="0"/>
          <w:numId w:val="2"/>
        </w:numPr>
        <w:spacing w:after="0" w:line="240" w:lineRule="auto"/>
        <w:ind w:left="714" w:hanging="357"/>
        <w:rPr>
          <w:rFonts w:cstheme="minorHAnsi"/>
          <w:sz w:val="24"/>
          <w:szCs w:val="24"/>
          <w:lang w:val="en-GB"/>
        </w:rPr>
      </w:pPr>
      <w:r>
        <w:rPr>
          <w:rFonts w:cstheme="minorHAnsi"/>
          <w:sz w:val="24"/>
          <w:szCs w:val="24"/>
          <w:lang w:val="en-GB"/>
        </w:rPr>
        <w:t>travel,</w:t>
      </w:r>
    </w:p>
    <w:p w14:paraId="1C7ADD77" w14:textId="77777777" w:rsidR="00EC7754" w:rsidRDefault="00907243">
      <w:pPr>
        <w:pStyle w:val="Akapitzlist1"/>
        <w:numPr>
          <w:ilvl w:val="0"/>
          <w:numId w:val="2"/>
        </w:numPr>
        <w:spacing w:after="0" w:line="240" w:lineRule="auto"/>
        <w:ind w:left="714" w:hanging="357"/>
        <w:rPr>
          <w:rFonts w:cstheme="minorHAnsi"/>
          <w:sz w:val="24"/>
          <w:szCs w:val="24"/>
          <w:lang w:val="en-GB"/>
        </w:rPr>
      </w:pPr>
      <w:r>
        <w:rPr>
          <w:rFonts w:cstheme="minorHAnsi"/>
          <w:sz w:val="24"/>
          <w:szCs w:val="24"/>
          <w:lang w:val="en-GB"/>
        </w:rPr>
        <w:t xml:space="preserve">subcontracting, </w:t>
      </w:r>
    </w:p>
    <w:p w14:paraId="308EDFB8" w14:textId="77777777" w:rsidR="00EC7754" w:rsidRDefault="00907243">
      <w:pPr>
        <w:pStyle w:val="Akapitzlist1"/>
        <w:numPr>
          <w:ilvl w:val="0"/>
          <w:numId w:val="2"/>
        </w:numPr>
        <w:spacing w:after="120" w:line="240" w:lineRule="auto"/>
        <w:ind w:left="714" w:hanging="357"/>
        <w:rPr>
          <w:rFonts w:cstheme="minorHAnsi"/>
          <w:sz w:val="24"/>
          <w:szCs w:val="24"/>
          <w:lang w:val="en-GB"/>
        </w:rPr>
      </w:pPr>
      <w:r>
        <w:rPr>
          <w:rFonts w:cstheme="minorHAnsi"/>
          <w:sz w:val="24"/>
          <w:szCs w:val="24"/>
          <w:lang w:val="en-GB"/>
        </w:rPr>
        <w:t>other costs.</w:t>
      </w:r>
    </w:p>
    <w:p w14:paraId="7429663D"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The detailed information about the cost categories is included in the national regulations. </w:t>
      </w:r>
    </w:p>
    <w:p w14:paraId="73442E8A" w14:textId="77777777" w:rsidR="00EC7754" w:rsidRDefault="00907243">
      <w:pPr>
        <w:pStyle w:val="Akapitzlist1"/>
        <w:numPr>
          <w:ilvl w:val="0"/>
          <w:numId w:val="1"/>
        </w:numPr>
        <w:spacing w:before="300" w:line="264" w:lineRule="auto"/>
        <w:ind w:left="426" w:hanging="426"/>
        <w:contextualSpacing w:val="0"/>
        <w:rPr>
          <w:rFonts w:cstheme="minorHAnsi"/>
          <w:b/>
          <w:sz w:val="24"/>
          <w:szCs w:val="24"/>
          <w:lang w:val="en-GB"/>
        </w:rPr>
      </w:pPr>
      <w:r>
        <w:rPr>
          <w:rFonts w:cstheme="minorHAnsi"/>
          <w:b/>
          <w:sz w:val="24"/>
          <w:szCs w:val="24"/>
          <w:lang w:val="en-GB"/>
        </w:rPr>
        <w:t>Composition of consortia</w:t>
      </w:r>
    </w:p>
    <w:p w14:paraId="19BA520E"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Participation is open to applicants from the funding countries (Poland and China), including research institutions, small and medium enterprises and consortia consisting of both types of entities. Precondition for eligibility is involvement of Polish and Chinese entities. </w:t>
      </w:r>
    </w:p>
    <w:p w14:paraId="1BEAA88C" w14:textId="77777777" w:rsidR="00EC7754" w:rsidRDefault="00907243">
      <w:pPr>
        <w:spacing w:line="264" w:lineRule="auto"/>
        <w:jc w:val="both"/>
        <w:rPr>
          <w:rFonts w:cstheme="minorHAnsi"/>
          <w:sz w:val="24"/>
          <w:szCs w:val="24"/>
          <w:lang w:val="en-GB"/>
        </w:rPr>
      </w:pPr>
      <w:r>
        <w:rPr>
          <w:rFonts w:cstheme="minorHAnsi"/>
          <w:sz w:val="24"/>
          <w:szCs w:val="24"/>
          <w:lang w:val="en-GB"/>
        </w:rPr>
        <w:t>The funding institutions expect that the bilateral cooperation covered by the scope of this funding, will deliver significant synergy effects within the framework of projects to be funded. Proposals must therefore make clear why they should be developed cooperatively between the participating countries and what added value will be created through this collaboration. Projects that do not indicate why this cooperation is necessary cannot be considered.</w:t>
      </w:r>
    </w:p>
    <w:p w14:paraId="1450C4F3" w14:textId="77777777" w:rsidR="00EC7754" w:rsidRDefault="00907243">
      <w:pPr>
        <w:spacing w:line="264" w:lineRule="auto"/>
        <w:jc w:val="both"/>
        <w:rPr>
          <w:rFonts w:cstheme="minorHAnsi"/>
          <w:sz w:val="24"/>
          <w:szCs w:val="24"/>
          <w:lang w:val="en-GB"/>
        </w:rPr>
      </w:pPr>
      <w:r>
        <w:rPr>
          <w:rFonts w:cstheme="minorHAnsi"/>
          <w:sz w:val="24"/>
          <w:szCs w:val="24"/>
          <w:lang w:val="en-GB"/>
        </w:rPr>
        <w:t>The call targets existing research contacts between Poland and China in order to prepare joint project proposals as well as new partnerships between Polish and Chinese researchers.</w:t>
      </w:r>
    </w:p>
    <w:p w14:paraId="79A059B1"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Projects have to involve at least one Polish and one Chinese partner. The application has to present researchers involved in the project as well as clear division of responsibilities among the consortium members. </w:t>
      </w:r>
    </w:p>
    <w:p w14:paraId="179DDD14" w14:textId="77777777" w:rsidR="00EC7754" w:rsidRDefault="00EC7754">
      <w:pPr>
        <w:spacing w:line="264" w:lineRule="auto"/>
        <w:jc w:val="both"/>
        <w:rPr>
          <w:rFonts w:cstheme="minorHAnsi"/>
          <w:sz w:val="24"/>
          <w:szCs w:val="24"/>
          <w:highlight w:val="yellow"/>
          <w:lang w:val="en-GB"/>
        </w:rPr>
      </w:pPr>
    </w:p>
    <w:p w14:paraId="1E3712D2" w14:textId="77777777" w:rsidR="00EC7754" w:rsidRDefault="00907243">
      <w:pPr>
        <w:pStyle w:val="Akapitzlist1"/>
        <w:numPr>
          <w:ilvl w:val="0"/>
          <w:numId w:val="1"/>
        </w:numPr>
        <w:spacing w:before="300" w:line="264" w:lineRule="auto"/>
        <w:ind w:left="426" w:hanging="426"/>
        <w:contextualSpacing w:val="0"/>
        <w:rPr>
          <w:rFonts w:cstheme="minorHAnsi"/>
          <w:b/>
          <w:sz w:val="24"/>
          <w:szCs w:val="24"/>
          <w:lang w:val="en-GB"/>
        </w:rPr>
      </w:pPr>
      <w:r>
        <w:rPr>
          <w:rFonts w:cstheme="minorHAnsi"/>
          <w:b/>
          <w:sz w:val="24"/>
          <w:szCs w:val="24"/>
          <w:lang w:val="en-GB"/>
        </w:rPr>
        <w:lastRenderedPageBreak/>
        <w:t>Submission of applications</w:t>
      </w:r>
    </w:p>
    <w:p w14:paraId="41D9D1DD" w14:textId="77777777" w:rsidR="00EC7754" w:rsidRDefault="00907243">
      <w:pPr>
        <w:spacing w:line="264" w:lineRule="auto"/>
        <w:jc w:val="both"/>
        <w:rPr>
          <w:rFonts w:cstheme="minorHAnsi"/>
          <w:sz w:val="24"/>
          <w:szCs w:val="24"/>
          <w:lang w:val="en-GB"/>
        </w:rPr>
      </w:pPr>
      <w:r>
        <w:rPr>
          <w:rFonts w:cstheme="minorHAnsi"/>
          <w:sz w:val="24"/>
          <w:szCs w:val="24"/>
          <w:lang w:val="en-GB"/>
        </w:rPr>
        <w:t>Submission of applications is divided in to two stages – preselection and full-proposals evaluation. Only those applicants who will successfully accomplish  preselection in China and Poland will be invited to submit full proposals for final evaluation. Each proposal shall comprise a project description and further formal and financial information according to the required form.</w:t>
      </w:r>
    </w:p>
    <w:p w14:paraId="5C54E160" w14:textId="77777777" w:rsidR="00EC7754" w:rsidRDefault="00907243">
      <w:pPr>
        <w:spacing w:line="264" w:lineRule="auto"/>
        <w:jc w:val="both"/>
        <w:rPr>
          <w:rFonts w:cstheme="minorHAnsi"/>
          <w:sz w:val="24"/>
          <w:szCs w:val="24"/>
          <w:lang w:val="en-GB"/>
        </w:rPr>
      </w:pPr>
      <w:r>
        <w:rPr>
          <w:rFonts w:cstheme="minorHAnsi"/>
          <w:b/>
          <w:bCs/>
          <w:sz w:val="24"/>
          <w:szCs w:val="24"/>
          <w:lang w:val="en-GB"/>
        </w:rPr>
        <w:t>Poland</w:t>
      </w:r>
      <w:r>
        <w:rPr>
          <w:rFonts w:cstheme="minorHAnsi"/>
          <w:sz w:val="24"/>
          <w:szCs w:val="24"/>
          <w:lang w:val="en-GB"/>
        </w:rPr>
        <w:t>: A grant application must be submitted by email address in NCBR:</w:t>
      </w:r>
      <w:r>
        <w:rPr>
          <w:rFonts w:cstheme="minorHAnsi"/>
          <w:sz w:val="23"/>
          <w:szCs w:val="23"/>
          <w:lang w:val="en-US"/>
        </w:rPr>
        <w:t xml:space="preserve"> </w:t>
      </w:r>
      <w:hyperlink r:id="rId8" w:history="1">
        <w:r>
          <w:rPr>
            <w:rStyle w:val="Hipercze"/>
            <w:rFonts w:cstheme="minorHAnsi"/>
            <w:sz w:val="24"/>
            <w:szCs w:val="24"/>
            <w:lang w:val="en-GB"/>
          </w:rPr>
          <w:t>china@ncbr.gov.pl</w:t>
        </w:r>
      </w:hyperlink>
      <w:r>
        <w:rPr>
          <w:rFonts w:cstheme="minorHAnsi"/>
          <w:sz w:val="24"/>
          <w:szCs w:val="24"/>
          <w:lang w:val="en-GB"/>
        </w:rPr>
        <w:t xml:space="preserve">  </w:t>
      </w:r>
    </w:p>
    <w:p w14:paraId="3F5714C3" w14:textId="03C5CA22" w:rsidR="00EC7754" w:rsidRDefault="00907243">
      <w:pPr>
        <w:spacing w:line="264" w:lineRule="auto"/>
        <w:jc w:val="both"/>
        <w:rPr>
          <w:rFonts w:cstheme="minorHAnsi"/>
          <w:sz w:val="24"/>
          <w:szCs w:val="24"/>
          <w:lang w:val="en-US" w:eastAsia="zh-CN"/>
        </w:rPr>
      </w:pPr>
      <w:r>
        <w:rPr>
          <w:rFonts w:cstheme="minorHAnsi"/>
          <w:b/>
          <w:bCs/>
          <w:sz w:val="24"/>
          <w:szCs w:val="24"/>
          <w:lang w:val="en-GB"/>
        </w:rPr>
        <w:t>China</w:t>
      </w:r>
      <w:r>
        <w:rPr>
          <w:rFonts w:cstheme="minorHAnsi"/>
          <w:sz w:val="24"/>
          <w:szCs w:val="24"/>
          <w:lang w:val="en-GB"/>
        </w:rPr>
        <w:t>: A grant application must be submitted to:</w:t>
      </w:r>
      <w:r>
        <w:rPr>
          <w:rFonts w:cstheme="minorHAnsi"/>
          <w:sz w:val="24"/>
          <w:szCs w:val="24"/>
          <w:lang w:val="en-US" w:eastAsia="zh-CN"/>
        </w:rPr>
        <w:t xml:space="preserve"> National Science and Technology Information System, Public Service Platform</w:t>
      </w:r>
      <w:r w:rsidR="00AD16BD">
        <w:rPr>
          <w:rFonts w:cstheme="minorHAnsi"/>
          <w:sz w:val="24"/>
          <w:szCs w:val="24"/>
          <w:lang w:val="en-US" w:eastAsia="zh-CN"/>
        </w:rPr>
        <w:t>.</w:t>
      </w:r>
      <w:r>
        <w:fldChar w:fldCharType="begin"/>
      </w:r>
      <w:r w:rsidRPr="00907243">
        <w:rPr>
          <w:lang w:val="en-US"/>
        </w:rPr>
        <w:instrText xml:space="preserve">http://service.most.gov.cn/" </w:instrText>
      </w:r>
      <w:r>
        <w:fldChar w:fldCharType="separate"/>
      </w:r>
      <w:r>
        <w:rPr>
          <w:rStyle w:val="Hipercze"/>
          <w:rFonts w:cstheme="minorHAnsi"/>
          <w:sz w:val="24"/>
          <w:szCs w:val="24"/>
          <w:lang w:val="en-GB"/>
        </w:rPr>
        <w:t>http://service.most.gov.cn/</w:t>
      </w:r>
      <w:r>
        <w:rPr>
          <w:rStyle w:val="Hipercze"/>
          <w:rFonts w:cstheme="minorHAnsi"/>
          <w:sz w:val="24"/>
          <w:szCs w:val="24"/>
          <w:lang w:val="en-GB"/>
        </w:rPr>
        <w:fldChar w:fldCharType="end"/>
      </w:r>
      <w:r>
        <w:rPr>
          <w:rFonts w:cstheme="minorHAnsi" w:hint="eastAsia"/>
          <w:sz w:val="24"/>
          <w:szCs w:val="24"/>
          <w:lang w:val="en-US" w:eastAsia="zh-CN"/>
        </w:rPr>
        <w:t xml:space="preserve"> </w:t>
      </w:r>
    </w:p>
    <w:p w14:paraId="0AC46478"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Application for both China and Poland must be submitted </w:t>
      </w:r>
      <w:r>
        <w:rPr>
          <w:rFonts w:cstheme="minorHAnsi"/>
          <w:b/>
          <w:sz w:val="24"/>
          <w:szCs w:val="24"/>
          <w:lang w:val="en-GB"/>
        </w:rPr>
        <w:t xml:space="preserve">no later than </w:t>
      </w:r>
      <w:r>
        <w:rPr>
          <w:rFonts w:cstheme="minorHAnsi"/>
          <w:b/>
          <w:sz w:val="24"/>
          <w:szCs w:val="24"/>
          <w:lang w:val="en-US" w:eastAsia="zh-CN"/>
        </w:rPr>
        <w:t>30</w:t>
      </w:r>
      <w:r>
        <w:rPr>
          <w:rFonts w:cstheme="minorHAnsi"/>
          <w:b/>
          <w:sz w:val="24"/>
          <w:szCs w:val="24"/>
          <w:lang w:val="en-GB"/>
        </w:rPr>
        <w:t xml:space="preserve"> June 2022</w:t>
      </w:r>
      <w:r>
        <w:rPr>
          <w:rFonts w:cstheme="minorHAnsi"/>
          <w:sz w:val="24"/>
          <w:szCs w:val="24"/>
          <w:lang w:val="en-GB"/>
        </w:rPr>
        <w:t>. Submissions received after the deadline will not be processed.</w:t>
      </w:r>
    </w:p>
    <w:p w14:paraId="1884E858" w14:textId="77777777" w:rsidR="00EC7754" w:rsidRDefault="00907243">
      <w:pPr>
        <w:pStyle w:val="Akapitzlist1"/>
        <w:numPr>
          <w:ilvl w:val="0"/>
          <w:numId w:val="1"/>
        </w:numPr>
        <w:spacing w:before="300" w:line="264" w:lineRule="auto"/>
        <w:ind w:left="425" w:hanging="425"/>
        <w:contextualSpacing w:val="0"/>
        <w:rPr>
          <w:rFonts w:cstheme="minorHAnsi"/>
          <w:b/>
          <w:sz w:val="24"/>
          <w:szCs w:val="24"/>
          <w:lang w:val="en-GB"/>
        </w:rPr>
      </w:pPr>
      <w:r>
        <w:rPr>
          <w:rFonts w:cstheme="minorHAnsi"/>
          <w:b/>
          <w:sz w:val="24"/>
          <w:szCs w:val="24"/>
          <w:lang w:val="en-GB"/>
        </w:rPr>
        <w:t>Evaluation procedure</w:t>
      </w:r>
    </w:p>
    <w:p w14:paraId="3DD2442C" w14:textId="77777777" w:rsidR="00EC7754" w:rsidRDefault="00907243">
      <w:pPr>
        <w:spacing w:line="264" w:lineRule="auto"/>
        <w:jc w:val="both"/>
        <w:rPr>
          <w:rFonts w:cstheme="minorHAnsi"/>
          <w:sz w:val="24"/>
          <w:szCs w:val="24"/>
          <w:lang w:val="en-GB"/>
        </w:rPr>
      </w:pPr>
      <w:r>
        <w:rPr>
          <w:rFonts w:cstheme="minorHAnsi"/>
          <w:sz w:val="24"/>
          <w:szCs w:val="24"/>
          <w:lang w:val="en-GB"/>
        </w:rPr>
        <w:t>The preproposals and  full proposals will be evaluated according to the national regulations of the funding institutions. The final decisions on what projects to support will be made by the funding institutions based on evaluations from the external experts, national priorities and funding criteria. The evaluation process includes three steps:</w:t>
      </w:r>
    </w:p>
    <w:p w14:paraId="468E1B69" w14:textId="77777777" w:rsidR="00EC7754" w:rsidRDefault="00907243">
      <w:pPr>
        <w:pStyle w:val="Akapitzlist2"/>
        <w:numPr>
          <w:ilvl w:val="0"/>
          <w:numId w:val="3"/>
        </w:numPr>
        <w:spacing w:before="100" w:beforeAutospacing="1" w:after="100" w:afterAutospacing="1" w:line="264" w:lineRule="auto"/>
        <w:rPr>
          <w:rFonts w:cstheme="minorHAnsi"/>
          <w:b/>
          <w:bCs/>
          <w:sz w:val="24"/>
          <w:szCs w:val="24"/>
          <w:lang w:val="en-GB"/>
        </w:rPr>
      </w:pPr>
      <w:r>
        <w:rPr>
          <w:rFonts w:cstheme="minorHAnsi"/>
          <w:b/>
          <w:bCs/>
          <w:sz w:val="24"/>
          <w:szCs w:val="24"/>
          <w:lang w:val="en-GB"/>
        </w:rPr>
        <w:t>Eligibility check</w:t>
      </w:r>
    </w:p>
    <w:p w14:paraId="54BE534D" w14:textId="77777777" w:rsidR="00EC7754" w:rsidRDefault="00907243">
      <w:pPr>
        <w:spacing w:before="100" w:beforeAutospacing="1" w:line="264" w:lineRule="auto"/>
        <w:rPr>
          <w:rFonts w:cstheme="minorHAnsi"/>
          <w:sz w:val="24"/>
          <w:szCs w:val="24"/>
          <w:lang w:val="en-GB"/>
        </w:rPr>
      </w:pPr>
      <w:r>
        <w:rPr>
          <w:rFonts w:cstheme="minorHAnsi"/>
          <w:sz w:val="24"/>
          <w:szCs w:val="24"/>
          <w:lang w:val="en-GB"/>
        </w:rPr>
        <w:t>The following general eligibility criteria will be checked:</w:t>
      </w:r>
    </w:p>
    <w:p w14:paraId="248E87BE" w14:textId="77777777" w:rsidR="00EC7754" w:rsidRDefault="00907243">
      <w:pPr>
        <w:pStyle w:val="Akapitzlist1"/>
        <w:spacing w:before="200" w:after="100" w:afterAutospacing="1" w:line="240" w:lineRule="auto"/>
        <w:ind w:left="0" w:firstLineChars="300" w:firstLine="720"/>
        <w:contextualSpacing w:val="0"/>
        <w:rPr>
          <w:rFonts w:cstheme="minorHAnsi"/>
          <w:sz w:val="24"/>
          <w:szCs w:val="24"/>
          <w:lang w:val="en-GB"/>
        </w:rPr>
      </w:pPr>
      <w:r>
        <w:rPr>
          <w:rFonts w:cstheme="minorHAnsi"/>
          <w:sz w:val="24"/>
          <w:szCs w:val="24"/>
          <w:lang w:val="en-GB"/>
        </w:rPr>
        <w:t>appropriate length of the proposal,</w:t>
      </w:r>
    </w:p>
    <w:p w14:paraId="0AFA448A" w14:textId="77777777" w:rsidR="00EC7754" w:rsidRDefault="00907243">
      <w:pPr>
        <w:pStyle w:val="Akapitzlist1"/>
        <w:spacing w:before="200" w:after="100" w:afterAutospacing="1" w:line="240" w:lineRule="auto"/>
        <w:ind w:left="0" w:firstLineChars="300" w:firstLine="720"/>
        <w:contextualSpacing w:val="0"/>
        <w:rPr>
          <w:rFonts w:cstheme="minorHAnsi"/>
          <w:sz w:val="24"/>
          <w:szCs w:val="24"/>
          <w:lang w:val="en-GB"/>
        </w:rPr>
      </w:pPr>
      <w:r>
        <w:rPr>
          <w:rFonts w:cstheme="minorHAnsi"/>
          <w:sz w:val="24"/>
          <w:szCs w:val="24"/>
          <w:lang w:val="en-GB"/>
        </w:rPr>
        <w:t>inclusion of all necessary information,</w:t>
      </w:r>
    </w:p>
    <w:p w14:paraId="3E2424AB" w14:textId="77777777" w:rsidR="00EC7754" w:rsidRDefault="00907243">
      <w:pPr>
        <w:pStyle w:val="Akapitzlist1"/>
        <w:spacing w:before="100" w:beforeAutospacing="1" w:after="100" w:afterAutospacing="1" w:line="240" w:lineRule="auto"/>
        <w:ind w:left="0" w:firstLineChars="300" w:firstLine="720"/>
        <w:rPr>
          <w:rFonts w:cstheme="minorHAnsi"/>
          <w:sz w:val="24"/>
          <w:szCs w:val="24"/>
          <w:lang w:val="en-GB"/>
        </w:rPr>
      </w:pPr>
      <w:r>
        <w:rPr>
          <w:rFonts w:cstheme="minorHAnsi"/>
          <w:sz w:val="24"/>
          <w:szCs w:val="24"/>
          <w:lang w:val="en-GB"/>
        </w:rPr>
        <w:t>eligibility of project partners,</w:t>
      </w:r>
    </w:p>
    <w:p w14:paraId="0B9F995A" w14:textId="77777777" w:rsidR="00EC7754" w:rsidRDefault="00907243">
      <w:pPr>
        <w:pStyle w:val="Akapitzlist1"/>
        <w:spacing w:before="100" w:beforeAutospacing="1" w:after="100" w:afterAutospacing="1" w:line="240" w:lineRule="auto"/>
        <w:ind w:left="0" w:firstLineChars="300" w:firstLine="720"/>
        <w:rPr>
          <w:rFonts w:cstheme="minorHAnsi"/>
          <w:sz w:val="24"/>
          <w:szCs w:val="24"/>
          <w:lang w:val="en-GB"/>
        </w:rPr>
      </w:pPr>
      <w:r>
        <w:rPr>
          <w:rFonts w:cstheme="minorHAnsi"/>
          <w:sz w:val="24"/>
          <w:szCs w:val="24"/>
          <w:lang w:val="en-GB"/>
        </w:rPr>
        <w:t>participation of researchers from both Poland and China,</w:t>
      </w:r>
    </w:p>
    <w:p w14:paraId="04CAD463" w14:textId="77777777" w:rsidR="00EC7754" w:rsidRDefault="00907243">
      <w:pPr>
        <w:pStyle w:val="Akapitzlist1"/>
        <w:spacing w:before="100" w:beforeAutospacing="1" w:after="100" w:afterAutospacing="1" w:line="240" w:lineRule="auto"/>
        <w:ind w:left="0" w:firstLineChars="300" w:firstLine="720"/>
        <w:rPr>
          <w:rFonts w:cstheme="minorHAnsi"/>
          <w:sz w:val="24"/>
          <w:szCs w:val="24"/>
          <w:lang w:val="en-GB"/>
        </w:rPr>
      </w:pPr>
      <w:r>
        <w:rPr>
          <w:rFonts w:cstheme="minorHAnsi"/>
          <w:sz w:val="24"/>
          <w:szCs w:val="24"/>
          <w:lang w:val="en-GB"/>
        </w:rPr>
        <w:t>eligibility of required funding,</w:t>
      </w:r>
    </w:p>
    <w:p w14:paraId="74428066" w14:textId="77777777" w:rsidR="00EC7754" w:rsidRDefault="00907243">
      <w:pPr>
        <w:pStyle w:val="Akapitzlist1"/>
        <w:spacing w:before="100" w:beforeAutospacing="1" w:after="100" w:afterAutospacing="1" w:line="240" w:lineRule="auto"/>
        <w:ind w:left="0" w:firstLineChars="300" w:firstLine="720"/>
        <w:rPr>
          <w:rFonts w:cstheme="minorHAnsi"/>
          <w:sz w:val="24"/>
          <w:szCs w:val="24"/>
          <w:lang w:val="en-GB"/>
        </w:rPr>
      </w:pPr>
      <w:r>
        <w:rPr>
          <w:rFonts w:cstheme="minorHAnsi"/>
          <w:sz w:val="24"/>
          <w:szCs w:val="24"/>
          <w:lang w:val="en-GB"/>
        </w:rPr>
        <w:t xml:space="preserve">accordance between national application forms submitted by the Polish and Chinese partners to the MOST and the Polish partners to the NCBR. </w:t>
      </w:r>
    </w:p>
    <w:p w14:paraId="3644D03A" w14:textId="77777777" w:rsidR="00EC7754" w:rsidRDefault="00907243">
      <w:pPr>
        <w:pStyle w:val="Akapitzlist2"/>
        <w:numPr>
          <w:ilvl w:val="0"/>
          <w:numId w:val="3"/>
        </w:numPr>
        <w:spacing w:before="100" w:beforeAutospacing="1" w:line="264" w:lineRule="auto"/>
        <w:rPr>
          <w:rFonts w:cstheme="minorHAnsi"/>
          <w:b/>
          <w:bCs/>
          <w:sz w:val="24"/>
          <w:szCs w:val="24"/>
          <w:lang w:val="en-GB"/>
        </w:rPr>
      </w:pPr>
      <w:r>
        <w:rPr>
          <w:rFonts w:cstheme="minorHAnsi"/>
          <w:b/>
          <w:bCs/>
          <w:sz w:val="24"/>
          <w:szCs w:val="24"/>
          <w:lang w:val="en-GB"/>
        </w:rPr>
        <w:t>pre-proposals: peer review</w:t>
      </w:r>
    </w:p>
    <w:p w14:paraId="08F50EA0" w14:textId="77777777" w:rsidR="00EC7754" w:rsidRDefault="00907243">
      <w:pPr>
        <w:spacing w:before="100" w:beforeAutospacing="1" w:line="264" w:lineRule="auto"/>
        <w:jc w:val="both"/>
        <w:rPr>
          <w:rFonts w:cstheme="minorHAnsi"/>
          <w:sz w:val="24"/>
          <w:szCs w:val="24"/>
          <w:lang w:val="en-GB"/>
        </w:rPr>
      </w:pPr>
      <w:r>
        <w:rPr>
          <w:rFonts w:cstheme="minorHAnsi"/>
          <w:sz w:val="24"/>
          <w:szCs w:val="24"/>
          <w:lang w:val="en-GB"/>
        </w:rPr>
        <w:t>Independent scientific experts will carry out the anonymous peer review of the eligible project proposals according to evaluation criteria. Each proposal will be evaluated separately by Polish reviewers</w:t>
      </w:r>
      <w:r>
        <w:rPr>
          <w:rFonts w:cstheme="minorHAnsi" w:hint="eastAsia"/>
          <w:sz w:val="24"/>
          <w:szCs w:val="24"/>
          <w:lang w:val="en-US" w:eastAsia="zh-CN"/>
        </w:rPr>
        <w:t xml:space="preserve">, and by </w:t>
      </w:r>
      <w:r>
        <w:rPr>
          <w:rFonts w:cstheme="minorHAnsi"/>
          <w:sz w:val="24"/>
          <w:szCs w:val="24"/>
          <w:lang w:val="en-GB"/>
        </w:rPr>
        <w:t xml:space="preserve">Chinese </w:t>
      </w:r>
      <w:r>
        <w:rPr>
          <w:rFonts w:cstheme="minorHAnsi" w:hint="eastAsia"/>
          <w:sz w:val="24"/>
          <w:szCs w:val="24"/>
          <w:lang w:val="en-US" w:eastAsia="zh-CN"/>
        </w:rPr>
        <w:t>reviewers only if the number of submitted proposals is 4 times the number of finally funded</w:t>
      </w:r>
      <w:r>
        <w:rPr>
          <w:rFonts w:cstheme="minorHAnsi"/>
          <w:sz w:val="24"/>
          <w:szCs w:val="24"/>
          <w:lang w:val="en-GB"/>
        </w:rPr>
        <w:t>.</w:t>
      </w:r>
    </w:p>
    <w:p w14:paraId="3C3EC387" w14:textId="77777777" w:rsidR="00EC7754" w:rsidRDefault="00907243">
      <w:pPr>
        <w:spacing w:before="100" w:beforeAutospacing="1" w:after="100" w:afterAutospacing="1" w:line="264" w:lineRule="auto"/>
        <w:contextualSpacing/>
        <w:rPr>
          <w:rFonts w:cstheme="minorHAnsi"/>
          <w:sz w:val="24"/>
          <w:szCs w:val="24"/>
          <w:lang w:val="en-GB"/>
        </w:rPr>
      </w:pPr>
      <w:r>
        <w:rPr>
          <w:rFonts w:cstheme="minorHAnsi"/>
          <w:sz w:val="24"/>
          <w:szCs w:val="24"/>
          <w:lang w:val="en-GB"/>
        </w:rPr>
        <w:t>The evaluation is done based on the following criteria:</w:t>
      </w:r>
    </w:p>
    <w:p w14:paraId="4EDFDCBF" w14:textId="77777777" w:rsidR="00EC7754" w:rsidRDefault="00907243">
      <w:pPr>
        <w:pStyle w:val="Akapitzlist1"/>
        <w:numPr>
          <w:ilvl w:val="0"/>
          <w:numId w:val="4"/>
        </w:numPr>
        <w:spacing w:before="100" w:beforeAutospacing="1" w:after="100" w:afterAutospacing="1" w:line="264" w:lineRule="auto"/>
        <w:jc w:val="both"/>
        <w:rPr>
          <w:rFonts w:cstheme="minorHAnsi"/>
          <w:sz w:val="24"/>
          <w:szCs w:val="24"/>
          <w:lang w:val="en-GB"/>
        </w:rPr>
      </w:pPr>
      <w:r>
        <w:rPr>
          <w:rFonts w:cstheme="minorHAnsi"/>
          <w:sz w:val="24"/>
          <w:szCs w:val="24"/>
          <w:lang w:val="en-GB"/>
        </w:rPr>
        <w:lastRenderedPageBreak/>
        <w:t>Coherence with the call topic;</w:t>
      </w:r>
    </w:p>
    <w:p w14:paraId="7D2468E5" w14:textId="77777777" w:rsidR="00EC7754" w:rsidRDefault="00907243">
      <w:pPr>
        <w:pStyle w:val="Akapitzlist1"/>
        <w:numPr>
          <w:ilvl w:val="0"/>
          <w:numId w:val="4"/>
        </w:numPr>
        <w:spacing w:before="100" w:beforeAutospacing="1" w:after="100" w:afterAutospacing="1" w:line="264" w:lineRule="auto"/>
        <w:jc w:val="both"/>
        <w:rPr>
          <w:rFonts w:cstheme="minorHAnsi"/>
          <w:sz w:val="24"/>
          <w:szCs w:val="24"/>
          <w:lang w:val="en-GB"/>
        </w:rPr>
      </w:pPr>
      <w:r>
        <w:rPr>
          <w:rFonts w:cstheme="minorHAnsi"/>
          <w:sz w:val="24"/>
          <w:szCs w:val="24"/>
          <w:lang w:val="en-GB"/>
        </w:rPr>
        <w:t>Scientific excellence and originality of the proposal;</w:t>
      </w:r>
    </w:p>
    <w:p w14:paraId="78D90D67" w14:textId="77777777" w:rsidR="00EC7754" w:rsidRDefault="00907243">
      <w:pPr>
        <w:pStyle w:val="Akapitzlist1"/>
        <w:numPr>
          <w:ilvl w:val="0"/>
          <w:numId w:val="4"/>
        </w:numPr>
        <w:spacing w:before="100" w:beforeAutospacing="1" w:after="100" w:afterAutospacing="1" w:line="264" w:lineRule="auto"/>
        <w:jc w:val="both"/>
        <w:rPr>
          <w:rFonts w:cstheme="minorHAnsi"/>
          <w:sz w:val="24"/>
          <w:szCs w:val="24"/>
          <w:lang w:val="en-GB"/>
        </w:rPr>
      </w:pPr>
      <w:r>
        <w:rPr>
          <w:rFonts w:cstheme="minorHAnsi"/>
          <w:sz w:val="24"/>
          <w:szCs w:val="24"/>
          <w:lang w:val="en-GB"/>
        </w:rPr>
        <w:t>Bilateral cooperation and transnational added value.</w:t>
      </w:r>
    </w:p>
    <w:p w14:paraId="39E41E22" w14:textId="77777777" w:rsidR="00EC7754" w:rsidRDefault="00EC7754">
      <w:pPr>
        <w:pStyle w:val="Akapitzlist1"/>
        <w:spacing w:before="100" w:beforeAutospacing="1" w:after="100" w:afterAutospacing="1" w:line="264" w:lineRule="auto"/>
        <w:ind w:left="0"/>
        <w:jc w:val="both"/>
        <w:rPr>
          <w:rFonts w:cstheme="minorHAnsi"/>
          <w:sz w:val="24"/>
          <w:szCs w:val="24"/>
          <w:lang w:val="en-GB"/>
        </w:rPr>
      </w:pPr>
    </w:p>
    <w:p w14:paraId="7F64BF9C" w14:textId="77777777" w:rsidR="00EC7754" w:rsidRDefault="00907243">
      <w:pPr>
        <w:pStyle w:val="Akapitzlist1"/>
        <w:spacing w:before="100" w:beforeAutospacing="1" w:after="100" w:afterAutospacing="1" w:line="264" w:lineRule="auto"/>
        <w:ind w:left="0"/>
        <w:jc w:val="both"/>
        <w:rPr>
          <w:rFonts w:cstheme="minorHAnsi"/>
          <w:sz w:val="24"/>
          <w:szCs w:val="24"/>
          <w:lang w:val="en-GB"/>
        </w:rPr>
      </w:pPr>
      <w:r>
        <w:rPr>
          <w:rFonts w:cstheme="minorHAnsi"/>
          <w:sz w:val="24"/>
          <w:szCs w:val="24"/>
          <w:lang w:val="en-GB"/>
        </w:rPr>
        <w:t>All pre-proposals are assessed whether they fit the description of the thematic research priorities. If a pre-proposal is not coherent with the call topic it will be rejected from further evaluation.</w:t>
      </w:r>
    </w:p>
    <w:p w14:paraId="5717CBE4" w14:textId="77777777" w:rsidR="00EC7754" w:rsidRDefault="00907243">
      <w:pPr>
        <w:pStyle w:val="Akapitzlist2"/>
        <w:numPr>
          <w:ilvl w:val="0"/>
          <w:numId w:val="3"/>
        </w:numPr>
        <w:spacing w:before="100" w:beforeAutospacing="1" w:line="264" w:lineRule="auto"/>
        <w:rPr>
          <w:rFonts w:cstheme="minorHAnsi"/>
          <w:b/>
          <w:bCs/>
          <w:sz w:val="24"/>
          <w:szCs w:val="24"/>
          <w:lang w:val="en-GB"/>
        </w:rPr>
      </w:pPr>
      <w:r>
        <w:rPr>
          <w:rFonts w:cstheme="minorHAnsi"/>
          <w:b/>
          <w:bCs/>
          <w:sz w:val="24"/>
          <w:szCs w:val="24"/>
          <w:lang w:val="en-GB"/>
        </w:rPr>
        <w:t>full proposals: peer review</w:t>
      </w:r>
    </w:p>
    <w:p w14:paraId="46F5CC5C" w14:textId="77777777" w:rsidR="00EC7754" w:rsidRDefault="00907243">
      <w:pPr>
        <w:spacing w:before="100" w:beforeAutospacing="1" w:after="100" w:afterAutospacing="1" w:line="264" w:lineRule="auto"/>
        <w:contextualSpacing/>
        <w:jc w:val="both"/>
        <w:rPr>
          <w:rFonts w:cstheme="minorHAnsi"/>
          <w:sz w:val="24"/>
          <w:szCs w:val="24"/>
          <w:lang w:val="en-GB"/>
        </w:rPr>
      </w:pPr>
      <w:r>
        <w:rPr>
          <w:rFonts w:cstheme="minorHAnsi"/>
          <w:sz w:val="24"/>
          <w:szCs w:val="24"/>
          <w:lang w:val="en-GB"/>
        </w:rPr>
        <w:t>Independent scientific experts will carry out the anonymous peer review of the eligible project proposals according to evaluation criteria. Each proposal will be evaluated separately by Chinese and Polish reviewers.</w:t>
      </w:r>
    </w:p>
    <w:p w14:paraId="5EADB9CA" w14:textId="77777777" w:rsidR="00EC7754" w:rsidRDefault="00EC7754">
      <w:pPr>
        <w:spacing w:before="100" w:beforeAutospacing="1" w:after="100" w:afterAutospacing="1" w:line="264" w:lineRule="auto"/>
        <w:contextualSpacing/>
        <w:rPr>
          <w:rFonts w:cstheme="minorHAnsi"/>
          <w:sz w:val="24"/>
          <w:szCs w:val="24"/>
          <w:highlight w:val="yellow"/>
          <w:lang w:val="en-GB"/>
        </w:rPr>
      </w:pPr>
    </w:p>
    <w:p w14:paraId="49BD6874" w14:textId="77777777" w:rsidR="00EC7754" w:rsidRDefault="00907243">
      <w:pPr>
        <w:spacing w:before="100" w:beforeAutospacing="1" w:after="100" w:afterAutospacing="1" w:line="264" w:lineRule="auto"/>
        <w:contextualSpacing/>
        <w:rPr>
          <w:rFonts w:cstheme="minorHAnsi"/>
          <w:sz w:val="24"/>
          <w:szCs w:val="24"/>
          <w:lang w:val="en-GB"/>
        </w:rPr>
      </w:pPr>
      <w:r>
        <w:rPr>
          <w:rFonts w:cstheme="minorHAnsi"/>
          <w:sz w:val="24"/>
          <w:szCs w:val="24"/>
          <w:lang w:val="en-GB"/>
        </w:rPr>
        <w:t>The evaluation is done based on the following criteria:</w:t>
      </w:r>
    </w:p>
    <w:p w14:paraId="025CFD77" w14:textId="77777777" w:rsidR="00EC7754" w:rsidRDefault="00907243">
      <w:pPr>
        <w:pStyle w:val="Akapitzlist1"/>
        <w:numPr>
          <w:ilvl w:val="0"/>
          <w:numId w:val="5"/>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Coherence with the call topic;</w:t>
      </w:r>
    </w:p>
    <w:p w14:paraId="4474711B" w14:textId="77777777" w:rsidR="00EC7754" w:rsidRDefault="00907243">
      <w:pPr>
        <w:pStyle w:val="Akapitzlist1"/>
        <w:numPr>
          <w:ilvl w:val="0"/>
          <w:numId w:val="5"/>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Scientific excellence and originality of the proposal:</w:t>
      </w:r>
    </w:p>
    <w:p w14:paraId="4223FF76"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originality of project idea,</w:t>
      </w:r>
    </w:p>
    <w:p w14:paraId="7A0C3CDD"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innovative potential,</w:t>
      </w:r>
    </w:p>
    <w:p w14:paraId="4287D2CF"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quality (sound concept, appropriate methods, quality of objectives).</w:t>
      </w:r>
    </w:p>
    <w:p w14:paraId="6FAF3805" w14:textId="77777777" w:rsidR="00EC7754" w:rsidRDefault="00907243">
      <w:pPr>
        <w:pStyle w:val="Akapitzlist1"/>
        <w:numPr>
          <w:ilvl w:val="0"/>
          <w:numId w:val="5"/>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Feasibility, quality and efficiency of the project plan:</w:t>
      </w:r>
    </w:p>
    <w:p w14:paraId="30051C71"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effectiveness of the methodology,</w:t>
      </w:r>
    </w:p>
    <w:p w14:paraId="4F20E202"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feasibility (governance, adequate budget, resources, time schedule),</w:t>
      </w:r>
    </w:p>
    <w:p w14:paraId="3B8B4117"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investigators’ knowledge and experience in the field of research: scientific track–record, publications in scientific journals,</w:t>
      </w:r>
    </w:p>
    <w:p w14:paraId="684CEB71"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relevance and strengths of partners (including resources and infrastructure),</w:t>
      </w:r>
    </w:p>
    <w:p w14:paraId="69F130F4" w14:textId="77777777" w:rsidR="00EC7754" w:rsidRDefault="00907243">
      <w:pPr>
        <w:pStyle w:val="Akapitzlist1"/>
        <w:numPr>
          <w:ilvl w:val="0"/>
          <w:numId w:val="5"/>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Potential impact and contribution to the scientific community, expected exploitation of the results:</w:t>
      </w:r>
    </w:p>
    <w:p w14:paraId="64EFF7D9"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intended short-term outcomes,</w:t>
      </w:r>
    </w:p>
    <w:p w14:paraId="65043FA8"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intended long-term impacts.</w:t>
      </w:r>
    </w:p>
    <w:p w14:paraId="6F0B0B96" w14:textId="77777777" w:rsidR="00EC7754" w:rsidRDefault="00907243">
      <w:pPr>
        <w:pStyle w:val="Akapitzlist1"/>
        <w:numPr>
          <w:ilvl w:val="0"/>
          <w:numId w:val="5"/>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Bilateral cooperation and transnational added value:</w:t>
      </w:r>
    </w:p>
    <w:p w14:paraId="15C8677D"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cohesion of the proposed research,</w:t>
      </w:r>
    </w:p>
    <w:p w14:paraId="4436F2C3" w14:textId="77777777" w:rsidR="00EC7754" w:rsidRDefault="00907243">
      <w:pPr>
        <w:pStyle w:val="Akapitzlist1"/>
        <w:numPr>
          <w:ilvl w:val="0"/>
          <w:numId w:val="6"/>
        </w:numPr>
        <w:spacing w:before="100" w:beforeAutospacing="1" w:after="100" w:afterAutospacing="1" w:line="264" w:lineRule="auto"/>
        <w:ind w:left="714" w:hanging="357"/>
        <w:jc w:val="both"/>
        <w:rPr>
          <w:rFonts w:cstheme="minorHAnsi"/>
          <w:sz w:val="24"/>
          <w:szCs w:val="24"/>
          <w:lang w:val="en-GB"/>
        </w:rPr>
      </w:pPr>
      <w:r>
        <w:rPr>
          <w:rFonts w:cstheme="minorHAnsi"/>
          <w:sz w:val="24"/>
          <w:szCs w:val="24"/>
          <w:lang w:val="en-GB"/>
        </w:rPr>
        <w:t>level of the collaborative interaction between project partners,</w:t>
      </w:r>
    </w:p>
    <w:p w14:paraId="0B0C0034" w14:textId="77777777" w:rsidR="00EC7754" w:rsidRDefault="00907243">
      <w:pPr>
        <w:pStyle w:val="Akapitzlist1"/>
        <w:numPr>
          <w:ilvl w:val="0"/>
          <w:numId w:val="6"/>
        </w:numPr>
        <w:spacing w:before="100" w:beforeAutospacing="1" w:after="100" w:afterAutospacing="1" w:line="264" w:lineRule="auto"/>
        <w:jc w:val="both"/>
        <w:rPr>
          <w:rFonts w:cstheme="minorHAnsi"/>
          <w:sz w:val="24"/>
          <w:szCs w:val="24"/>
          <w:lang w:val="en-GB"/>
        </w:rPr>
      </w:pPr>
      <w:r>
        <w:rPr>
          <w:rFonts w:cstheme="minorHAnsi"/>
          <w:sz w:val="24"/>
          <w:szCs w:val="24"/>
          <w:lang w:val="en-GB"/>
        </w:rPr>
        <w:t>sustainability of the expected collaboration.</w:t>
      </w:r>
    </w:p>
    <w:p w14:paraId="66708ACD" w14:textId="77777777" w:rsidR="00EC7754" w:rsidRDefault="00907243">
      <w:pPr>
        <w:spacing w:before="100" w:beforeAutospacing="1" w:line="264" w:lineRule="auto"/>
        <w:jc w:val="both"/>
        <w:rPr>
          <w:rFonts w:cstheme="minorHAnsi"/>
          <w:sz w:val="24"/>
          <w:szCs w:val="24"/>
          <w:lang w:val="en-GB"/>
        </w:rPr>
      </w:pPr>
      <w:r>
        <w:rPr>
          <w:rFonts w:cstheme="minorHAnsi"/>
          <w:sz w:val="24"/>
          <w:szCs w:val="24"/>
          <w:lang w:val="en-GB"/>
        </w:rPr>
        <w:t>All proposals are assessed whether they fit the description of the thematic research priorities. If a proposal is not coherent with the call topic it will be rejected from further evaluation.</w:t>
      </w:r>
    </w:p>
    <w:p w14:paraId="0689D85B" w14:textId="77777777" w:rsidR="00EC7754" w:rsidRDefault="00907243">
      <w:pPr>
        <w:pStyle w:val="Akapitzlist2"/>
        <w:numPr>
          <w:ilvl w:val="0"/>
          <w:numId w:val="3"/>
        </w:numPr>
        <w:spacing w:before="300" w:line="264" w:lineRule="auto"/>
        <w:rPr>
          <w:rFonts w:cstheme="minorHAnsi"/>
          <w:b/>
          <w:bCs/>
          <w:sz w:val="24"/>
          <w:szCs w:val="24"/>
          <w:lang w:val="en-GB"/>
        </w:rPr>
      </w:pPr>
      <w:r>
        <w:rPr>
          <w:rFonts w:cstheme="minorHAnsi"/>
          <w:b/>
          <w:bCs/>
          <w:sz w:val="24"/>
          <w:szCs w:val="24"/>
          <w:lang w:val="en-GB"/>
        </w:rPr>
        <w:t>Ranking list</w:t>
      </w:r>
    </w:p>
    <w:p w14:paraId="713DD487" w14:textId="77777777" w:rsidR="00EC7754" w:rsidRDefault="00907243">
      <w:pPr>
        <w:spacing w:before="100" w:beforeAutospacing="1" w:after="100" w:afterAutospacing="1" w:line="264" w:lineRule="auto"/>
        <w:jc w:val="both"/>
        <w:rPr>
          <w:rFonts w:cstheme="minorHAnsi"/>
          <w:sz w:val="24"/>
          <w:szCs w:val="24"/>
          <w:lang w:val="en-GB"/>
        </w:rPr>
      </w:pPr>
      <w:r>
        <w:rPr>
          <w:rFonts w:cstheme="minorHAnsi"/>
          <w:sz w:val="24"/>
          <w:szCs w:val="24"/>
          <w:lang w:val="en-GB"/>
        </w:rPr>
        <w:lastRenderedPageBreak/>
        <w:t>Following national evaluation, a ranking list of projects to be funded will be drafted through consultations between the MOST and the NCBR and approved by both funding institutions.</w:t>
      </w:r>
    </w:p>
    <w:p w14:paraId="6C0F2518" w14:textId="77777777" w:rsidR="00EC7754" w:rsidRDefault="00907243">
      <w:pPr>
        <w:pStyle w:val="Akapitzlist1"/>
        <w:numPr>
          <w:ilvl w:val="0"/>
          <w:numId w:val="1"/>
        </w:numPr>
        <w:spacing w:before="300" w:line="264" w:lineRule="auto"/>
        <w:ind w:left="567" w:hanging="567"/>
        <w:contextualSpacing w:val="0"/>
        <w:rPr>
          <w:rFonts w:cstheme="minorHAnsi"/>
          <w:b/>
          <w:sz w:val="24"/>
          <w:szCs w:val="24"/>
          <w:lang w:val="en-GB"/>
        </w:rPr>
      </w:pPr>
      <w:r>
        <w:rPr>
          <w:rFonts w:cstheme="minorHAnsi"/>
          <w:b/>
          <w:sz w:val="24"/>
          <w:szCs w:val="24"/>
          <w:lang w:val="en-GB"/>
        </w:rPr>
        <w:t>Communication of project evaluation decisions</w:t>
      </w:r>
    </w:p>
    <w:p w14:paraId="1C0EF2D8" w14:textId="77777777" w:rsidR="00EC7754" w:rsidRDefault="00907243">
      <w:pPr>
        <w:spacing w:line="264" w:lineRule="auto"/>
        <w:jc w:val="both"/>
        <w:rPr>
          <w:rFonts w:cstheme="minorHAnsi"/>
          <w:sz w:val="24"/>
          <w:szCs w:val="24"/>
          <w:lang w:val="en-GB"/>
        </w:rPr>
      </w:pPr>
      <w:r>
        <w:rPr>
          <w:rFonts w:cstheme="minorHAnsi"/>
          <w:sz w:val="24"/>
          <w:szCs w:val="24"/>
          <w:lang w:val="en-GB"/>
        </w:rPr>
        <w:t>The outcome of the evaluation of the proposals will be communicated to applicants in accordance with the respective communication procedures of the funding institutions.</w:t>
      </w:r>
    </w:p>
    <w:p w14:paraId="04871C51" w14:textId="77777777" w:rsidR="00EC7754" w:rsidRDefault="00907243">
      <w:pPr>
        <w:pStyle w:val="Akapitzlist1"/>
        <w:numPr>
          <w:ilvl w:val="0"/>
          <w:numId w:val="1"/>
        </w:numPr>
        <w:spacing w:before="300" w:line="264" w:lineRule="auto"/>
        <w:ind w:left="567" w:hanging="567"/>
        <w:contextualSpacing w:val="0"/>
        <w:rPr>
          <w:rFonts w:cstheme="minorHAnsi"/>
          <w:b/>
          <w:sz w:val="24"/>
          <w:szCs w:val="24"/>
          <w:lang w:val="en-GB"/>
        </w:rPr>
      </w:pPr>
      <w:r>
        <w:rPr>
          <w:rFonts w:cstheme="minorHAnsi"/>
          <w:b/>
          <w:sz w:val="24"/>
          <w:szCs w:val="24"/>
          <w:lang w:val="en-GB"/>
        </w:rPr>
        <w:t>Decision process and the start of projects</w:t>
      </w:r>
    </w:p>
    <w:p w14:paraId="4E560CB7" w14:textId="77777777" w:rsidR="00EC7754" w:rsidRDefault="00907243">
      <w:pPr>
        <w:spacing w:line="264" w:lineRule="auto"/>
        <w:jc w:val="both"/>
        <w:rPr>
          <w:rFonts w:cstheme="minorHAnsi"/>
          <w:sz w:val="24"/>
          <w:szCs w:val="24"/>
          <w:lang w:val="en-GB"/>
        </w:rPr>
      </w:pPr>
      <w:r>
        <w:rPr>
          <w:rFonts w:cstheme="minorHAnsi"/>
          <w:sz w:val="24"/>
          <w:szCs w:val="24"/>
          <w:lang w:val="en-GB"/>
        </w:rPr>
        <w:t>The formal funding decisions will be taken jointly by the funding institutions after the proposals have been evaluated by the external experts. Each country will fund its own project partners.</w:t>
      </w:r>
    </w:p>
    <w:p w14:paraId="5632B8A6" w14:textId="77777777" w:rsidR="00EC7754" w:rsidRDefault="00907243">
      <w:pPr>
        <w:spacing w:before="200" w:line="264" w:lineRule="auto"/>
        <w:jc w:val="both"/>
        <w:rPr>
          <w:rFonts w:cstheme="minorHAnsi"/>
          <w:sz w:val="24"/>
          <w:szCs w:val="24"/>
          <w:highlight w:val="yellow"/>
          <w:lang w:val="en-GB"/>
        </w:rPr>
      </w:pPr>
      <w:r>
        <w:rPr>
          <w:rFonts w:cstheme="minorHAnsi"/>
          <w:sz w:val="24"/>
          <w:szCs w:val="24"/>
          <w:lang w:val="en-GB"/>
        </w:rPr>
        <w:t>When final decisions have been conveyed to project participants, successful applicants must enter into individual contractual agreements with their national funding institutions. A consortium agreement must be concluded between the project partners and has to regulate, inter alia, duties and responsibilities, use of project results and intellectual property rights (IPR) issues. The consortium agreement and the above mentioned individual contractual agreements are prerequisites for the first payments made to the project partners from the national funding institutions. The involved funding institutions will monitor and supervise the funded projects (reporting).</w:t>
      </w:r>
    </w:p>
    <w:p w14:paraId="72E28EEB" w14:textId="77777777" w:rsidR="00EC7754" w:rsidRDefault="00907243">
      <w:pPr>
        <w:pStyle w:val="Akapitzlist1"/>
        <w:numPr>
          <w:ilvl w:val="0"/>
          <w:numId w:val="1"/>
        </w:numPr>
        <w:spacing w:before="300" w:line="264" w:lineRule="auto"/>
        <w:ind w:left="567" w:hanging="567"/>
        <w:contextualSpacing w:val="0"/>
        <w:rPr>
          <w:rFonts w:cstheme="minorHAnsi"/>
          <w:b/>
          <w:sz w:val="24"/>
          <w:szCs w:val="24"/>
          <w:lang w:val="en-GB"/>
        </w:rPr>
      </w:pPr>
      <w:r>
        <w:rPr>
          <w:rFonts w:cstheme="minorHAnsi"/>
          <w:b/>
          <w:sz w:val="24"/>
          <w:szCs w:val="24"/>
          <w:lang w:val="en-GB"/>
        </w:rPr>
        <w:t>Contact points</w:t>
      </w:r>
    </w:p>
    <w:p w14:paraId="7891CCAC" w14:textId="77777777" w:rsidR="00EC7754" w:rsidRDefault="00907243">
      <w:pPr>
        <w:spacing w:line="264" w:lineRule="auto"/>
        <w:jc w:val="both"/>
        <w:rPr>
          <w:rFonts w:cstheme="minorHAnsi"/>
          <w:sz w:val="24"/>
          <w:szCs w:val="24"/>
          <w:lang w:val="en-GB"/>
        </w:rPr>
      </w:pPr>
      <w:r>
        <w:rPr>
          <w:rFonts w:cstheme="minorHAnsi"/>
          <w:sz w:val="24"/>
          <w:szCs w:val="24"/>
          <w:lang w:val="en-GB"/>
        </w:rPr>
        <w:t xml:space="preserve">Potential applicants are advised to contact the national contact points before writing proposals to carefully check the specific national application and funding conditions. </w:t>
      </w:r>
    </w:p>
    <w:p w14:paraId="0C65D3B4" w14:textId="77777777" w:rsidR="00EC7754" w:rsidRDefault="00907243">
      <w:pPr>
        <w:spacing w:line="264" w:lineRule="auto"/>
        <w:rPr>
          <w:rFonts w:cstheme="minorHAnsi"/>
          <w:sz w:val="24"/>
          <w:szCs w:val="24"/>
          <w:lang w:val="en-GB"/>
        </w:rPr>
      </w:pPr>
      <w:r>
        <w:rPr>
          <w:rFonts w:cstheme="minorHAnsi"/>
          <w:sz w:val="24"/>
          <w:szCs w:val="24"/>
          <w:lang w:val="en-GB"/>
        </w:rPr>
        <w:t>The respective contact points are:</w:t>
      </w:r>
    </w:p>
    <w:p w14:paraId="3977658D" w14:textId="77777777" w:rsidR="00EC7754" w:rsidRDefault="00907243">
      <w:pPr>
        <w:spacing w:after="0" w:line="264" w:lineRule="auto"/>
        <w:rPr>
          <w:rFonts w:cstheme="minorHAnsi"/>
          <w:sz w:val="24"/>
          <w:szCs w:val="24"/>
        </w:rPr>
      </w:pPr>
      <w:r>
        <w:rPr>
          <w:rFonts w:cstheme="minorHAnsi"/>
          <w:sz w:val="24"/>
          <w:szCs w:val="24"/>
        </w:rPr>
        <w:t>Contact NCBR:</w:t>
      </w:r>
    </w:p>
    <w:p w14:paraId="347F9ECD" w14:textId="77777777" w:rsidR="00EC7754" w:rsidRDefault="00907243">
      <w:pPr>
        <w:spacing w:after="0" w:line="264" w:lineRule="auto"/>
        <w:rPr>
          <w:rFonts w:cstheme="minorHAnsi"/>
          <w:sz w:val="24"/>
          <w:szCs w:val="24"/>
        </w:rPr>
      </w:pPr>
      <w:r>
        <w:rPr>
          <w:rFonts w:cstheme="minorHAnsi"/>
          <w:sz w:val="24"/>
          <w:szCs w:val="24"/>
        </w:rPr>
        <w:t>Izabela Rzepczyńska</w:t>
      </w:r>
    </w:p>
    <w:p w14:paraId="1EFBEA61" w14:textId="77777777" w:rsidR="00EC7754" w:rsidRDefault="00907243">
      <w:pPr>
        <w:spacing w:after="0" w:line="264" w:lineRule="auto"/>
        <w:rPr>
          <w:rFonts w:cstheme="minorHAnsi"/>
          <w:sz w:val="24"/>
          <w:szCs w:val="24"/>
        </w:rPr>
      </w:pPr>
      <w:r>
        <w:rPr>
          <w:rFonts w:cstheme="minorHAnsi"/>
          <w:sz w:val="24"/>
          <w:szCs w:val="24"/>
        </w:rPr>
        <w:t>tel.: +48 515-061-529</w:t>
      </w:r>
    </w:p>
    <w:p w14:paraId="415B3ECA" w14:textId="77777777" w:rsidR="00EC7754" w:rsidRDefault="00907243">
      <w:pPr>
        <w:spacing w:after="0" w:line="264" w:lineRule="auto"/>
        <w:rPr>
          <w:rFonts w:cstheme="minorHAnsi"/>
          <w:sz w:val="24"/>
          <w:szCs w:val="24"/>
          <w:lang w:val="en-GB"/>
        </w:rPr>
      </w:pPr>
      <w:r>
        <w:rPr>
          <w:rFonts w:cstheme="minorHAnsi"/>
          <w:sz w:val="24"/>
          <w:szCs w:val="24"/>
          <w:lang w:val="en-GB"/>
        </w:rPr>
        <w:t>e-mail: izabela.rzepczynska</w:t>
      </w:r>
      <w:r>
        <w:rPr>
          <w:rStyle w:val="Hipercze"/>
          <w:rFonts w:cstheme="minorHAnsi"/>
          <w:sz w:val="24"/>
          <w:szCs w:val="24"/>
          <w:lang w:val="en-GB"/>
        </w:rPr>
        <w:t>@ncbr.gov.pl</w:t>
      </w:r>
      <w:r>
        <w:rPr>
          <w:rFonts w:cstheme="minorHAnsi"/>
          <w:sz w:val="24"/>
          <w:szCs w:val="24"/>
          <w:lang w:val="en-GB"/>
        </w:rPr>
        <w:t xml:space="preserve"> </w:t>
      </w:r>
    </w:p>
    <w:p w14:paraId="6484A405" w14:textId="77777777" w:rsidR="00EC7754" w:rsidRDefault="00EC7754">
      <w:pPr>
        <w:spacing w:after="0" w:line="264" w:lineRule="auto"/>
        <w:rPr>
          <w:rFonts w:cstheme="minorHAnsi"/>
          <w:sz w:val="24"/>
          <w:szCs w:val="24"/>
          <w:highlight w:val="yellow"/>
          <w:lang w:val="en-GB"/>
        </w:rPr>
      </w:pPr>
    </w:p>
    <w:p w14:paraId="4F954F73" w14:textId="77777777" w:rsidR="00EC7754" w:rsidRDefault="00907243">
      <w:pPr>
        <w:spacing w:after="0" w:line="264" w:lineRule="auto"/>
        <w:rPr>
          <w:rFonts w:cstheme="minorHAnsi"/>
          <w:sz w:val="24"/>
          <w:szCs w:val="24"/>
          <w:lang w:val="en-GB"/>
        </w:rPr>
      </w:pPr>
      <w:r>
        <w:rPr>
          <w:rFonts w:cstheme="minorHAnsi"/>
          <w:sz w:val="24"/>
          <w:szCs w:val="24"/>
          <w:lang w:val="en-GB"/>
        </w:rPr>
        <w:t>Contact MoST:</w:t>
      </w:r>
    </w:p>
    <w:p w14:paraId="2E15BD61" w14:textId="77777777" w:rsidR="00EC7754" w:rsidRDefault="00907243">
      <w:pPr>
        <w:spacing w:after="0"/>
        <w:jc w:val="both"/>
        <w:rPr>
          <w:rFonts w:eastAsia="PMingLiU" w:cstheme="minorHAnsi"/>
          <w:sz w:val="24"/>
          <w:szCs w:val="24"/>
          <w:lang w:val="en-GB" w:eastAsia="zh-TW"/>
        </w:rPr>
      </w:pPr>
      <w:r>
        <w:rPr>
          <w:rFonts w:cstheme="minorHAnsi"/>
          <w:sz w:val="24"/>
          <w:szCs w:val="24"/>
          <w:lang w:val="en-US" w:eastAsia="zh-CN"/>
        </w:rPr>
        <w:t>DUAN Yuying</w:t>
      </w:r>
    </w:p>
    <w:p w14:paraId="130EFA79" w14:textId="77777777" w:rsidR="00EC7754" w:rsidRDefault="00907243">
      <w:pPr>
        <w:spacing w:after="0"/>
        <w:jc w:val="both"/>
        <w:rPr>
          <w:rFonts w:eastAsia="SimSun" w:cstheme="minorHAnsi"/>
          <w:sz w:val="24"/>
          <w:szCs w:val="24"/>
          <w:lang w:val="de-DE" w:eastAsia="zh-TW"/>
        </w:rPr>
      </w:pPr>
      <w:r>
        <w:rPr>
          <w:rFonts w:cstheme="minorHAnsi"/>
          <w:sz w:val="24"/>
          <w:szCs w:val="24"/>
          <w:lang w:val="de-DE" w:eastAsia="zh-TW"/>
        </w:rPr>
        <w:t xml:space="preserve">Tel </w:t>
      </w:r>
      <w:r>
        <w:rPr>
          <w:rFonts w:cstheme="minorHAnsi"/>
          <w:sz w:val="24"/>
          <w:szCs w:val="24"/>
          <w:lang w:val="en-US" w:eastAsia="zh-CN"/>
        </w:rPr>
        <w:t>+86 10 58881370</w:t>
      </w:r>
    </w:p>
    <w:p w14:paraId="40ABAB54" w14:textId="77777777" w:rsidR="00EC7754" w:rsidRDefault="00907243">
      <w:pPr>
        <w:jc w:val="both"/>
        <w:rPr>
          <w:rFonts w:cstheme="minorHAnsi"/>
          <w:sz w:val="24"/>
          <w:szCs w:val="24"/>
          <w:lang w:val="fr-FR" w:eastAsia="zh-TW"/>
        </w:rPr>
      </w:pPr>
      <w:r>
        <w:rPr>
          <w:rFonts w:cstheme="minorHAnsi"/>
          <w:sz w:val="24"/>
          <w:szCs w:val="24"/>
          <w:lang w:val="fr-FR" w:eastAsia="zh-TW"/>
        </w:rPr>
        <w:t xml:space="preserve">e-mail: </w:t>
      </w:r>
      <w:r>
        <w:rPr>
          <w:rFonts w:cstheme="minorHAnsi"/>
          <w:sz w:val="24"/>
          <w:szCs w:val="24"/>
          <w:lang w:val="en-US" w:eastAsia="zh-CN"/>
        </w:rPr>
        <w:t xml:space="preserve">duanyy@most.cn   </w:t>
      </w:r>
    </w:p>
    <w:sectPr w:rsidR="00EC7754">
      <w:headerReference w:type="default" r:id="rId9"/>
      <w:footerReference w:type="default" r:id="rId10"/>
      <w:headerReference w:type="first" r:id="rId11"/>
      <w:footerReference w:type="firs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492A" w14:textId="77777777" w:rsidR="00925528" w:rsidRDefault="00925528">
      <w:pPr>
        <w:spacing w:after="0" w:line="240" w:lineRule="auto"/>
      </w:pPr>
      <w:r>
        <w:separator/>
      </w:r>
    </w:p>
  </w:endnote>
  <w:endnote w:type="continuationSeparator" w:id="0">
    <w:p w14:paraId="226D0C4A" w14:textId="77777777" w:rsidR="00925528" w:rsidRDefault="0092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271"/>
    </w:sdtPr>
    <w:sdtEndPr/>
    <w:sdtContent>
      <w:sdt>
        <w:sdtPr>
          <w:id w:val="810570653"/>
        </w:sdtPr>
        <w:sdtEndPr/>
        <w:sdtContent>
          <w:p w14:paraId="35C7F78C" w14:textId="2A5B9032" w:rsidR="00EC7754" w:rsidRDefault="00907243">
            <w:pPr>
              <w:pStyle w:val="Stopka"/>
              <w:jc w:val="right"/>
            </w:pPr>
            <w:r>
              <w:t xml:space="preserve"> </w:t>
            </w:r>
            <w:r>
              <w:rPr>
                <w:b/>
                <w:sz w:val="24"/>
                <w:szCs w:val="24"/>
              </w:rPr>
              <w:fldChar w:fldCharType="begin"/>
            </w:r>
            <w:r>
              <w:rPr>
                <w:b/>
              </w:rPr>
              <w:instrText>PAGE</w:instrText>
            </w:r>
            <w:r>
              <w:rPr>
                <w:b/>
                <w:sz w:val="24"/>
                <w:szCs w:val="24"/>
              </w:rPr>
              <w:fldChar w:fldCharType="separate"/>
            </w:r>
            <w:r w:rsidR="00A27866">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27866">
              <w:rPr>
                <w:b/>
                <w:noProof/>
              </w:rPr>
              <w:t>5</w:t>
            </w:r>
            <w:r>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293"/>
    </w:sdtPr>
    <w:sdtEndPr/>
    <w:sdtContent>
      <w:sdt>
        <w:sdtPr>
          <w:id w:val="7446292"/>
        </w:sdtPr>
        <w:sdtEndPr/>
        <w:sdtContent>
          <w:p w14:paraId="5A728C53" w14:textId="77777777" w:rsidR="00EC7754" w:rsidRDefault="00907243">
            <w:pPr>
              <w:pStyle w:val="Stopka"/>
              <w:jc w:val="right"/>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9D8B" w14:textId="77777777" w:rsidR="00925528" w:rsidRDefault="00925528">
      <w:pPr>
        <w:spacing w:after="0" w:line="240" w:lineRule="auto"/>
      </w:pPr>
      <w:r>
        <w:separator/>
      </w:r>
    </w:p>
  </w:footnote>
  <w:footnote w:type="continuationSeparator" w:id="0">
    <w:p w14:paraId="60F87EA8" w14:textId="77777777" w:rsidR="00925528" w:rsidRDefault="0092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4"/>
      <w:gridCol w:w="4535"/>
    </w:tblGrid>
    <w:tr w:rsidR="00EC7754" w14:paraId="6410AF42" w14:textId="77777777">
      <w:tc>
        <w:tcPr>
          <w:tcW w:w="4534" w:type="dxa"/>
        </w:tcPr>
        <w:p w14:paraId="6049F07C" w14:textId="77777777" w:rsidR="00EC7754" w:rsidRDefault="00EC7754">
          <w:pPr>
            <w:pStyle w:val="Nagwek"/>
            <w:ind w:left="567"/>
            <w:rPr>
              <w:lang w:val="en-US"/>
            </w:rPr>
          </w:pPr>
        </w:p>
      </w:tc>
      <w:tc>
        <w:tcPr>
          <w:tcW w:w="4535" w:type="dxa"/>
          <w:vMerge w:val="restart"/>
        </w:tcPr>
        <w:p w14:paraId="0F9BB8E4" w14:textId="77777777" w:rsidR="00EC7754" w:rsidRDefault="00907243">
          <w:pPr>
            <w:pStyle w:val="Nagwek"/>
            <w:tabs>
              <w:tab w:val="center" w:pos="2159"/>
              <w:tab w:val="right" w:pos="4319"/>
            </w:tabs>
            <w:rPr>
              <w:lang w:val="en-US"/>
            </w:rPr>
          </w:pPr>
          <w:r>
            <w:rPr>
              <w:lang w:val="en-US"/>
            </w:rPr>
            <w:tab/>
          </w:r>
          <w:r>
            <w:rPr>
              <w:noProof/>
            </w:rPr>
            <w:drawing>
              <wp:inline distT="0" distB="0" distL="0" distR="0" wp14:anchorId="4EE6FC29" wp14:editId="0E649228">
                <wp:extent cx="1958340" cy="687705"/>
                <wp:effectExtent l="0" t="0" r="3810" b="0"/>
                <wp:docPr id="3" name="Obraz 3" descr="V:\dzialy\BWM\DWM\Polska-Norwegia\Nowy Norweski\Logotypy\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V:\dzialy\BWM\DWM\Polska-Norwegia\Nowy Norweski\Logotypy\ncbr_logo_z_czerwonym_napi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6698" cy="701776"/>
                        </a:xfrm>
                        <a:prstGeom prst="rect">
                          <a:avLst/>
                        </a:prstGeom>
                        <a:noFill/>
                        <a:ln>
                          <a:noFill/>
                        </a:ln>
                      </pic:spPr>
                    </pic:pic>
                  </a:graphicData>
                </a:graphic>
              </wp:inline>
            </w:drawing>
          </w:r>
          <w:r>
            <w:rPr>
              <w:lang w:val="en-US"/>
            </w:rPr>
            <w:tab/>
          </w:r>
        </w:p>
      </w:tc>
    </w:tr>
    <w:tr w:rsidR="00EC7754" w14:paraId="0D324824" w14:textId="77777777">
      <w:tc>
        <w:tcPr>
          <w:tcW w:w="4534" w:type="dxa"/>
          <w:vAlign w:val="center"/>
        </w:tcPr>
        <w:p w14:paraId="6F206C29" w14:textId="77777777" w:rsidR="00EC7754" w:rsidRDefault="00EC7754">
          <w:pPr>
            <w:pStyle w:val="Nagwek"/>
            <w:rPr>
              <w:lang w:val="en-US"/>
            </w:rPr>
          </w:pPr>
        </w:p>
      </w:tc>
      <w:tc>
        <w:tcPr>
          <w:tcW w:w="4535" w:type="dxa"/>
          <w:vMerge/>
        </w:tcPr>
        <w:p w14:paraId="49E26465" w14:textId="77777777" w:rsidR="00EC7754" w:rsidRDefault="00EC7754">
          <w:pPr>
            <w:pStyle w:val="Nagwek"/>
            <w:rPr>
              <w:lang w:val="en-US"/>
            </w:rPr>
          </w:pPr>
        </w:p>
      </w:tc>
    </w:tr>
  </w:tbl>
  <w:p w14:paraId="5D065190" w14:textId="77777777" w:rsidR="00EC7754" w:rsidRDefault="00EC7754">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4"/>
      <w:gridCol w:w="4535"/>
    </w:tblGrid>
    <w:tr w:rsidR="00EC7754" w14:paraId="2B0F192D" w14:textId="77777777">
      <w:tc>
        <w:tcPr>
          <w:tcW w:w="4534" w:type="dxa"/>
        </w:tcPr>
        <w:p w14:paraId="1FC71D64" w14:textId="77777777" w:rsidR="00EC7754" w:rsidRDefault="00EC7754">
          <w:pPr>
            <w:pStyle w:val="Nagwek"/>
            <w:ind w:left="567"/>
            <w:rPr>
              <w:lang w:val="en-US"/>
            </w:rPr>
          </w:pPr>
        </w:p>
      </w:tc>
      <w:tc>
        <w:tcPr>
          <w:tcW w:w="4535" w:type="dxa"/>
          <w:vMerge w:val="restart"/>
        </w:tcPr>
        <w:p w14:paraId="34BF543B" w14:textId="77777777" w:rsidR="00EC7754" w:rsidRDefault="00907243">
          <w:pPr>
            <w:pStyle w:val="Nagwek"/>
            <w:jc w:val="right"/>
            <w:rPr>
              <w:lang w:val="en-US"/>
            </w:rPr>
          </w:pPr>
          <w:r>
            <w:rPr>
              <w:noProof/>
            </w:rPr>
            <w:drawing>
              <wp:inline distT="0" distB="0" distL="0" distR="0" wp14:anchorId="4347B32A" wp14:editId="30B139A9">
                <wp:extent cx="1958340" cy="687705"/>
                <wp:effectExtent l="0" t="0" r="3810" b="0"/>
                <wp:docPr id="1" name="Obraz 1" descr="V:\dzialy\BWM\DWM\Polska-Norwegia\Nowy Norweski\Logotypy\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V:\dzialy\BWM\DWM\Polska-Norwegia\Nowy Norweski\Logotypy\ncbr_logo_z_czerwonym_napi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6698" cy="701776"/>
                        </a:xfrm>
                        <a:prstGeom prst="rect">
                          <a:avLst/>
                        </a:prstGeom>
                        <a:noFill/>
                        <a:ln>
                          <a:noFill/>
                        </a:ln>
                      </pic:spPr>
                    </pic:pic>
                  </a:graphicData>
                </a:graphic>
              </wp:inline>
            </w:drawing>
          </w:r>
        </w:p>
      </w:tc>
    </w:tr>
    <w:tr w:rsidR="00EC7754" w14:paraId="6B007A14" w14:textId="77777777">
      <w:tc>
        <w:tcPr>
          <w:tcW w:w="4534" w:type="dxa"/>
          <w:vAlign w:val="center"/>
        </w:tcPr>
        <w:p w14:paraId="7D45A098" w14:textId="77777777" w:rsidR="00EC7754" w:rsidRDefault="00EC7754">
          <w:pPr>
            <w:pStyle w:val="Nagwek"/>
            <w:rPr>
              <w:highlight w:val="yellow"/>
              <w:lang w:val="en-US"/>
            </w:rPr>
          </w:pPr>
        </w:p>
      </w:tc>
      <w:tc>
        <w:tcPr>
          <w:tcW w:w="4535" w:type="dxa"/>
          <w:vMerge/>
        </w:tcPr>
        <w:p w14:paraId="732EF1D5" w14:textId="77777777" w:rsidR="00EC7754" w:rsidRDefault="00EC7754">
          <w:pPr>
            <w:pStyle w:val="Nagwek"/>
            <w:rPr>
              <w:lang w:val="en-US"/>
            </w:rPr>
          </w:pPr>
        </w:p>
      </w:tc>
    </w:tr>
  </w:tbl>
  <w:p w14:paraId="0C583B4B" w14:textId="77777777" w:rsidR="00EC7754" w:rsidRDefault="00EC7754">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B8F"/>
    <w:multiLevelType w:val="multilevel"/>
    <w:tmpl w:val="040B3B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A73F76"/>
    <w:multiLevelType w:val="multilevel"/>
    <w:tmpl w:val="37A73F76"/>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CD6F63"/>
    <w:multiLevelType w:val="multilevel"/>
    <w:tmpl w:val="3ECD6F6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4C6A55"/>
    <w:multiLevelType w:val="multilevel"/>
    <w:tmpl w:val="4F4C6A55"/>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4B3F86"/>
    <w:multiLevelType w:val="multilevel"/>
    <w:tmpl w:val="704B3F8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7B8B5128"/>
    <w:multiLevelType w:val="multilevel"/>
    <w:tmpl w:val="7B8B512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65"/>
    <w:rsid w:val="B5BF3123"/>
    <w:rsid w:val="E31BE6DE"/>
    <w:rsid w:val="EBE7E909"/>
    <w:rsid w:val="EDB739FB"/>
    <w:rsid w:val="F63E6A09"/>
    <w:rsid w:val="F7FFD330"/>
    <w:rsid w:val="FD570B45"/>
    <w:rsid w:val="FFF7C40A"/>
    <w:rsid w:val="00001FBB"/>
    <w:rsid w:val="00003F82"/>
    <w:rsid w:val="000113AD"/>
    <w:rsid w:val="00012AF7"/>
    <w:rsid w:val="00013BB3"/>
    <w:rsid w:val="00015259"/>
    <w:rsid w:val="00027A29"/>
    <w:rsid w:val="000353C4"/>
    <w:rsid w:val="00041A59"/>
    <w:rsid w:val="00041CB1"/>
    <w:rsid w:val="0005197E"/>
    <w:rsid w:val="0006559C"/>
    <w:rsid w:val="00066773"/>
    <w:rsid w:val="000673C3"/>
    <w:rsid w:val="0008162B"/>
    <w:rsid w:val="000859C6"/>
    <w:rsid w:val="000A3741"/>
    <w:rsid w:val="000A3B73"/>
    <w:rsid w:val="000B62D0"/>
    <w:rsid w:val="000C3340"/>
    <w:rsid w:val="000D3EA9"/>
    <w:rsid w:val="000D4228"/>
    <w:rsid w:val="000E0829"/>
    <w:rsid w:val="000E3939"/>
    <w:rsid w:val="000F144E"/>
    <w:rsid w:val="000F68DF"/>
    <w:rsid w:val="000F6E7E"/>
    <w:rsid w:val="000F722F"/>
    <w:rsid w:val="00123D2E"/>
    <w:rsid w:val="0012760D"/>
    <w:rsid w:val="001335AC"/>
    <w:rsid w:val="00133A45"/>
    <w:rsid w:val="0013662D"/>
    <w:rsid w:val="001454C0"/>
    <w:rsid w:val="001528A0"/>
    <w:rsid w:val="001549FE"/>
    <w:rsid w:val="00156413"/>
    <w:rsid w:val="00180234"/>
    <w:rsid w:val="00180308"/>
    <w:rsid w:val="00184E72"/>
    <w:rsid w:val="001960D5"/>
    <w:rsid w:val="001A1771"/>
    <w:rsid w:val="001A4260"/>
    <w:rsid w:val="001B4A15"/>
    <w:rsid w:val="001B7AA0"/>
    <w:rsid w:val="001C20CD"/>
    <w:rsid w:val="001E22F8"/>
    <w:rsid w:val="001E7879"/>
    <w:rsid w:val="001F08E3"/>
    <w:rsid w:val="001F29DF"/>
    <w:rsid w:val="001F317B"/>
    <w:rsid w:val="001F4B57"/>
    <w:rsid w:val="00205F3D"/>
    <w:rsid w:val="00217D93"/>
    <w:rsid w:val="00222FB1"/>
    <w:rsid w:val="002256B2"/>
    <w:rsid w:val="002264E1"/>
    <w:rsid w:val="00231500"/>
    <w:rsid w:val="002321C7"/>
    <w:rsid w:val="00234EDB"/>
    <w:rsid w:val="00241AD4"/>
    <w:rsid w:val="00250694"/>
    <w:rsid w:val="002602D2"/>
    <w:rsid w:val="00265B0A"/>
    <w:rsid w:val="00267061"/>
    <w:rsid w:val="00287B87"/>
    <w:rsid w:val="00296B8B"/>
    <w:rsid w:val="0029797A"/>
    <w:rsid w:val="002B1CFD"/>
    <w:rsid w:val="002B2C67"/>
    <w:rsid w:val="002B3161"/>
    <w:rsid w:val="002C0575"/>
    <w:rsid w:val="002C4F34"/>
    <w:rsid w:val="002E4822"/>
    <w:rsid w:val="002E7A0D"/>
    <w:rsid w:val="00301C7A"/>
    <w:rsid w:val="0030712A"/>
    <w:rsid w:val="00320A95"/>
    <w:rsid w:val="00320BDE"/>
    <w:rsid w:val="0032287E"/>
    <w:rsid w:val="0033037E"/>
    <w:rsid w:val="00352F20"/>
    <w:rsid w:val="00353CEB"/>
    <w:rsid w:val="00355FE9"/>
    <w:rsid w:val="003622E5"/>
    <w:rsid w:val="003645F6"/>
    <w:rsid w:val="00375BD2"/>
    <w:rsid w:val="00395EE7"/>
    <w:rsid w:val="003A1EB0"/>
    <w:rsid w:val="003B00A2"/>
    <w:rsid w:val="003B3A95"/>
    <w:rsid w:val="003B67DA"/>
    <w:rsid w:val="003C491A"/>
    <w:rsid w:val="003D03CE"/>
    <w:rsid w:val="003D1300"/>
    <w:rsid w:val="003D3F72"/>
    <w:rsid w:val="003E091D"/>
    <w:rsid w:val="003E440F"/>
    <w:rsid w:val="003F5C31"/>
    <w:rsid w:val="003F7738"/>
    <w:rsid w:val="0040402D"/>
    <w:rsid w:val="00404440"/>
    <w:rsid w:val="00412A34"/>
    <w:rsid w:val="004176D0"/>
    <w:rsid w:val="00420B42"/>
    <w:rsid w:val="00426E7B"/>
    <w:rsid w:val="004304A0"/>
    <w:rsid w:val="004328B0"/>
    <w:rsid w:val="004354D6"/>
    <w:rsid w:val="0045487B"/>
    <w:rsid w:val="00471409"/>
    <w:rsid w:val="00483BFB"/>
    <w:rsid w:val="00484150"/>
    <w:rsid w:val="0048573C"/>
    <w:rsid w:val="00487FD7"/>
    <w:rsid w:val="00490277"/>
    <w:rsid w:val="00490FD4"/>
    <w:rsid w:val="004A1090"/>
    <w:rsid w:val="004A6B26"/>
    <w:rsid w:val="004A7594"/>
    <w:rsid w:val="004B216D"/>
    <w:rsid w:val="004B4D29"/>
    <w:rsid w:val="004B60C8"/>
    <w:rsid w:val="004B7795"/>
    <w:rsid w:val="004C5A29"/>
    <w:rsid w:val="004C6C17"/>
    <w:rsid w:val="004D356B"/>
    <w:rsid w:val="004F3D78"/>
    <w:rsid w:val="005026A4"/>
    <w:rsid w:val="0051068F"/>
    <w:rsid w:val="00512468"/>
    <w:rsid w:val="00527C98"/>
    <w:rsid w:val="005508FE"/>
    <w:rsid w:val="00563E3B"/>
    <w:rsid w:val="00573972"/>
    <w:rsid w:val="005756A1"/>
    <w:rsid w:val="00577AA9"/>
    <w:rsid w:val="00577D58"/>
    <w:rsid w:val="005A39CB"/>
    <w:rsid w:val="005A68D5"/>
    <w:rsid w:val="005B6F5B"/>
    <w:rsid w:val="005D2FCC"/>
    <w:rsid w:val="005D45C5"/>
    <w:rsid w:val="005F746D"/>
    <w:rsid w:val="005F7EBE"/>
    <w:rsid w:val="005F7FCB"/>
    <w:rsid w:val="00605DC4"/>
    <w:rsid w:val="00615FFD"/>
    <w:rsid w:val="0061604C"/>
    <w:rsid w:val="006160DC"/>
    <w:rsid w:val="0062090A"/>
    <w:rsid w:val="00622188"/>
    <w:rsid w:val="006264BA"/>
    <w:rsid w:val="0062787F"/>
    <w:rsid w:val="00632482"/>
    <w:rsid w:val="006366DA"/>
    <w:rsid w:val="006457BF"/>
    <w:rsid w:val="006612C2"/>
    <w:rsid w:val="00664B24"/>
    <w:rsid w:val="00684019"/>
    <w:rsid w:val="00684A73"/>
    <w:rsid w:val="00685286"/>
    <w:rsid w:val="006869A9"/>
    <w:rsid w:val="00691E41"/>
    <w:rsid w:val="00692349"/>
    <w:rsid w:val="006960A6"/>
    <w:rsid w:val="006A31F6"/>
    <w:rsid w:val="006B00C4"/>
    <w:rsid w:val="006B3448"/>
    <w:rsid w:val="006B5C6F"/>
    <w:rsid w:val="006C1C36"/>
    <w:rsid w:val="006C3D06"/>
    <w:rsid w:val="006C58CE"/>
    <w:rsid w:val="006C5B59"/>
    <w:rsid w:val="006C6D3B"/>
    <w:rsid w:val="006C6F61"/>
    <w:rsid w:val="006D1AFE"/>
    <w:rsid w:val="006E0AB4"/>
    <w:rsid w:val="006E2786"/>
    <w:rsid w:val="006E6386"/>
    <w:rsid w:val="006E7A5D"/>
    <w:rsid w:val="00700C72"/>
    <w:rsid w:val="00707B19"/>
    <w:rsid w:val="00714009"/>
    <w:rsid w:val="0072076A"/>
    <w:rsid w:val="00750457"/>
    <w:rsid w:val="00753186"/>
    <w:rsid w:val="00755845"/>
    <w:rsid w:val="00756640"/>
    <w:rsid w:val="0075746D"/>
    <w:rsid w:val="00761848"/>
    <w:rsid w:val="00777CC2"/>
    <w:rsid w:val="00777D7D"/>
    <w:rsid w:val="00783ACC"/>
    <w:rsid w:val="00791812"/>
    <w:rsid w:val="00794970"/>
    <w:rsid w:val="00794FC5"/>
    <w:rsid w:val="007C42A3"/>
    <w:rsid w:val="007C58B3"/>
    <w:rsid w:val="007D36DE"/>
    <w:rsid w:val="007E2FE7"/>
    <w:rsid w:val="007E3C6A"/>
    <w:rsid w:val="007E4257"/>
    <w:rsid w:val="007E693F"/>
    <w:rsid w:val="007F2C85"/>
    <w:rsid w:val="007F4E76"/>
    <w:rsid w:val="00801F91"/>
    <w:rsid w:val="00802D59"/>
    <w:rsid w:val="00817438"/>
    <w:rsid w:val="00825E96"/>
    <w:rsid w:val="008469AB"/>
    <w:rsid w:val="008769B5"/>
    <w:rsid w:val="008776E6"/>
    <w:rsid w:val="0088297E"/>
    <w:rsid w:val="00882BF2"/>
    <w:rsid w:val="00895139"/>
    <w:rsid w:val="00897ABD"/>
    <w:rsid w:val="008A04DA"/>
    <w:rsid w:val="008A2BA9"/>
    <w:rsid w:val="008A54D6"/>
    <w:rsid w:val="008A6EDA"/>
    <w:rsid w:val="008B07E3"/>
    <w:rsid w:val="008B1D17"/>
    <w:rsid w:val="008B352D"/>
    <w:rsid w:val="008B7153"/>
    <w:rsid w:val="008C6397"/>
    <w:rsid w:val="008C7D9B"/>
    <w:rsid w:val="008D4B47"/>
    <w:rsid w:val="008D5BB2"/>
    <w:rsid w:val="008E40F4"/>
    <w:rsid w:val="008E6AE2"/>
    <w:rsid w:val="008F5763"/>
    <w:rsid w:val="00907243"/>
    <w:rsid w:val="009137AF"/>
    <w:rsid w:val="00925528"/>
    <w:rsid w:val="00926C2E"/>
    <w:rsid w:val="00932FFD"/>
    <w:rsid w:val="009431B8"/>
    <w:rsid w:val="0094406C"/>
    <w:rsid w:val="00951273"/>
    <w:rsid w:val="009526A0"/>
    <w:rsid w:val="00957004"/>
    <w:rsid w:val="00957403"/>
    <w:rsid w:val="009614C2"/>
    <w:rsid w:val="00970271"/>
    <w:rsid w:val="00970F86"/>
    <w:rsid w:val="00985D1D"/>
    <w:rsid w:val="009865D6"/>
    <w:rsid w:val="00994915"/>
    <w:rsid w:val="009967F9"/>
    <w:rsid w:val="00997FBE"/>
    <w:rsid w:val="009B5447"/>
    <w:rsid w:val="009C61C5"/>
    <w:rsid w:val="00A16C2B"/>
    <w:rsid w:val="00A27866"/>
    <w:rsid w:val="00A46CEA"/>
    <w:rsid w:val="00A52E62"/>
    <w:rsid w:val="00A55F27"/>
    <w:rsid w:val="00A63CAA"/>
    <w:rsid w:val="00A64DB3"/>
    <w:rsid w:val="00A70C4E"/>
    <w:rsid w:val="00AA3774"/>
    <w:rsid w:val="00AA38B3"/>
    <w:rsid w:val="00AB53B3"/>
    <w:rsid w:val="00AD01FB"/>
    <w:rsid w:val="00AD16BD"/>
    <w:rsid w:val="00AD36D4"/>
    <w:rsid w:val="00AF3043"/>
    <w:rsid w:val="00B12560"/>
    <w:rsid w:val="00B13518"/>
    <w:rsid w:val="00B14C0C"/>
    <w:rsid w:val="00B24984"/>
    <w:rsid w:val="00B33EE6"/>
    <w:rsid w:val="00B572B3"/>
    <w:rsid w:val="00B64D45"/>
    <w:rsid w:val="00B7348A"/>
    <w:rsid w:val="00B910CB"/>
    <w:rsid w:val="00B9210B"/>
    <w:rsid w:val="00B95200"/>
    <w:rsid w:val="00BB1758"/>
    <w:rsid w:val="00BC15BE"/>
    <w:rsid w:val="00BC2A7A"/>
    <w:rsid w:val="00BC35F4"/>
    <w:rsid w:val="00BE3F76"/>
    <w:rsid w:val="00BE451D"/>
    <w:rsid w:val="00BF1324"/>
    <w:rsid w:val="00BF2908"/>
    <w:rsid w:val="00BF56A8"/>
    <w:rsid w:val="00C066F3"/>
    <w:rsid w:val="00C147BC"/>
    <w:rsid w:val="00C203FF"/>
    <w:rsid w:val="00C27B3C"/>
    <w:rsid w:val="00C32361"/>
    <w:rsid w:val="00C40402"/>
    <w:rsid w:val="00C43F6E"/>
    <w:rsid w:val="00C47883"/>
    <w:rsid w:val="00C52254"/>
    <w:rsid w:val="00C55EF4"/>
    <w:rsid w:val="00C67A0B"/>
    <w:rsid w:val="00C82A1B"/>
    <w:rsid w:val="00C83FB3"/>
    <w:rsid w:val="00C86771"/>
    <w:rsid w:val="00CA5457"/>
    <w:rsid w:val="00CA6677"/>
    <w:rsid w:val="00CB4D38"/>
    <w:rsid w:val="00CB742B"/>
    <w:rsid w:val="00CC40CC"/>
    <w:rsid w:val="00CC4F52"/>
    <w:rsid w:val="00CD45D0"/>
    <w:rsid w:val="00CD48B6"/>
    <w:rsid w:val="00CE0AF2"/>
    <w:rsid w:val="00CE5965"/>
    <w:rsid w:val="00D1484A"/>
    <w:rsid w:val="00D318C7"/>
    <w:rsid w:val="00D41D86"/>
    <w:rsid w:val="00D4428B"/>
    <w:rsid w:val="00D469EB"/>
    <w:rsid w:val="00D519EF"/>
    <w:rsid w:val="00D55D49"/>
    <w:rsid w:val="00D70695"/>
    <w:rsid w:val="00D70CE2"/>
    <w:rsid w:val="00D70D51"/>
    <w:rsid w:val="00D825C0"/>
    <w:rsid w:val="00D84DCB"/>
    <w:rsid w:val="00D90312"/>
    <w:rsid w:val="00D97A7A"/>
    <w:rsid w:val="00DB2903"/>
    <w:rsid w:val="00DC335B"/>
    <w:rsid w:val="00DE003E"/>
    <w:rsid w:val="00DE1926"/>
    <w:rsid w:val="00DF09A5"/>
    <w:rsid w:val="00E43A6E"/>
    <w:rsid w:val="00E44BE3"/>
    <w:rsid w:val="00E47D1E"/>
    <w:rsid w:val="00E6249A"/>
    <w:rsid w:val="00E6625A"/>
    <w:rsid w:val="00E66F73"/>
    <w:rsid w:val="00E719CB"/>
    <w:rsid w:val="00E72F39"/>
    <w:rsid w:val="00E756EA"/>
    <w:rsid w:val="00E820EC"/>
    <w:rsid w:val="00E82ED6"/>
    <w:rsid w:val="00E91274"/>
    <w:rsid w:val="00E9236A"/>
    <w:rsid w:val="00E932E3"/>
    <w:rsid w:val="00E94BCD"/>
    <w:rsid w:val="00EA00F5"/>
    <w:rsid w:val="00EA38C4"/>
    <w:rsid w:val="00EA58BD"/>
    <w:rsid w:val="00EB3281"/>
    <w:rsid w:val="00EB653A"/>
    <w:rsid w:val="00EC2804"/>
    <w:rsid w:val="00EC3029"/>
    <w:rsid w:val="00EC61EF"/>
    <w:rsid w:val="00EC7754"/>
    <w:rsid w:val="00ED166B"/>
    <w:rsid w:val="00ED23E3"/>
    <w:rsid w:val="00EE531E"/>
    <w:rsid w:val="00F0067F"/>
    <w:rsid w:val="00F02297"/>
    <w:rsid w:val="00F040B5"/>
    <w:rsid w:val="00F04C47"/>
    <w:rsid w:val="00F1284A"/>
    <w:rsid w:val="00F13293"/>
    <w:rsid w:val="00F14EC6"/>
    <w:rsid w:val="00F21DD1"/>
    <w:rsid w:val="00F342C4"/>
    <w:rsid w:val="00F35972"/>
    <w:rsid w:val="00F41B67"/>
    <w:rsid w:val="00F41F02"/>
    <w:rsid w:val="00F43944"/>
    <w:rsid w:val="00F53E5A"/>
    <w:rsid w:val="00F544ED"/>
    <w:rsid w:val="00F57831"/>
    <w:rsid w:val="00F63645"/>
    <w:rsid w:val="00F70B1B"/>
    <w:rsid w:val="00F75E9F"/>
    <w:rsid w:val="00F85285"/>
    <w:rsid w:val="00F87D04"/>
    <w:rsid w:val="00FA0FFB"/>
    <w:rsid w:val="00FA5381"/>
    <w:rsid w:val="00FA5FB0"/>
    <w:rsid w:val="00FB5DE1"/>
    <w:rsid w:val="00FC01A6"/>
    <w:rsid w:val="00FC2F26"/>
    <w:rsid w:val="00FC750E"/>
    <w:rsid w:val="00FD38F0"/>
    <w:rsid w:val="00FF57A6"/>
    <w:rsid w:val="11C90A75"/>
    <w:rsid w:val="1A1E1E6B"/>
    <w:rsid w:val="27EF6896"/>
    <w:rsid w:val="29FF5A29"/>
    <w:rsid w:val="2ABA615C"/>
    <w:rsid w:val="31EF9933"/>
    <w:rsid w:val="35AE4C28"/>
    <w:rsid w:val="3604000C"/>
    <w:rsid w:val="3E6B64CC"/>
    <w:rsid w:val="4CFD25F5"/>
    <w:rsid w:val="5E167013"/>
    <w:rsid w:val="631F5294"/>
    <w:rsid w:val="6FBFD9D0"/>
    <w:rsid w:val="70AC1043"/>
    <w:rsid w:val="73FBBBBE"/>
    <w:rsid w:val="7AFFB51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7FB7"/>
  <w15:docId w15:val="{9046C423-6387-41A6-BEC7-7E1FB1F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Theme="minorHAnsi" w:eastAsiaTheme="minorEastAsia" w:hAnsiTheme="minorHAnsi" w:cstheme="minorBidi"/>
      <w:sz w:val="22"/>
      <w:szCs w:val="22"/>
    </w:rPr>
  </w:style>
  <w:style w:type="paragraph" w:styleId="Nagwek1">
    <w:name w:val="heading 1"/>
    <w:basedOn w:val="Normalny"/>
    <w:next w:val="Normalny"/>
    <w:link w:val="Nagwek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matkomentarza">
    <w:name w:val="annotation subject"/>
    <w:basedOn w:val="Tekstkomentarza"/>
    <w:next w:val="Tekstkomentarza"/>
    <w:link w:val="TematkomentarzaZnak"/>
    <w:uiPriority w:val="99"/>
    <w:unhideWhenUsed/>
    <w:qFormat/>
    <w:rPr>
      <w:b/>
      <w:bCs/>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kstdymka">
    <w:name w:val="Balloon Text"/>
    <w:basedOn w:val="Normalny"/>
    <w:link w:val="TekstdymkaZnak"/>
    <w:uiPriority w:val="99"/>
    <w:unhideWhenUsed/>
    <w:qFormat/>
    <w:pPr>
      <w:spacing w:after="0" w:line="240" w:lineRule="auto"/>
    </w:pPr>
    <w:rPr>
      <w:rFonts w:ascii="Tahoma" w:hAnsi="Tahoma" w:cs="Tahoma"/>
      <w:sz w:val="16"/>
      <w:szCs w:val="16"/>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nhideWhenUsed/>
    <w:qFormat/>
    <w:pPr>
      <w:tabs>
        <w:tab w:val="center" w:pos="4536"/>
        <w:tab w:val="right" w:pos="9072"/>
      </w:tabs>
      <w:spacing w:after="0" w:line="240" w:lineRule="auto"/>
    </w:pPr>
  </w:style>
  <w:style w:type="paragraph" w:styleId="NormalnyWeb">
    <w:name w:val="Normal (Web)"/>
    <w:basedOn w:val="Normalny"/>
    <w:qFormat/>
    <w:pPr>
      <w:spacing w:before="100" w:beforeAutospacing="1" w:after="100" w:afterAutospacing="1" w:line="240" w:lineRule="auto"/>
    </w:pPr>
    <w:rPr>
      <w:rFonts w:ascii="Times New Roman" w:eastAsia="Times New Roman" w:hAnsi="Times New Roman" w:cs="Times New Roman"/>
      <w:snapToGrid w:val="0"/>
      <w:sz w:val="24"/>
      <w:szCs w:val="24"/>
      <w:lang w:val="de-DE" w:eastAsia="de-DE"/>
    </w:rPr>
  </w:style>
  <w:style w:type="character" w:styleId="Hipercze">
    <w:name w:val="Hyperlink"/>
    <w:basedOn w:val="Domylnaczcionkaakapitu"/>
    <w:uiPriority w:val="99"/>
    <w:unhideWhenUsed/>
    <w:qFormat/>
    <w:rPr>
      <w:color w:val="0000FF" w:themeColor="hyperlink"/>
      <w:u w:val="single"/>
    </w:rPr>
  </w:style>
  <w:style w:type="character" w:styleId="Odwoaniedokomentarza">
    <w:name w:val="annotation reference"/>
    <w:basedOn w:val="Domylnaczcionkaakapitu"/>
    <w:uiPriority w:val="99"/>
    <w:unhideWhenUsed/>
    <w:qFormat/>
    <w:rPr>
      <w:sz w:val="16"/>
      <w:szCs w:val="16"/>
    </w:rPr>
  </w:style>
  <w:style w:type="table" w:styleId="Tabela-Siatka">
    <w:name w:val="Table Grid"/>
    <w:basedOn w:val="Standardowy"/>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34"/>
    <w:qFormat/>
    <w:pPr>
      <w:ind w:left="720"/>
      <w:contextualSpacing/>
    </w:p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rPr>
  </w:style>
  <w:style w:type="paragraph" w:customStyle="1" w:styleId="Poprawka1">
    <w:name w:val="Poprawka1"/>
    <w:hidden/>
    <w:uiPriority w:val="99"/>
    <w:semiHidden/>
    <w:qFormat/>
    <w:pPr>
      <w:spacing w:after="0" w:line="240" w:lineRule="auto"/>
    </w:pPr>
    <w:rPr>
      <w:rFonts w:asciiTheme="minorHAnsi" w:eastAsiaTheme="minorEastAsia" w:hAnsiTheme="minorHAnsi" w:cstheme="minorBidi"/>
      <w:sz w:val="22"/>
      <w:szCs w:val="22"/>
    </w:rPr>
  </w:style>
  <w:style w:type="paragraph" w:customStyle="1" w:styleId="Akapitzlist2">
    <w:name w:val="Akapit z listą2"/>
    <w:basedOn w:val="Normalny"/>
    <w:uiPriority w:val="99"/>
    <w:qFormat/>
    <w:pPr>
      <w:ind w:left="720"/>
      <w:contextualSpacing/>
    </w:pPr>
  </w:style>
  <w:style w:type="paragraph" w:customStyle="1" w:styleId="Poprawka2">
    <w:name w:val="Poprawka2"/>
    <w:hidden/>
    <w:uiPriority w:val="99"/>
    <w:semiHidden/>
    <w:qFormat/>
    <w:pPr>
      <w:spacing w:after="0" w:line="240" w:lineRule="auto"/>
    </w:pPr>
    <w:rPr>
      <w:rFonts w:asciiTheme="minorHAnsi" w:eastAsiaTheme="minorEastAsia" w:hAnsiTheme="minorHAnsi" w:cstheme="minorBidi"/>
      <w:sz w:val="22"/>
      <w:szCs w:val="22"/>
    </w:rPr>
  </w:style>
  <w:style w:type="character" w:customStyle="1" w:styleId="Nierozpoznanawzmianka1">
    <w:name w:val="Nierozpoznana wzmianka1"/>
    <w:basedOn w:val="Domylnaczcionkaakapitu"/>
    <w:uiPriority w:val="99"/>
    <w:unhideWhenUsed/>
    <w:qFormat/>
    <w:rPr>
      <w:color w:val="605E5C"/>
      <w:shd w:val="clear" w:color="auto" w:fill="E1DFDD"/>
    </w:rPr>
  </w:style>
  <w:style w:type="paragraph" w:styleId="Poprawka">
    <w:name w:val="Revision"/>
    <w:hidden/>
    <w:uiPriority w:val="99"/>
    <w:semiHidden/>
    <w:rsid w:val="00907243"/>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ina@ncb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8051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DominikaSkubida</dc:creator>
  <cp:lastModifiedBy>Izabela Rzepczyńska</cp:lastModifiedBy>
  <cp:revision>2</cp:revision>
  <cp:lastPrinted>2022-04-09T03:01:00Z</cp:lastPrinted>
  <dcterms:created xsi:type="dcterms:W3CDTF">2022-05-04T15:09:00Z</dcterms:created>
  <dcterms:modified xsi:type="dcterms:W3CDTF">2022-05-04T15:09:00Z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