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498A" w14:textId="77777777" w:rsidR="002015A5" w:rsidRPr="00FA12CE" w:rsidRDefault="00FA12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Zgromadzenie Parlamentarne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Rada Europy</w:t>
      </w:r>
    </w:p>
    <w:p w14:paraId="50AF1AE8" w14:textId="77777777" w:rsidR="00FA12CE" w:rsidRPr="00FA12CE" w:rsidRDefault="0074789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A12CE">
          <w:rPr>
            <w:rStyle w:val="Hipercze"/>
            <w:rFonts w:ascii="Times New Roman" w:hAnsi="Times New Roman"/>
            <w:sz w:val="24"/>
            <w:szCs w:val="24"/>
          </w:rPr>
          <w:t>http://assembly.coe.int</w:t>
        </w:r>
      </w:hyperlink>
    </w:p>
    <w:p w14:paraId="68A82612" w14:textId="77777777" w:rsidR="00FA12CE" w:rsidRPr="00EC482B" w:rsidRDefault="00FA12CE">
      <w:pPr>
        <w:rPr>
          <w:rFonts w:ascii="Times New Roman" w:hAnsi="Times New Roman" w:cs="Times New Roman"/>
          <w:sz w:val="24"/>
          <w:szCs w:val="24"/>
        </w:rPr>
      </w:pPr>
    </w:p>
    <w:p w14:paraId="15C9810B" w14:textId="7777777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Rezolucja 2143 (2017)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val="en-US"/>
        </w:rPr>
        <w:footnoteReference w:id="1"/>
      </w:r>
    </w:p>
    <w:p w14:paraId="6E684A2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8F9E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C7033" w14:textId="799C8B32" w:rsidR="00FA12CE" w:rsidRPr="00FA12CE" w:rsidRDefault="00893386" w:rsidP="00FA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Media i</w:t>
      </w:r>
      <w:r w:rsidR="00FA12CE">
        <w:rPr>
          <w:rFonts w:ascii="Times New Roman" w:hAnsi="Times New Roman"/>
          <w:b/>
          <w:bCs/>
          <w:sz w:val="28"/>
          <w:szCs w:val="28"/>
        </w:rPr>
        <w:t xml:space="preserve">nternetowe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="00FA12CE">
        <w:rPr>
          <w:rFonts w:ascii="Times New Roman" w:hAnsi="Times New Roman"/>
          <w:b/>
          <w:bCs/>
          <w:sz w:val="28"/>
          <w:szCs w:val="28"/>
        </w:rPr>
        <w:t xml:space="preserve"> dziennikarstwo: wyzwania i odpowiedzialność</w:t>
      </w:r>
    </w:p>
    <w:p w14:paraId="5DE91929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7226B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4B9F" w14:textId="77777777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Zgromadzenie Parlamentarne Rady Europy</w:t>
      </w:r>
    </w:p>
    <w:p w14:paraId="5211EA0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CE604" w14:textId="33C5B7CB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Zgromadzenie Parlamentarne zauważa </w:t>
      </w:r>
      <w:r w:rsidR="00566F99">
        <w:rPr>
          <w:rFonts w:ascii="Times New Roman" w:hAnsi="Times New Roman"/>
          <w:sz w:val="24"/>
          <w:szCs w:val="24"/>
        </w:rPr>
        <w:t xml:space="preserve">radykalne zmiany </w:t>
      </w:r>
      <w:r>
        <w:rPr>
          <w:rFonts w:ascii="Times New Roman" w:hAnsi="Times New Roman"/>
          <w:sz w:val="24"/>
          <w:szCs w:val="24"/>
        </w:rPr>
        <w:t>w sferze mediów</w:t>
      </w:r>
      <w:r w:rsidR="005D43DC">
        <w:rPr>
          <w:rFonts w:ascii="Times New Roman" w:hAnsi="Times New Roman"/>
          <w:sz w:val="24"/>
          <w:szCs w:val="24"/>
        </w:rPr>
        <w:t>, wynikające z </w:t>
      </w:r>
      <w:r>
        <w:rPr>
          <w:rFonts w:ascii="Times New Roman" w:hAnsi="Times New Roman"/>
          <w:sz w:val="24"/>
          <w:szCs w:val="24"/>
        </w:rPr>
        <w:t xml:space="preserve">konwergencji tradycyjnych mediów z mediami internetowymi i mobilnymi. Zmiany te są </w:t>
      </w:r>
      <w:r w:rsidR="00EC482B">
        <w:rPr>
          <w:rFonts w:ascii="Times New Roman" w:hAnsi="Times New Roman"/>
          <w:sz w:val="24"/>
          <w:szCs w:val="24"/>
        </w:rPr>
        <w:t>także</w:t>
      </w:r>
      <w:r>
        <w:rPr>
          <w:rFonts w:ascii="Times New Roman" w:hAnsi="Times New Roman"/>
          <w:sz w:val="24"/>
          <w:szCs w:val="24"/>
        </w:rPr>
        <w:t xml:space="preserve"> wynikiem powstawania nowych form mediów, takich jak platformy internetowe, na których umieszczane są treści użytkowników oraz narzędzia automatycznej agregacji treści </w:t>
      </w:r>
      <w:r w:rsidR="00A320B9">
        <w:rPr>
          <w:rFonts w:ascii="Times New Roman" w:hAnsi="Times New Roman"/>
          <w:sz w:val="24"/>
          <w:szCs w:val="24"/>
        </w:rPr>
        <w:t xml:space="preserve">pochodzących od stron </w:t>
      </w:r>
      <w:r>
        <w:rPr>
          <w:rFonts w:ascii="Times New Roman" w:hAnsi="Times New Roman"/>
          <w:sz w:val="24"/>
          <w:szCs w:val="24"/>
        </w:rPr>
        <w:t>trzecich. W t</w:t>
      </w:r>
      <w:r w:rsidR="0023224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now</w:t>
      </w:r>
      <w:r w:rsidR="0023224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="0023224B">
        <w:rPr>
          <w:rFonts w:ascii="Times New Roman" w:hAnsi="Times New Roman"/>
          <w:sz w:val="24"/>
          <w:szCs w:val="24"/>
        </w:rPr>
        <w:t xml:space="preserve">rzeczywistości </w:t>
      </w:r>
      <w:r>
        <w:rPr>
          <w:rFonts w:ascii="Times New Roman" w:hAnsi="Times New Roman"/>
          <w:sz w:val="24"/>
          <w:szCs w:val="24"/>
        </w:rPr>
        <w:t xml:space="preserve">czytelnik </w:t>
      </w:r>
      <w:r w:rsidR="00A320B9">
        <w:rPr>
          <w:rFonts w:ascii="Times New Roman" w:hAnsi="Times New Roman"/>
          <w:sz w:val="24"/>
          <w:szCs w:val="24"/>
        </w:rPr>
        <w:t xml:space="preserve">lub widz </w:t>
      </w:r>
      <w:r>
        <w:rPr>
          <w:rFonts w:ascii="Times New Roman" w:hAnsi="Times New Roman"/>
          <w:sz w:val="24"/>
          <w:szCs w:val="24"/>
        </w:rPr>
        <w:t>sta</w:t>
      </w:r>
      <w:r w:rsidR="00EC482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się aktywnym uczestnikiem łańcucha informacyjnego</w:t>
      </w:r>
      <w:r w:rsidR="0023224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nie tylko </w:t>
      </w:r>
      <w:r w:rsidR="00A320B9">
        <w:rPr>
          <w:rFonts w:ascii="Times New Roman" w:hAnsi="Times New Roman"/>
          <w:sz w:val="24"/>
          <w:szCs w:val="24"/>
        </w:rPr>
        <w:t xml:space="preserve">dokonując </w:t>
      </w:r>
      <w:r>
        <w:rPr>
          <w:rFonts w:ascii="Times New Roman" w:hAnsi="Times New Roman"/>
          <w:sz w:val="24"/>
          <w:szCs w:val="24"/>
        </w:rPr>
        <w:t>selekcj</w:t>
      </w:r>
      <w:r w:rsidR="00A320B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informacji, le</w:t>
      </w:r>
      <w:r w:rsidR="0023224B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 xml:space="preserve"> t</w:t>
      </w:r>
      <w:r w:rsidR="0023224B">
        <w:rPr>
          <w:rFonts w:ascii="Times New Roman" w:hAnsi="Times New Roman"/>
          <w:sz w:val="24"/>
          <w:szCs w:val="24"/>
        </w:rPr>
        <w:t>akże</w:t>
      </w:r>
      <w:r>
        <w:rPr>
          <w:rFonts w:ascii="Times New Roman" w:hAnsi="Times New Roman"/>
          <w:sz w:val="24"/>
          <w:szCs w:val="24"/>
        </w:rPr>
        <w:t xml:space="preserve"> wielokrotnie </w:t>
      </w:r>
      <w:r w:rsidR="00A320B9">
        <w:rPr>
          <w:rFonts w:ascii="Times New Roman" w:hAnsi="Times New Roman"/>
          <w:sz w:val="24"/>
          <w:szCs w:val="24"/>
        </w:rPr>
        <w:t xml:space="preserve">będąc jej </w:t>
      </w:r>
      <w:r>
        <w:rPr>
          <w:rFonts w:ascii="Times New Roman" w:hAnsi="Times New Roman"/>
          <w:sz w:val="24"/>
          <w:szCs w:val="24"/>
        </w:rPr>
        <w:t>wytwórcą. W przeszłości dziennikarze</w:t>
      </w:r>
      <w:r w:rsidR="00EC4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redaktorzy mieli możli</w:t>
      </w:r>
      <w:r w:rsidR="00EC482B">
        <w:rPr>
          <w:rFonts w:ascii="Times New Roman" w:hAnsi="Times New Roman"/>
          <w:sz w:val="24"/>
          <w:szCs w:val="24"/>
        </w:rPr>
        <w:t>wość kontrolowania publicznego roz</w:t>
      </w:r>
      <w:r>
        <w:rPr>
          <w:rFonts w:ascii="Times New Roman" w:hAnsi="Times New Roman"/>
          <w:sz w:val="24"/>
          <w:szCs w:val="24"/>
        </w:rPr>
        <w:t xml:space="preserve">powszechniania </w:t>
      </w:r>
      <w:r w:rsidR="00A320B9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. </w:t>
      </w:r>
      <w:r w:rsidR="00A320B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ow</w:t>
      </w:r>
      <w:r w:rsidR="00A320B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media internetow</w:t>
      </w:r>
      <w:r w:rsidR="00A320B9">
        <w:rPr>
          <w:rFonts w:ascii="Times New Roman" w:hAnsi="Times New Roman"/>
          <w:sz w:val="24"/>
          <w:szCs w:val="24"/>
        </w:rPr>
        <w:t>e oferują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A320B9">
        <w:rPr>
          <w:rFonts w:ascii="Times New Roman" w:hAnsi="Times New Roman"/>
          <w:sz w:val="24"/>
          <w:szCs w:val="24"/>
        </w:rPr>
        <w:t>każdemu możliwość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A320B9">
        <w:rPr>
          <w:rFonts w:ascii="Times New Roman" w:hAnsi="Times New Roman"/>
          <w:sz w:val="24"/>
          <w:szCs w:val="24"/>
        </w:rPr>
        <w:t xml:space="preserve">publicznego </w:t>
      </w:r>
      <w:r>
        <w:rPr>
          <w:rFonts w:ascii="Times New Roman" w:hAnsi="Times New Roman"/>
          <w:sz w:val="24"/>
          <w:szCs w:val="24"/>
        </w:rPr>
        <w:t>dzie</w:t>
      </w:r>
      <w:r w:rsidR="00A320B9">
        <w:rPr>
          <w:rFonts w:ascii="Times New Roman" w:hAnsi="Times New Roman"/>
          <w:sz w:val="24"/>
          <w:szCs w:val="24"/>
        </w:rPr>
        <w:t>lenia</w:t>
      </w:r>
      <w:r>
        <w:rPr>
          <w:rFonts w:ascii="Times New Roman" w:hAnsi="Times New Roman"/>
          <w:sz w:val="24"/>
          <w:szCs w:val="24"/>
        </w:rPr>
        <w:t xml:space="preserve"> się informacjami i poglądami. Te nowe narzędzia stworzyły możliwość pomijania tradycyjnych kanałów informacyjnych, tj. mediów tradycyjnych, i doprowadziły do większego pluralizmu w mediach, czego przykładem są blogi dziennikarzy śledczych.</w:t>
      </w:r>
    </w:p>
    <w:p w14:paraId="6520F38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A83B7" w14:textId="6A55B698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Nowy </w:t>
      </w:r>
      <w:r w:rsidR="00F42337">
        <w:rPr>
          <w:rFonts w:ascii="Times New Roman" w:hAnsi="Times New Roman"/>
          <w:color w:val="000000"/>
          <w:sz w:val="24"/>
          <w:szCs w:val="24"/>
        </w:rPr>
        <w:t>kraj</w:t>
      </w:r>
      <w:r>
        <w:rPr>
          <w:rFonts w:ascii="Times New Roman" w:hAnsi="Times New Roman"/>
          <w:color w:val="000000"/>
          <w:sz w:val="24"/>
          <w:szCs w:val="24"/>
        </w:rPr>
        <w:t xml:space="preserve">obraz mediów ma też wpływ na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/>
          <w:color w:val="000000"/>
          <w:sz w:val="24"/>
          <w:szCs w:val="24"/>
        </w:rPr>
        <w:t xml:space="preserve">sytuację finansową. O ile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prenumeraty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stanowiły </w:t>
      </w:r>
      <w:r>
        <w:rPr>
          <w:rFonts w:ascii="Times New Roman" w:hAnsi="Times New Roman"/>
          <w:color w:val="000000"/>
          <w:sz w:val="24"/>
          <w:szCs w:val="24"/>
        </w:rPr>
        <w:t xml:space="preserve">w przeszłości pewne źródło dochodów, o tyle bezpłatny dostęp do mediów internetowych przyczynił się do zmniejszenia chęci użytkowników do </w:t>
      </w:r>
      <w:r w:rsidR="00CC34F7">
        <w:rPr>
          <w:rFonts w:ascii="Times New Roman" w:hAnsi="Times New Roman"/>
          <w:color w:val="000000"/>
          <w:sz w:val="24"/>
          <w:szCs w:val="24"/>
        </w:rPr>
        <w:t>płacenia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337">
        <w:rPr>
          <w:rFonts w:ascii="Times New Roman" w:hAnsi="Times New Roman"/>
          <w:color w:val="000000"/>
          <w:sz w:val="24"/>
          <w:szCs w:val="24"/>
        </w:rPr>
        <w:t>subskrypcję</w:t>
      </w:r>
      <w:r>
        <w:rPr>
          <w:rFonts w:ascii="Times New Roman" w:hAnsi="Times New Roman"/>
          <w:color w:val="000000"/>
          <w:sz w:val="24"/>
          <w:szCs w:val="24"/>
        </w:rPr>
        <w:t xml:space="preserve">. Podobną zmianę 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można </w:t>
      </w:r>
      <w:r>
        <w:rPr>
          <w:rFonts w:ascii="Times New Roman" w:hAnsi="Times New Roman"/>
          <w:color w:val="000000"/>
          <w:sz w:val="24"/>
          <w:szCs w:val="24"/>
        </w:rPr>
        <w:t xml:space="preserve">zaobserwować w odniesieniu do przychodów reklamowych, których </w:t>
      </w:r>
      <w:r w:rsidR="00C25882">
        <w:rPr>
          <w:rFonts w:ascii="Times New Roman" w:hAnsi="Times New Roman"/>
          <w:color w:val="000000"/>
          <w:sz w:val="24"/>
          <w:szCs w:val="24"/>
        </w:rPr>
        <w:t>główne źródło</w:t>
      </w:r>
      <w:r>
        <w:rPr>
          <w:rFonts w:ascii="Times New Roman" w:hAnsi="Times New Roman"/>
          <w:color w:val="000000"/>
          <w:sz w:val="24"/>
          <w:szCs w:val="24"/>
        </w:rPr>
        <w:t xml:space="preserve"> przeni</w:t>
      </w:r>
      <w:r w:rsidR="00C25882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sł</w:t>
      </w:r>
      <w:r w:rsidR="00C25882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się z reklam zamieszczanych w wydawnictwach drukowanych</w:t>
      </w:r>
      <w:r w:rsidR="00C25882">
        <w:rPr>
          <w:rFonts w:ascii="Times New Roman" w:hAnsi="Times New Roman"/>
          <w:color w:val="000000"/>
          <w:sz w:val="24"/>
          <w:szCs w:val="24"/>
        </w:rPr>
        <w:t xml:space="preserve"> czy </w:t>
      </w:r>
      <w:r w:rsidR="00F42337">
        <w:rPr>
          <w:rFonts w:ascii="Times New Roman" w:hAnsi="Times New Roman"/>
          <w:color w:val="000000"/>
          <w:sz w:val="24"/>
          <w:szCs w:val="24"/>
        </w:rPr>
        <w:t>nadawanych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radiu i telewizji na ukierunkowaną rekl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amę internetową,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wykorzystującą </w:t>
      </w:r>
      <w:r>
        <w:rPr>
          <w:rFonts w:ascii="Times New Roman" w:hAnsi="Times New Roman"/>
          <w:color w:val="000000"/>
          <w:sz w:val="24"/>
          <w:szCs w:val="24"/>
        </w:rPr>
        <w:t>profilowan</w:t>
      </w:r>
      <w:r w:rsidR="00F4233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dan</w:t>
      </w:r>
      <w:r w:rsidR="00F4233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osobow</w:t>
      </w:r>
      <w:r w:rsidR="00FF7EDD">
        <w:rPr>
          <w:rFonts w:ascii="Times New Roman" w:hAnsi="Times New Roman"/>
          <w:color w:val="000000"/>
          <w:sz w:val="24"/>
          <w:szCs w:val="24"/>
        </w:rPr>
        <w:t>e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 użytkowników</w:t>
      </w:r>
      <w:r>
        <w:rPr>
          <w:rFonts w:ascii="Times New Roman" w:hAnsi="Times New Roman"/>
          <w:color w:val="000000"/>
          <w:sz w:val="24"/>
          <w:szCs w:val="24"/>
        </w:rPr>
        <w:t xml:space="preserve">. W związku z przesunięciem zasobów z mediów tradycyjnych </w:t>
      </w:r>
      <w:r w:rsidR="00F42337">
        <w:rPr>
          <w:rFonts w:ascii="Times New Roman" w:hAnsi="Times New Roman"/>
          <w:color w:val="000000"/>
          <w:sz w:val="24"/>
          <w:szCs w:val="24"/>
        </w:rPr>
        <w:t>do dostawców</w:t>
      </w:r>
      <w:r>
        <w:rPr>
          <w:rFonts w:ascii="Times New Roman" w:hAnsi="Times New Roman"/>
          <w:color w:val="000000"/>
          <w:sz w:val="24"/>
          <w:szCs w:val="24"/>
        </w:rPr>
        <w:t xml:space="preserve"> internetowych </w:t>
      </w:r>
      <w:r w:rsidR="00F42337"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medi</w:t>
      </w:r>
      <w:r w:rsidR="00F42337">
        <w:rPr>
          <w:rFonts w:ascii="Times New Roman" w:hAnsi="Times New Roman"/>
          <w:color w:val="000000"/>
          <w:sz w:val="24"/>
          <w:szCs w:val="24"/>
        </w:rPr>
        <w:t>ów</w:t>
      </w:r>
      <w:r>
        <w:rPr>
          <w:rFonts w:ascii="Times New Roman" w:hAnsi="Times New Roman"/>
          <w:color w:val="000000"/>
          <w:sz w:val="24"/>
          <w:szCs w:val="24"/>
        </w:rPr>
        <w:t xml:space="preserve"> społeczn</w:t>
      </w:r>
      <w:r w:rsidR="00F42337">
        <w:rPr>
          <w:rFonts w:ascii="Times New Roman" w:hAnsi="Times New Roman"/>
          <w:color w:val="000000"/>
          <w:sz w:val="24"/>
          <w:szCs w:val="24"/>
        </w:rPr>
        <w:t>ościowych</w:t>
      </w:r>
      <w:r>
        <w:rPr>
          <w:rFonts w:ascii="Times New Roman" w:hAnsi="Times New Roman"/>
          <w:color w:val="000000"/>
          <w:sz w:val="24"/>
          <w:szCs w:val="24"/>
        </w:rPr>
        <w:t xml:space="preserve"> Zgromadzenie pragnie wyrazić głębokie zaniepokojenie osłabieniem mediów profesjonalnych </w:t>
      </w:r>
      <w:r w:rsidR="00FF7EDD">
        <w:rPr>
          <w:rFonts w:ascii="Times New Roman" w:hAnsi="Times New Roman"/>
          <w:color w:val="000000"/>
          <w:sz w:val="24"/>
          <w:szCs w:val="24"/>
        </w:rPr>
        <w:t xml:space="preserve">jak również </w:t>
      </w:r>
      <w:r>
        <w:rPr>
          <w:rFonts w:ascii="Times New Roman" w:hAnsi="Times New Roman"/>
          <w:color w:val="000000"/>
          <w:sz w:val="24"/>
          <w:szCs w:val="24"/>
        </w:rPr>
        <w:t xml:space="preserve">gwałtownym rozwojem mediów internetowych, które nie </w:t>
      </w:r>
      <w:r w:rsidR="00FF7EDD">
        <w:rPr>
          <w:rFonts w:ascii="Times New Roman" w:hAnsi="Times New Roman"/>
          <w:color w:val="000000"/>
          <w:sz w:val="24"/>
          <w:szCs w:val="24"/>
        </w:rPr>
        <w:t xml:space="preserve">dotrzymują </w:t>
      </w:r>
      <w:r>
        <w:rPr>
          <w:rFonts w:ascii="Times New Roman" w:hAnsi="Times New Roman"/>
          <w:color w:val="000000"/>
          <w:sz w:val="24"/>
          <w:szCs w:val="24"/>
        </w:rPr>
        <w:t>standardów profesjonalnego dziennikarstwa.</w:t>
      </w:r>
    </w:p>
    <w:p w14:paraId="460BD3E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C34C1" w14:textId="7CDE8C1B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W tej sytuacji Zgromadzenie pragnie podkreślić szczególną odpowiedzialność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nadawców </w:t>
      </w:r>
      <w:r>
        <w:rPr>
          <w:rFonts w:ascii="Times New Roman" w:hAnsi="Times New Roman"/>
          <w:color w:val="000000"/>
          <w:sz w:val="24"/>
          <w:szCs w:val="24"/>
        </w:rPr>
        <w:t>publicznych za prezentowanie pełnego zakresu poglądów społecznych</w:t>
      </w:r>
      <w:r w:rsidR="006E2F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rzywołuje w tym miejscu </w:t>
      </w:r>
      <w:r w:rsidR="006E2FD1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alecenie CM/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(2012)1 Komitetu Ministrów w sprawie ładu mediów publicznych. Zważywszy na fakt, że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nadawcy </w:t>
      </w:r>
      <w:r>
        <w:rPr>
          <w:rFonts w:ascii="Times New Roman" w:hAnsi="Times New Roman"/>
          <w:color w:val="000000"/>
          <w:sz w:val="24"/>
          <w:szCs w:val="24"/>
        </w:rPr>
        <w:t>publiczni są coraz bardziej zaangażowani w rynek mediów internetowych, to właśnie oni mogą odegrać kluczową rolę w osiągnięciu celów niniejszej rezolucji.</w:t>
      </w:r>
    </w:p>
    <w:p w14:paraId="00B1EF6F" w14:textId="77777777" w:rsidR="005D43DC" w:rsidRDefault="005D43DC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0BE09" w14:textId="09AFAB26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422CE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zięki mediom internetowym opinia publiczna dowiedziała się o przypadkach łamania praw człowieka i ludzkim cierpieniu</w:t>
      </w:r>
      <w:r w:rsidR="006E2FD1">
        <w:rPr>
          <w:rFonts w:ascii="Times New Roman" w:hAnsi="Times New Roman"/>
          <w:color w:val="000000"/>
          <w:sz w:val="24"/>
          <w:szCs w:val="24"/>
        </w:rPr>
        <w:t>, które działy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się </w:t>
      </w:r>
      <w:r w:rsidR="005D43DC">
        <w:rPr>
          <w:rFonts w:ascii="Times New Roman" w:hAnsi="Times New Roman"/>
          <w:color w:val="000000"/>
          <w:sz w:val="24"/>
          <w:szCs w:val="24"/>
        </w:rPr>
        <w:t>w miejscach pozostających w </w:t>
      </w:r>
      <w:r>
        <w:rPr>
          <w:rFonts w:ascii="Times New Roman" w:hAnsi="Times New Roman"/>
          <w:color w:val="000000"/>
          <w:sz w:val="24"/>
          <w:szCs w:val="24"/>
        </w:rPr>
        <w:t xml:space="preserve">cieniu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uwagi mediów. Z drugiej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FD1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Internet umożliwia wpływowym podmiotom</w:t>
      </w:r>
      <w:r w:rsidR="00482364">
        <w:rPr>
          <w:rFonts w:ascii="Times New Roman" w:hAnsi="Times New Roman"/>
          <w:color w:val="000000"/>
          <w:sz w:val="24"/>
          <w:szCs w:val="24"/>
        </w:rPr>
        <w:t xml:space="preserve"> komercyjnym</w:t>
      </w:r>
      <w:r>
        <w:rPr>
          <w:rFonts w:ascii="Times New Roman" w:hAnsi="Times New Roman"/>
          <w:color w:val="000000"/>
          <w:sz w:val="24"/>
          <w:szCs w:val="24"/>
        </w:rPr>
        <w:t xml:space="preserve"> i grupom politycznym organizowanie skoordynowanych akcji, w których uczestniczy ogromna liczba użytkowników mediów internetowych. Niestety fakty i prawdziwe informacje niekoniecznie stanowią podstawę takich działań.</w:t>
      </w:r>
    </w:p>
    <w:p w14:paraId="1C5724A8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5FC26" w14:textId="00B08E6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422CE">
        <w:rPr>
          <w:rFonts w:ascii="Times New Roman" w:hAnsi="Times New Roman"/>
          <w:color w:val="000000"/>
          <w:sz w:val="24"/>
          <w:szCs w:val="24"/>
        </w:rPr>
        <w:t>Europejski Trybunał Praw Człowieka w</w:t>
      </w:r>
      <w:r>
        <w:rPr>
          <w:rFonts w:ascii="Times New Roman" w:hAnsi="Times New Roman"/>
          <w:color w:val="000000"/>
          <w:sz w:val="24"/>
          <w:szCs w:val="24"/>
        </w:rPr>
        <w:t xml:space="preserve"> swoim orzecznictwie, </w:t>
      </w:r>
      <w:r w:rsidR="00F422CE">
        <w:rPr>
          <w:rFonts w:ascii="Times New Roman" w:hAnsi="Times New Roman"/>
          <w:color w:val="000000"/>
          <w:sz w:val="24"/>
          <w:szCs w:val="24"/>
        </w:rPr>
        <w:t>stale podkreśla</w:t>
      </w:r>
      <w:r w:rsidR="00482364">
        <w:rPr>
          <w:rFonts w:ascii="Times New Roman" w:hAnsi="Times New Roman"/>
          <w:color w:val="000000"/>
          <w:sz w:val="24"/>
          <w:szCs w:val="24"/>
        </w:rPr>
        <w:t>,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że prasa </w:t>
      </w:r>
      <w:r w:rsidR="00332912">
        <w:rPr>
          <w:rFonts w:ascii="Times New Roman" w:hAnsi="Times New Roman"/>
          <w:color w:val="000000"/>
          <w:sz w:val="24"/>
          <w:szCs w:val="24"/>
        </w:rPr>
        <w:t>pełni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2912">
        <w:rPr>
          <w:rFonts w:ascii="Times New Roman" w:hAnsi="Times New Roman"/>
          <w:color w:val="000000"/>
          <w:sz w:val="24"/>
          <w:szCs w:val="24"/>
        </w:rPr>
        <w:t>ważną funkcję</w:t>
      </w:r>
      <w:r>
        <w:rPr>
          <w:rFonts w:ascii="Times New Roman" w:hAnsi="Times New Roman"/>
          <w:color w:val="000000"/>
          <w:sz w:val="24"/>
          <w:szCs w:val="24"/>
        </w:rPr>
        <w:t xml:space="preserve"> w demokratycznym społeczeństwie </w:t>
      </w:r>
      <w:r w:rsidR="00F422CE">
        <w:rPr>
          <w:rFonts w:ascii="Times New Roman" w:hAnsi="Times New Roman"/>
          <w:color w:val="000000"/>
          <w:sz w:val="24"/>
          <w:szCs w:val="24"/>
        </w:rPr>
        <w:t>poprzez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przekaz</w:t>
      </w:r>
      <w:r w:rsidR="00F422CE">
        <w:rPr>
          <w:rFonts w:ascii="Times New Roman" w:hAnsi="Times New Roman"/>
          <w:color w:val="000000"/>
          <w:sz w:val="24"/>
          <w:szCs w:val="24"/>
        </w:rPr>
        <w:t>ywanie</w:t>
      </w:r>
      <w:r>
        <w:rPr>
          <w:rFonts w:ascii="Times New Roman" w:hAnsi="Times New Roman"/>
          <w:color w:val="000000"/>
          <w:sz w:val="24"/>
          <w:szCs w:val="24"/>
        </w:rPr>
        <w:t xml:space="preserve"> informacj</w:t>
      </w:r>
      <w:r w:rsidR="00F422CE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2C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sprawach będących przedmiotem zainteresowania publicznego. Odgrywa ona rolę swoistego strażnika opinii publicznej, </w:t>
      </w:r>
      <w:r w:rsidR="003F7502">
        <w:rPr>
          <w:rFonts w:ascii="Times New Roman" w:hAnsi="Times New Roman"/>
          <w:color w:val="000000"/>
          <w:sz w:val="24"/>
          <w:szCs w:val="24"/>
        </w:rPr>
        <w:t>ponieważ</w:t>
      </w:r>
      <w:r>
        <w:rPr>
          <w:rFonts w:ascii="Times New Roman" w:hAnsi="Times New Roman"/>
          <w:color w:val="000000"/>
          <w:sz w:val="24"/>
          <w:szCs w:val="24"/>
        </w:rPr>
        <w:t xml:space="preserve"> umożliwia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 społeczeństwu </w:t>
      </w:r>
      <w:r w:rsidR="00F422CE">
        <w:rPr>
          <w:rFonts w:ascii="Times New Roman" w:hAnsi="Times New Roman"/>
          <w:color w:val="000000"/>
          <w:sz w:val="24"/>
          <w:szCs w:val="24"/>
        </w:rPr>
        <w:t>odkrywanie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 i formułowanie</w:t>
      </w:r>
      <w:r>
        <w:rPr>
          <w:rFonts w:ascii="Times New Roman" w:hAnsi="Times New Roman"/>
          <w:color w:val="000000"/>
          <w:sz w:val="24"/>
          <w:szCs w:val="24"/>
        </w:rPr>
        <w:t xml:space="preserve"> opinii na temat postaw i działań polityków.</w:t>
      </w:r>
    </w:p>
    <w:p w14:paraId="0A4723B6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1B1CA" w14:textId="2D4A5F2E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Granica pomiędzy tym, co można uznać za uzasadnione </w:t>
      </w:r>
      <w:r w:rsidR="005D43DC">
        <w:rPr>
          <w:rFonts w:ascii="Times New Roman" w:hAnsi="Times New Roman"/>
          <w:color w:val="000000"/>
          <w:sz w:val="24"/>
          <w:szCs w:val="24"/>
        </w:rPr>
        <w:t>wyrażanie osobistych poglądów w </w:t>
      </w:r>
      <w:r>
        <w:rPr>
          <w:rFonts w:ascii="Times New Roman" w:hAnsi="Times New Roman"/>
          <w:color w:val="000000"/>
          <w:sz w:val="24"/>
          <w:szCs w:val="24"/>
        </w:rPr>
        <w:t xml:space="preserve">dążeniu do przekonania czytelnika, a </w:t>
      </w:r>
      <w:r w:rsidR="003F16B1">
        <w:rPr>
          <w:rFonts w:ascii="Times New Roman" w:hAnsi="Times New Roman"/>
          <w:color w:val="000000"/>
          <w:sz w:val="24"/>
          <w:szCs w:val="24"/>
        </w:rPr>
        <w:t xml:space="preserve">tym, co stanowi </w:t>
      </w:r>
      <w:r>
        <w:rPr>
          <w:rFonts w:ascii="Times New Roman" w:hAnsi="Times New Roman"/>
          <w:color w:val="000000"/>
          <w:sz w:val="24"/>
          <w:szCs w:val="24"/>
        </w:rPr>
        <w:t>dezinformowanie czy manipulacj</w:t>
      </w:r>
      <w:r w:rsidR="003F16B1">
        <w:rPr>
          <w:rFonts w:ascii="Times New Roman" w:hAnsi="Times New Roman"/>
          <w:color w:val="000000"/>
          <w:sz w:val="24"/>
          <w:szCs w:val="24"/>
        </w:rPr>
        <w:t>ę,</w:t>
      </w:r>
      <w:r>
        <w:rPr>
          <w:rFonts w:ascii="Times New Roman" w:hAnsi="Times New Roman"/>
          <w:color w:val="000000"/>
          <w:sz w:val="24"/>
          <w:szCs w:val="24"/>
        </w:rPr>
        <w:t xml:space="preserve"> jest jednak często przekraczana. Zgromadzenie z niepokojem odnotowuje liczne </w:t>
      </w:r>
      <w:r w:rsidR="00F422CE">
        <w:rPr>
          <w:rFonts w:ascii="Times New Roman" w:hAnsi="Times New Roman"/>
          <w:color w:val="000000"/>
          <w:sz w:val="24"/>
          <w:szCs w:val="24"/>
        </w:rPr>
        <w:t xml:space="preserve">internetowe </w:t>
      </w:r>
      <w:r>
        <w:rPr>
          <w:rFonts w:ascii="Times New Roman" w:hAnsi="Times New Roman"/>
          <w:color w:val="000000"/>
          <w:sz w:val="24"/>
          <w:szCs w:val="24"/>
        </w:rPr>
        <w:t>kampanie medialne, których celem jest zmylenie części przez świadome rozpowszechnianie nieobiektywnych lub fałszywych informacji, kampanie nienawiści przeciwko poszczególnym osobom, a także ataki personalne, nierzadko w kontekście politycznym z zamiarem wywarcia szkodliwego wpływu na demokratyczne procesy polityczne.</w:t>
      </w:r>
    </w:p>
    <w:p w14:paraId="1B7E86D3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70A77" w14:textId="674A655C" w:rsidR="00FA12CE" w:rsidRPr="00386622" w:rsidRDefault="00FA12CE" w:rsidP="00F0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Zgromadzenie wyraża zadowolenie z faktu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, że wiodące media internetowe </w:t>
      </w:r>
      <w:r>
        <w:rPr>
          <w:rFonts w:ascii="Times New Roman" w:hAnsi="Times New Roman"/>
          <w:color w:val="000000"/>
          <w:sz w:val="24"/>
          <w:szCs w:val="24"/>
        </w:rPr>
        <w:t xml:space="preserve">wprowadziły zasady, </w:t>
      </w:r>
      <w:r w:rsidR="00B11ED3">
        <w:rPr>
          <w:rFonts w:ascii="Times New Roman" w:hAnsi="Times New Roman"/>
          <w:color w:val="000000"/>
          <w:sz w:val="24"/>
          <w:szCs w:val="24"/>
        </w:rPr>
        <w:t xml:space="preserve">dzięki </w:t>
      </w:r>
      <w:r>
        <w:rPr>
          <w:rFonts w:ascii="Times New Roman" w:hAnsi="Times New Roman"/>
          <w:color w:val="000000"/>
          <w:sz w:val="24"/>
          <w:szCs w:val="24"/>
        </w:rPr>
        <w:t>który</w:t>
      </w:r>
      <w:r w:rsidR="00B11ED3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użytkownicy mogą identyfikować faktyczne błędy lub nieprawdziwe wpisy osób trzecich na 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/>
          <w:color w:val="000000"/>
          <w:sz w:val="24"/>
          <w:szCs w:val="24"/>
        </w:rPr>
        <w:t>stronach internetowych</w:t>
      </w:r>
      <w:r w:rsidR="006821DD">
        <w:rPr>
          <w:rFonts w:ascii="Times New Roman" w:hAnsi="Times New Roman"/>
          <w:color w:val="000000"/>
          <w:sz w:val="24"/>
          <w:szCs w:val="24"/>
        </w:rPr>
        <w:t>,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 czego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1DD">
        <w:rPr>
          <w:rFonts w:ascii="Times New Roman" w:hAnsi="Times New Roman"/>
          <w:color w:val="000000"/>
          <w:sz w:val="24"/>
          <w:szCs w:val="24"/>
        </w:rPr>
        <w:t>p</w:t>
      </w:r>
      <w:r w:rsidR="00F06E30">
        <w:rPr>
          <w:rFonts w:ascii="Times New Roman" w:hAnsi="Times New Roman"/>
          <w:color w:val="000000"/>
          <w:sz w:val="24"/>
          <w:szCs w:val="24"/>
        </w:rPr>
        <w:t>rzykładem mogą być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proponowane </w:t>
      </w:r>
      <w:r w:rsidR="00330B77">
        <w:rPr>
          <w:rFonts w:ascii="Times New Roman" w:hAnsi="Times New Roman"/>
          <w:color w:val="000000"/>
          <w:sz w:val="24"/>
          <w:szCs w:val="24"/>
        </w:rPr>
        <w:t xml:space="preserve">na portalu Facebook </w:t>
      </w:r>
      <w:r w:rsidR="00F06E30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ktualności </w:t>
      </w:r>
      <w:r w:rsidR="00F06E30">
        <w:rPr>
          <w:rFonts w:ascii="Times New Roman" w:hAnsi="Times New Roman"/>
          <w:color w:val="000000"/>
          <w:sz w:val="24"/>
          <w:szCs w:val="24"/>
        </w:rPr>
        <w:t xml:space="preserve">News </w:t>
      </w:r>
      <w:proofErr w:type="spellStart"/>
      <w:r w:rsidR="00F06E30">
        <w:rPr>
          <w:rFonts w:ascii="Times New Roman" w:hAnsi="Times New Roman"/>
          <w:color w:val="000000"/>
          <w:sz w:val="24"/>
          <w:szCs w:val="24"/>
        </w:rPr>
        <w:t>F</w:t>
      </w:r>
      <w:r w:rsidR="00F06E30" w:rsidRPr="00F06E30">
        <w:rPr>
          <w:rFonts w:ascii="Times New Roman" w:hAnsi="Times New Roman"/>
          <w:color w:val="000000"/>
          <w:sz w:val="24"/>
          <w:szCs w:val="24"/>
        </w:rPr>
        <w:t>e</w:t>
      </w:r>
      <w:r w:rsidR="003F75C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="00F06E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czy narzędzia Google do wysyłania polecenia usunięcia treści ze strony internetowej. Wiarygodność i rzetelność mediów internetowych wymaga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 od nich</w:t>
      </w:r>
      <w:r>
        <w:rPr>
          <w:rFonts w:ascii="Times New Roman" w:hAnsi="Times New Roman"/>
          <w:color w:val="000000"/>
          <w:sz w:val="24"/>
          <w:szCs w:val="24"/>
        </w:rPr>
        <w:t>, aby usuwały i prostowały nieprawdziwe informacje.</w:t>
      </w:r>
    </w:p>
    <w:p w14:paraId="092971D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018B3" w14:textId="561E4F22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Zgromadzenie pragnie podkreślić wagę orzecznictwa Europejskiego Trybunału Praw Człowieka i zwrócić szczególną uwagę na wydany przez Wielką Izbę wyrok w </w:t>
      </w:r>
      <w:r w:rsidR="006821DD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prawie </w:t>
      </w:r>
      <w:proofErr w:type="spellStart"/>
      <w:r w:rsidRPr="00E76A40">
        <w:rPr>
          <w:rFonts w:ascii="Times New Roman" w:hAnsi="Times New Roman"/>
          <w:i/>
          <w:color w:val="000000"/>
          <w:sz w:val="24"/>
          <w:szCs w:val="24"/>
        </w:rPr>
        <w:t>Delfi</w:t>
      </w:r>
      <w:proofErr w:type="spellEnd"/>
      <w:r w:rsidRPr="00E76A40">
        <w:rPr>
          <w:rFonts w:ascii="Times New Roman" w:hAnsi="Times New Roman"/>
          <w:i/>
          <w:color w:val="000000"/>
          <w:sz w:val="24"/>
          <w:szCs w:val="24"/>
        </w:rPr>
        <w:t xml:space="preserve"> AS przeciwko Estonii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821DD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karga nr 64569/09). Ta przełomowa decyzja objaśniła obowiązki informacyjnych portali internetowych podczas </w:t>
      </w:r>
      <w:r w:rsidR="00482364">
        <w:rPr>
          <w:rFonts w:ascii="Times New Roman" w:hAnsi="Times New Roman"/>
          <w:color w:val="000000"/>
          <w:sz w:val="24"/>
          <w:szCs w:val="24"/>
        </w:rPr>
        <w:t xml:space="preserve">udostępniania, na komercyjnych zasadach, platform dla użytkowników, na których </w:t>
      </w:r>
      <w:r>
        <w:rPr>
          <w:rFonts w:ascii="Times New Roman" w:hAnsi="Times New Roman"/>
          <w:color w:val="000000"/>
          <w:sz w:val="24"/>
          <w:szCs w:val="24"/>
        </w:rPr>
        <w:t>zamieszczają komentarze na temat uprzednio opublikowanych treści.</w:t>
      </w:r>
    </w:p>
    <w:p w14:paraId="1CC0403B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CC990" w14:textId="4639732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Powołując się na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>ezolucję 1843</w:t>
      </w:r>
      <w:r w:rsidR="00E45F10">
        <w:rPr>
          <w:rFonts w:ascii="Times New Roman" w:hAnsi="Times New Roman"/>
          <w:color w:val="000081"/>
          <w:sz w:val="24"/>
          <w:szCs w:val="24"/>
        </w:rPr>
        <w:t xml:space="preserve"> </w:t>
      </w:r>
      <w:r>
        <w:rPr>
          <w:rFonts w:ascii="Times New Roman" w:hAnsi="Times New Roman"/>
          <w:color w:val="000081"/>
          <w:sz w:val="24"/>
          <w:szCs w:val="24"/>
        </w:rPr>
        <w:t xml:space="preserve">(2011) </w:t>
      </w:r>
      <w:r>
        <w:rPr>
          <w:rFonts w:ascii="Times New Roman" w:hAnsi="Times New Roman"/>
          <w:color w:val="000000"/>
          <w:sz w:val="24"/>
          <w:szCs w:val="24"/>
        </w:rPr>
        <w:t>w sprawie ochrony prywatności i danych osobowych w Internecie i mediach internetowych, Zgromadzenie z zadowoleniem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zauważ</w:t>
      </w:r>
      <w:r w:rsidR="00137E7F">
        <w:rPr>
          <w:rFonts w:ascii="Times New Roman" w:hAnsi="Times New Roman"/>
          <w:color w:val="000000"/>
          <w:sz w:val="24"/>
          <w:szCs w:val="24"/>
        </w:rPr>
        <w:t>a</w:t>
      </w:r>
      <w:r w:rsidR="005D43DC">
        <w:rPr>
          <w:rFonts w:ascii="Times New Roman" w:hAnsi="Times New Roman"/>
          <w:color w:val="000000"/>
          <w:sz w:val="24"/>
          <w:szCs w:val="24"/>
        </w:rPr>
        <w:t>, że </w:t>
      </w:r>
      <w:r>
        <w:rPr>
          <w:rFonts w:ascii="Times New Roman" w:hAnsi="Times New Roman"/>
          <w:color w:val="000000"/>
          <w:sz w:val="24"/>
          <w:szCs w:val="24"/>
        </w:rPr>
        <w:t>sądy krajów europejskich nakazały, aby w wyszukiwarkach internetowych usunięto pejoratywne słowa z funkcji autouzupełniania podczas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czynności wyszukiwania imion i </w:t>
      </w:r>
      <w:r>
        <w:rPr>
          <w:rFonts w:ascii="Times New Roman" w:hAnsi="Times New Roman"/>
          <w:color w:val="000000"/>
          <w:sz w:val="24"/>
          <w:szCs w:val="24"/>
        </w:rPr>
        <w:t xml:space="preserve">nazwisk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konkretnych </w:t>
      </w:r>
      <w:r>
        <w:rPr>
          <w:rFonts w:ascii="Times New Roman" w:hAnsi="Times New Roman"/>
          <w:color w:val="000000"/>
          <w:sz w:val="24"/>
          <w:szCs w:val="24"/>
        </w:rPr>
        <w:t xml:space="preserve">osób. To prawo </w:t>
      </w:r>
      <w:r w:rsidR="006821DD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 xml:space="preserve">do bycia zapomnianym”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czy </w:t>
      </w:r>
      <w:r>
        <w:rPr>
          <w:rFonts w:ascii="Times New Roman" w:hAnsi="Times New Roman"/>
          <w:color w:val="000000"/>
          <w:sz w:val="24"/>
          <w:szCs w:val="24"/>
        </w:rPr>
        <w:t>prawo do usunięcia danych z mediów internetowych należy umacniać na terenie całej Europy.</w:t>
      </w:r>
    </w:p>
    <w:p w14:paraId="667D60A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170C8" w14:textId="3DF582A9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Witając </w:t>
      </w:r>
      <w:r>
        <w:rPr>
          <w:rFonts w:ascii="Times New Roman" w:hAnsi="Times New Roman"/>
          <w:color w:val="000000"/>
          <w:sz w:val="24"/>
          <w:szCs w:val="24"/>
        </w:rPr>
        <w:t>z zadowoleniem brazylijską ustawę nr 12965 z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23 kwietnia 2014 r. o </w:t>
      </w:r>
      <w:r>
        <w:rPr>
          <w:rFonts w:ascii="Times New Roman" w:hAnsi="Times New Roman"/>
          <w:color w:val="000000"/>
          <w:sz w:val="24"/>
          <w:szCs w:val="24"/>
        </w:rPr>
        <w:t xml:space="preserve">prawach obywatelskich w Internecie (Marco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Civil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a także przyjętą</w:t>
      </w:r>
      <w:r w:rsidR="005D43DC">
        <w:rPr>
          <w:rFonts w:ascii="Times New Roman" w:hAnsi="Times New Roman"/>
          <w:color w:val="000000"/>
          <w:sz w:val="24"/>
          <w:szCs w:val="24"/>
        </w:rPr>
        <w:t xml:space="preserve"> 28 lipca 2015 </w:t>
      </w:r>
      <w:r>
        <w:rPr>
          <w:rFonts w:ascii="Times New Roman" w:hAnsi="Times New Roman"/>
          <w:color w:val="000000"/>
          <w:sz w:val="24"/>
          <w:szCs w:val="24"/>
        </w:rPr>
        <w:t xml:space="preserve">r. przez włoski parlament „Deklarację praw internetowych”, Zgromadzenie wzywa parlamenty do 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debaty na temat </w:t>
      </w:r>
      <w:r>
        <w:rPr>
          <w:rFonts w:ascii="Times New Roman" w:hAnsi="Times New Roman"/>
          <w:color w:val="000000"/>
          <w:sz w:val="24"/>
          <w:szCs w:val="24"/>
        </w:rPr>
        <w:t xml:space="preserve">mediów internetowych </w:t>
      </w:r>
      <w:r w:rsidR="00F76DC1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dziennikarstwa internetowego oraz do określenia powszechnych standardów ochrony podstawowych wolności i praw użytkowników </w:t>
      </w:r>
      <w:r w:rsidR="006821DD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nternet</w:t>
      </w:r>
      <w:r w:rsidR="006821DD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, dziennikarzy i mediów internetowych w zgodzie z niniejszą rezolucją.</w:t>
      </w:r>
    </w:p>
    <w:p w14:paraId="33809681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A916D" w14:textId="0EA25315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Odnosząc się do </w:t>
      </w:r>
      <w:r w:rsidR="006821DD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alecenia CM/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(2011)7 Komitetu Ministrów dla państw członkowskich w sprawie ochrony osób zgłaszających przypadki narusze</w:t>
      </w:r>
      <w:r w:rsidR="00137E7F">
        <w:rPr>
          <w:rFonts w:ascii="Times New Roman" w:hAnsi="Times New Roman"/>
          <w:color w:val="000000"/>
          <w:sz w:val="24"/>
          <w:szCs w:val="24"/>
        </w:rPr>
        <w:t xml:space="preserve">ń (tzw. </w:t>
      </w:r>
      <w:proofErr w:type="spellStart"/>
      <w:r w:rsidR="00137E7F">
        <w:rPr>
          <w:rFonts w:ascii="Times New Roman" w:hAnsi="Times New Roman"/>
          <w:color w:val="000000"/>
          <w:sz w:val="24"/>
          <w:szCs w:val="24"/>
        </w:rPr>
        <w:t>whistle-blowers</w:t>
      </w:r>
      <w:proofErr w:type="spellEnd"/>
      <w:r w:rsidR="00137E7F">
        <w:rPr>
          <w:rFonts w:ascii="Times New Roman" w:hAnsi="Times New Roman"/>
          <w:color w:val="000000"/>
          <w:sz w:val="24"/>
          <w:szCs w:val="24"/>
        </w:rPr>
        <w:t xml:space="preserve"> – sygnaliści)</w:t>
      </w:r>
      <w:r>
        <w:rPr>
          <w:rFonts w:ascii="Times New Roman" w:hAnsi="Times New Roman"/>
          <w:color w:val="000000"/>
          <w:sz w:val="24"/>
          <w:szCs w:val="24"/>
        </w:rPr>
        <w:t xml:space="preserve"> oraz do własnej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 xml:space="preserve">ezolucji 1729 (2010) i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 xml:space="preserve">ezolucji 2060 (2015)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lastRenderedPageBreak/>
        <w:t xml:space="preserve">przedmiotowej sprawie, Zgromadzenie pragnie przypomnieć </w:t>
      </w:r>
      <w:r w:rsidR="006821D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aństwom </w:t>
      </w:r>
      <w:r w:rsidR="006821D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złonkowskim</w:t>
      </w:r>
      <w:r>
        <w:rPr>
          <w:rFonts w:ascii="Times New Roman" w:hAnsi="Times New Roman"/>
          <w:color w:val="0000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konieczności posiadania ram no</w:t>
      </w:r>
      <w:r w:rsidR="005D43DC">
        <w:rPr>
          <w:rFonts w:ascii="Times New Roman" w:hAnsi="Times New Roman"/>
          <w:sz w:val="24"/>
          <w:szCs w:val="24"/>
        </w:rPr>
        <w:t>rmatywnych, instytucjonalnych i </w:t>
      </w:r>
      <w:r>
        <w:rPr>
          <w:rFonts w:ascii="Times New Roman" w:hAnsi="Times New Roman"/>
          <w:sz w:val="24"/>
          <w:szCs w:val="24"/>
        </w:rPr>
        <w:t>sądowniczych, zapewniających ochronę osób, które zgłaszają lub ujawniają w dobrej wierze informacje na temat zagrożeń i sytuacji szkodliwych dla interesu publicznego.</w:t>
      </w:r>
      <w:r>
        <w:rPr>
          <w:rFonts w:ascii="Times New Roman" w:hAnsi="Times New Roman"/>
          <w:color w:val="000000"/>
          <w:sz w:val="24"/>
          <w:szCs w:val="24"/>
        </w:rPr>
        <w:t xml:space="preserve"> Powinność ta nabiera szczególnej wagi w k</w:t>
      </w:r>
      <w:r w:rsidR="006821DD">
        <w:rPr>
          <w:rFonts w:ascii="Times New Roman" w:hAnsi="Times New Roman"/>
          <w:color w:val="000000"/>
          <w:sz w:val="24"/>
          <w:szCs w:val="24"/>
        </w:rPr>
        <w:t>ontekście</w:t>
      </w:r>
      <w:r>
        <w:rPr>
          <w:rFonts w:ascii="Times New Roman" w:hAnsi="Times New Roman"/>
          <w:color w:val="000000"/>
          <w:sz w:val="24"/>
          <w:szCs w:val="24"/>
        </w:rPr>
        <w:t xml:space="preserve"> mediów internetowych i dziennikarstwa internetowego, jako że Internet jest jednym z kanałów komunikacji najczęściej wybieranych przez osoby zgłaszające </w:t>
      </w:r>
      <w:r w:rsidR="003F7502">
        <w:rPr>
          <w:rFonts w:ascii="Times New Roman" w:hAnsi="Times New Roman"/>
          <w:color w:val="000000"/>
          <w:sz w:val="24"/>
          <w:szCs w:val="24"/>
        </w:rPr>
        <w:t xml:space="preserve">opinii publicznej </w:t>
      </w:r>
      <w:r>
        <w:rPr>
          <w:rFonts w:ascii="Times New Roman" w:hAnsi="Times New Roman"/>
          <w:color w:val="000000"/>
          <w:sz w:val="24"/>
          <w:szCs w:val="24"/>
        </w:rPr>
        <w:t>powiadomienia o naruszeniach.</w:t>
      </w:r>
    </w:p>
    <w:p w14:paraId="0149F62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47A01" w14:textId="7777777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W związku z powyższym Zgromadzenie zaleca, aby:</w:t>
      </w:r>
    </w:p>
    <w:p w14:paraId="4879314F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58AD6" w14:textId="77AA7D68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 </w:t>
      </w:r>
      <w:r w:rsidR="006821DD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aństwa </w:t>
      </w:r>
      <w:r w:rsidR="006821DD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złonkowskie:</w:t>
      </w:r>
    </w:p>
    <w:p w14:paraId="0E8C21E4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CDBE8" w14:textId="4B70577E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12.1.1. zainicjowały, zarówno na poziomie narodowym, jak i w Radzie Europy, dyskusję na temat standardów i mechanizmów niezbędnych do zapobiegania zagrożeniom zniekształcania informacji oraz manipulowania opinią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 publiczną</w:t>
      </w:r>
      <w:r>
        <w:rPr>
          <w:rFonts w:ascii="Times New Roman" w:hAnsi="Times New Roman"/>
          <w:color w:val="000000"/>
          <w:sz w:val="24"/>
          <w:szCs w:val="24"/>
        </w:rPr>
        <w:t xml:space="preserve">, która to sugestia została już przekazana przez Zgromadzenie w </w:t>
      </w:r>
      <w:r w:rsidR="006821DD">
        <w:rPr>
          <w:rFonts w:ascii="Times New Roman" w:hAnsi="Times New Roman"/>
          <w:color w:val="000081"/>
          <w:sz w:val="24"/>
          <w:szCs w:val="24"/>
        </w:rPr>
        <w:t>r</w:t>
      </w:r>
      <w:r>
        <w:rPr>
          <w:rFonts w:ascii="Times New Roman" w:hAnsi="Times New Roman"/>
          <w:color w:val="000081"/>
          <w:sz w:val="24"/>
          <w:szCs w:val="24"/>
        </w:rPr>
        <w:t>ezolucji 1970 (2014)</w:t>
      </w:r>
      <w:r>
        <w:rPr>
          <w:rFonts w:ascii="Times New Roman" w:hAnsi="Times New Roman"/>
          <w:color w:val="000000"/>
          <w:sz w:val="24"/>
          <w:szCs w:val="24"/>
        </w:rPr>
        <w:t xml:space="preserve"> „Internet i polityka: wpływ nowych technologii informatycznych i komunikacyjnych na demokrację”</w:t>
      </w:r>
      <w:r w:rsidR="006821DD">
        <w:rPr>
          <w:rFonts w:ascii="Times New Roman" w:hAnsi="Times New Roman"/>
          <w:color w:val="000000"/>
          <w:sz w:val="24"/>
          <w:szCs w:val="24"/>
        </w:rPr>
        <w:t>;</w:t>
      </w:r>
    </w:p>
    <w:p w14:paraId="6F8D0FF8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AA23F" w14:textId="189A676C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12.1.2. stworzyły nadawcom publicznym </w:t>
      </w:r>
      <w:r w:rsidR="003F7502">
        <w:rPr>
          <w:rFonts w:ascii="Times New Roman" w:hAnsi="Times New Roman"/>
          <w:color w:val="000000"/>
          <w:sz w:val="24"/>
          <w:szCs w:val="24"/>
        </w:rPr>
        <w:t>możliwości</w:t>
      </w:r>
      <w:r>
        <w:rPr>
          <w:rFonts w:ascii="Times New Roman" w:hAnsi="Times New Roman"/>
          <w:color w:val="000000"/>
          <w:sz w:val="24"/>
          <w:szCs w:val="24"/>
        </w:rPr>
        <w:t xml:space="preserve"> pełnego korzystania z technicznych 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możliwości </w:t>
      </w:r>
      <w:r>
        <w:rPr>
          <w:rFonts w:ascii="Times New Roman" w:hAnsi="Times New Roman"/>
          <w:color w:val="000000"/>
          <w:sz w:val="24"/>
          <w:szCs w:val="24"/>
        </w:rPr>
        <w:t>oferowanych przez media internetowe, zapewniając</w:t>
      </w:r>
      <w:r w:rsidR="006821D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że ich obecnoś</w:t>
      </w:r>
      <w:r w:rsidR="0020514B"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hAnsi="Times New Roman"/>
          <w:color w:val="000000"/>
          <w:sz w:val="24"/>
          <w:szCs w:val="24"/>
        </w:rPr>
        <w:t xml:space="preserve"> w Internecie 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będą towarzyszyły </w:t>
      </w:r>
      <w:r>
        <w:rPr>
          <w:rFonts w:ascii="Times New Roman" w:hAnsi="Times New Roman"/>
          <w:color w:val="000000"/>
          <w:sz w:val="24"/>
          <w:szCs w:val="24"/>
        </w:rPr>
        <w:t>równie wysoki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standard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</w:rPr>
        <w:t>redakcyjn</w:t>
      </w:r>
      <w:r w:rsidR="0020514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1DD">
        <w:rPr>
          <w:rFonts w:ascii="Times New Roman" w:hAnsi="Times New Roman"/>
          <w:color w:val="000000"/>
          <w:sz w:val="24"/>
          <w:szCs w:val="24"/>
        </w:rPr>
        <w:t>jak</w:t>
      </w:r>
      <w:r>
        <w:rPr>
          <w:rFonts w:ascii="Times New Roman" w:hAnsi="Times New Roman"/>
          <w:color w:val="000000"/>
          <w:sz w:val="24"/>
          <w:szCs w:val="24"/>
        </w:rPr>
        <w:t xml:space="preserve"> te obowiązujące poza Internetem; w szczególności</w:t>
      </w:r>
      <w:r w:rsidR="0020514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media publiczne powinna cechować wyjątkowo wysoka staranność redakcyjna w odniesieniu do treści publikowanych przez użytkowników lub </w:t>
      </w:r>
      <w:r w:rsidR="0020514B">
        <w:rPr>
          <w:rFonts w:ascii="Times New Roman" w:hAnsi="Times New Roman"/>
          <w:color w:val="000000"/>
          <w:sz w:val="24"/>
          <w:szCs w:val="24"/>
        </w:rPr>
        <w:t xml:space="preserve">strony </w:t>
      </w:r>
      <w:r>
        <w:rPr>
          <w:rFonts w:ascii="Times New Roman" w:hAnsi="Times New Roman"/>
          <w:color w:val="000000"/>
          <w:sz w:val="24"/>
          <w:szCs w:val="24"/>
        </w:rPr>
        <w:t xml:space="preserve"> trzecie na ich portalach internetowych;</w:t>
      </w:r>
      <w:r w:rsidR="006E2B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1EF5D2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95633" w14:textId="77777777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12.1.3. uznały w swoim ustawodawstwie oraz wewnętrznych praktykach prawo do udzielenia odpowiedzi lub inny równoważny środek </w:t>
      </w:r>
      <w:r w:rsidR="005B5523">
        <w:rPr>
          <w:rFonts w:ascii="Times New Roman" w:hAnsi="Times New Roman"/>
          <w:color w:val="000000"/>
          <w:sz w:val="24"/>
          <w:szCs w:val="24"/>
        </w:rPr>
        <w:t>prawny, który umożliwi wprowadza</w:t>
      </w:r>
      <w:r>
        <w:rPr>
          <w:rFonts w:ascii="Times New Roman" w:hAnsi="Times New Roman"/>
          <w:color w:val="000000"/>
          <w:sz w:val="24"/>
          <w:szCs w:val="24"/>
        </w:rPr>
        <w:t>nie szybkiej korekty nieprawdziwych informacji w mediach internetowych i tradycyjnych;</w:t>
      </w:r>
    </w:p>
    <w:p w14:paraId="76FCC55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C2460" w14:textId="7CFF1592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12.1.4. zapewniły możliwość </w:t>
      </w:r>
      <w:r w:rsidR="00CD267F">
        <w:rPr>
          <w:rFonts w:ascii="Times New Roman" w:hAnsi="Times New Roman"/>
          <w:color w:val="000000"/>
          <w:sz w:val="24"/>
          <w:szCs w:val="24"/>
        </w:rPr>
        <w:t xml:space="preserve">identyfikowania przez organy ścigania </w:t>
      </w:r>
      <w:r>
        <w:rPr>
          <w:rFonts w:ascii="Times New Roman" w:hAnsi="Times New Roman"/>
          <w:color w:val="000000"/>
          <w:sz w:val="24"/>
          <w:szCs w:val="24"/>
        </w:rPr>
        <w:t>użytkowników internetowych łam</w:t>
      </w:r>
      <w:r w:rsidR="0005773F">
        <w:rPr>
          <w:rFonts w:ascii="Times New Roman" w:hAnsi="Times New Roman"/>
          <w:color w:val="000000"/>
          <w:sz w:val="24"/>
          <w:szCs w:val="24"/>
        </w:rPr>
        <w:t>iących</w:t>
      </w:r>
      <w:r>
        <w:rPr>
          <w:rFonts w:ascii="Times New Roman" w:hAnsi="Times New Roman"/>
          <w:color w:val="000000"/>
          <w:sz w:val="24"/>
          <w:szCs w:val="24"/>
        </w:rPr>
        <w:t xml:space="preserve"> praw</w:t>
      </w:r>
      <w:r w:rsidR="0005773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; nie można pozwolić, aby w wyniku anonimowości użytkowników media internetowe stały się strefą bezprawia;</w:t>
      </w:r>
    </w:p>
    <w:p w14:paraId="6A7C5B80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F3B88" w14:textId="219F947B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12.1.5. zawarły w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programach </w:t>
      </w:r>
      <w:r>
        <w:rPr>
          <w:rFonts w:ascii="Times New Roman" w:hAnsi="Times New Roman"/>
          <w:color w:val="000000"/>
          <w:sz w:val="24"/>
          <w:szCs w:val="24"/>
        </w:rPr>
        <w:t>nauczania umiejętności korzystania z mediów oraz wspierały projekty podnoszące świadomość i programy ukierunkowanych szkoleń, promujące krytyczne korzystanie z mediów internetowych;</w:t>
      </w:r>
    </w:p>
    <w:p w14:paraId="0C2B97D1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BE45F" w14:textId="02100196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12.1.6. wspierały profesjonalne szkolenia dziennikarzy,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poczynając </w:t>
      </w:r>
      <w:r>
        <w:rPr>
          <w:rFonts w:ascii="Times New Roman" w:hAnsi="Times New Roman"/>
          <w:color w:val="000000"/>
          <w:sz w:val="24"/>
          <w:szCs w:val="24"/>
        </w:rPr>
        <w:t>od edukacji wyższej</w:t>
      </w:r>
      <w:r w:rsidR="005D43DC">
        <w:rPr>
          <w:rFonts w:ascii="Times New Roman" w:hAnsi="Times New Roman"/>
          <w:color w:val="000000"/>
          <w:sz w:val="24"/>
          <w:szCs w:val="24"/>
        </w:rPr>
        <w:t>, a </w:t>
      </w:r>
      <w:r>
        <w:rPr>
          <w:rFonts w:ascii="Times New Roman" w:hAnsi="Times New Roman"/>
          <w:color w:val="000000"/>
          <w:sz w:val="24"/>
          <w:szCs w:val="24"/>
        </w:rPr>
        <w:t xml:space="preserve">kończąc na </w:t>
      </w:r>
      <w:r w:rsidR="006821DD">
        <w:rPr>
          <w:rFonts w:ascii="Times New Roman" w:hAnsi="Times New Roman"/>
          <w:color w:val="000000"/>
          <w:sz w:val="24"/>
          <w:szCs w:val="24"/>
        </w:rPr>
        <w:t>kształceniu ustawicznym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821DD">
        <w:rPr>
          <w:rFonts w:ascii="Times New Roman" w:hAnsi="Times New Roman"/>
          <w:color w:val="000000"/>
          <w:sz w:val="24"/>
          <w:szCs w:val="24"/>
        </w:rPr>
        <w:t xml:space="preserve">a także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praktyki </w:t>
      </w:r>
      <w:r>
        <w:rPr>
          <w:rFonts w:ascii="Times New Roman" w:hAnsi="Times New Roman"/>
          <w:color w:val="000000"/>
          <w:sz w:val="24"/>
          <w:szCs w:val="24"/>
        </w:rPr>
        <w:t>oferowan</w:t>
      </w:r>
      <w:r w:rsidR="006821DD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przez media internetowe oraz edukacj</w:t>
      </w:r>
      <w:r w:rsidR="006821DD">
        <w:rPr>
          <w:rFonts w:ascii="Times New 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 społeczeństwa w zakresie dziennikarstwa obywatelskiego</w:t>
      </w:r>
      <w:r w:rsidR="006821DD">
        <w:rPr>
          <w:rFonts w:ascii="Times New Roman" w:hAnsi="Times New Roman"/>
          <w:color w:val="000000"/>
          <w:sz w:val="24"/>
          <w:szCs w:val="24"/>
        </w:rPr>
        <w:t>;</w:t>
      </w:r>
    </w:p>
    <w:p w14:paraId="6924FA3C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0B506" w14:textId="767E68AE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12.1.7.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jeśli jeszcze tego nie uczyniły, podpi</w:t>
      </w:r>
      <w:r w:rsidR="005D43DC">
        <w:rPr>
          <w:rFonts w:ascii="Times New Roman" w:hAnsi="Times New Roman"/>
          <w:color w:val="000000"/>
          <w:sz w:val="24"/>
          <w:szCs w:val="24"/>
        </w:rPr>
        <w:t>sały i ratyfikowały Konwencję o </w:t>
      </w:r>
      <w:r>
        <w:rPr>
          <w:rFonts w:ascii="Times New Roman" w:hAnsi="Times New Roman"/>
          <w:color w:val="000000"/>
          <w:sz w:val="24"/>
          <w:szCs w:val="24"/>
        </w:rPr>
        <w:t xml:space="preserve">cyberprzestępczości (ETS nr 185) oraz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towarzyszący jej </w:t>
      </w:r>
      <w:r>
        <w:rPr>
          <w:rFonts w:ascii="Times New Roman" w:hAnsi="Times New Roman"/>
          <w:color w:val="000000"/>
          <w:sz w:val="24"/>
          <w:szCs w:val="24"/>
        </w:rPr>
        <w:t>Protokół dodat</w:t>
      </w:r>
      <w:r w:rsidR="005D43DC">
        <w:rPr>
          <w:rFonts w:ascii="Times New Roman" w:hAnsi="Times New Roman"/>
          <w:color w:val="000000"/>
          <w:sz w:val="24"/>
          <w:szCs w:val="24"/>
        </w:rPr>
        <w:t>kowy o </w:t>
      </w:r>
      <w:r>
        <w:rPr>
          <w:rFonts w:ascii="Times New Roman" w:hAnsi="Times New Roman"/>
          <w:color w:val="000000"/>
          <w:sz w:val="24"/>
          <w:szCs w:val="24"/>
        </w:rPr>
        <w:t>cyberprzestępczości dotyczący penalizacji czynów o charakterze rasistowskim lub ksenofobicznym popełnionych przy użyciu systemów komputerowych (ETS nr 189);</w:t>
      </w:r>
    </w:p>
    <w:p w14:paraId="124D903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2F43C" w14:textId="09E6F4DD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12.1.8. współpracowały z mediami internetowymi oraz dostawcami usług internetowych w celu stworzenia wytycznych, inspirowanych </w:t>
      </w:r>
      <w:r w:rsidR="00E13872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odeksem dobrych praktyk w sprawie mowy nienawiści w </w:t>
      </w:r>
      <w:r w:rsidR="00EA759A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nternecie</w:t>
      </w:r>
      <w:r w:rsidR="00EA759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872">
        <w:rPr>
          <w:rFonts w:ascii="Times New Roman" w:hAnsi="Times New Roman"/>
          <w:color w:val="000000"/>
          <w:sz w:val="24"/>
          <w:szCs w:val="24"/>
        </w:rPr>
        <w:t xml:space="preserve">uzgodnionym </w:t>
      </w:r>
      <w:r>
        <w:rPr>
          <w:rFonts w:ascii="Times New Roman" w:hAnsi="Times New Roman"/>
          <w:color w:val="000000"/>
          <w:sz w:val="24"/>
          <w:szCs w:val="24"/>
        </w:rPr>
        <w:t xml:space="preserve">przez Komisję Europejską i </w:t>
      </w:r>
      <w:r w:rsidR="00E13872">
        <w:rPr>
          <w:rFonts w:ascii="Times New Roman" w:hAnsi="Times New Roman"/>
          <w:color w:val="000000"/>
          <w:sz w:val="24"/>
          <w:szCs w:val="24"/>
        </w:rPr>
        <w:t>naj</w:t>
      </w:r>
      <w:r>
        <w:rPr>
          <w:rFonts w:ascii="Times New Roman" w:hAnsi="Times New Roman"/>
          <w:color w:val="000000"/>
          <w:sz w:val="24"/>
          <w:szCs w:val="24"/>
        </w:rPr>
        <w:t>większe spółki internetowe 31 maja 2016 r</w:t>
      </w:r>
      <w:r w:rsidR="00BB632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A80829B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F41DB" w14:textId="46F0E291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12.1.9. opracowały bardziej przejrzyste zasady odpowiedzialności właścicieli stron internetowych za treści umieszczane przez osoby trzecie, biorąc </w:t>
      </w:r>
      <w:r w:rsidR="004E039E">
        <w:rPr>
          <w:rFonts w:ascii="Times New Roman" w:hAnsi="Times New Roman"/>
          <w:sz w:val="24"/>
          <w:szCs w:val="24"/>
        </w:rPr>
        <w:t xml:space="preserve">w szczególności </w:t>
      </w:r>
      <w:r>
        <w:rPr>
          <w:rFonts w:ascii="Times New Roman" w:hAnsi="Times New Roman"/>
          <w:sz w:val="24"/>
          <w:szCs w:val="24"/>
        </w:rPr>
        <w:t xml:space="preserve">pod uwagę wyrok Europejskiego Trybunału Praw Człowieka w sprawie </w:t>
      </w:r>
      <w:proofErr w:type="spellStart"/>
      <w:r w:rsidRPr="00773168">
        <w:rPr>
          <w:rFonts w:ascii="Times New Roman" w:hAnsi="Times New Roman"/>
          <w:i/>
          <w:iCs/>
          <w:sz w:val="24"/>
          <w:szCs w:val="24"/>
        </w:rPr>
        <w:t>Delfi</w:t>
      </w:r>
      <w:proofErr w:type="spellEnd"/>
      <w:r w:rsidRPr="00773168">
        <w:rPr>
          <w:rFonts w:ascii="Times New Roman" w:hAnsi="Times New Roman"/>
          <w:i/>
          <w:iCs/>
          <w:sz w:val="24"/>
          <w:szCs w:val="24"/>
        </w:rPr>
        <w:t xml:space="preserve"> AS przeciwko Estoni</w:t>
      </w:r>
      <w:r w:rsidR="00FD6BD0" w:rsidRPr="00773168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14:paraId="1D2E6EB0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920CB" w14:textId="55B043DD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Europejska Federacja Dziennikarzy i Stowarzyszenie Dziennikarzy Europejskich </w:t>
      </w:r>
      <w:r w:rsidR="00FD6BD0">
        <w:rPr>
          <w:rFonts w:ascii="Times New Roman" w:hAnsi="Times New Roman"/>
          <w:sz w:val="24"/>
          <w:szCs w:val="24"/>
        </w:rPr>
        <w:t>w</w:t>
      </w:r>
      <w:r w:rsidR="00486821">
        <w:rPr>
          <w:rFonts w:ascii="Times New Roman" w:hAnsi="Times New Roman"/>
          <w:sz w:val="24"/>
          <w:szCs w:val="24"/>
        </w:rPr>
        <w:t>ezwały</w:t>
      </w:r>
      <w:r>
        <w:rPr>
          <w:rFonts w:ascii="Times New Roman" w:hAnsi="Times New Roman"/>
          <w:sz w:val="24"/>
          <w:szCs w:val="24"/>
        </w:rPr>
        <w:t xml:space="preserve"> swoich członków do zapewnienia, </w:t>
      </w:r>
      <w:r w:rsidR="00FD6BD0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>:</w:t>
      </w:r>
    </w:p>
    <w:p w14:paraId="0B4BD0D5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740FC" w14:textId="0106A2FC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12.2.1. profesjonalne media</w:t>
      </w:r>
      <w:r w:rsidR="004E039E">
        <w:rPr>
          <w:rFonts w:ascii="Times New Roman" w:hAnsi="Times New Roman"/>
          <w:sz w:val="24"/>
          <w:szCs w:val="24"/>
        </w:rPr>
        <w:t xml:space="preserve"> informacyjne</w:t>
      </w:r>
      <w:r>
        <w:rPr>
          <w:rFonts w:ascii="Times New Roman" w:hAnsi="Times New Roman"/>
          <w:sz w:val="24"/>
          <w:szCs w:val="24"/>
        </w:rPr>
        <w:t xml:space="preserve"> utrzym</w:t>
      </w:r>
      <w:r w:rsidR="00F13479">
        <w:rPr>
          <w:rFonts w:ascii="Times New Roman" w:hAnsi="Times New Roman"/>
          <w:sz w:val="24"/>
          <w:szCs w:val="24"/>
        </w:rPr>
        <w:t>ują</w:t>
      </w:r>
      <w:r>
        <w:rPr>
          <w:rFonts w:ascii="Times New Roman" w:hAnsi="Times New Roman"/>
          <w:sz w:val="24"/>
          <w:szCs w:val="24"/>
        </w:rPr>
        <w:t xml:space="preserve"> swoje standardy redakcyjne w Internecie, w tym</w:t>
      </w:r>
      <w:r w:rsidR="004E03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odniesieniu do własnych treści, reklam, treści </w:t>
      </w:r>
      <w:r w:rsidR="004E039E">
        <w:rPr>
          <w:rFonts w:ascii="Times New Roman" w:hAnsi="Times New Roman"/>
          <w:sz w:val="24"/>
          <w:szCs w:val="24"/>
        </w:rPr>
        <w:t>stron</w:t>
      </w:r>
      <w:r>
        <w:rPr>
          <w:rFonts w:ascii="Times New Roman" w:hAnsi="Times New Roman"/>
          <w:sz w:val="24"/>
          <w:szCs w:val="24"/>
        </w:rPr>
        <w:t xml:space="preserve"> trzecich, a także treści tworzonych przez użytkowników, takich jak</w:t>
      </w:r>
      <w:r w:rsidR="004E039E">
        <w:rPr>
          <w:rFonts w:ascii="Times New Roman" w:hAnsi="Times New Roman"/>
          <w:sz w:val="24"/>
          <w:szCs w:val="24"/>
        </w:rPr>
        <w:t xml:space="preserve"> opinie i </w:t>
      </w:r>
      <w:r>
        <w:rPr>
          <w:rFonts w:ascii="Times New Roman" w:hAnsi="Times New Roman"/>
          <w:sz w:val="24"/>
          <w:szCs w:val="24"/>
        </w:rPr>
        <w:t xml:space="preserve">komentarze. Media profesjonalne ponoszą odpowiedzialność za wszelkie treści </w:t>
      </w:r>
      <w:r w:rsidR="004E039E">
        <w:rPr>
          <w:rFonts w:ascii="Times New Roman" w:hAnsi="Times New Roman"/>
          <w:sz w:val="24"/>
          <w:szCs w:val="24"/>
        </w:rPr>
        <w:t>stron</w:t>
      </w:r>
      <w:r>
        <w:rPr>
          <w:rFonts w:ascii="Times New Roman" w:hAnsi="Times New Roman"/>
          <w:sz w:val="24"/>
          <w:szCs w:val="24"/>
        </w:rPr>
        <w:t xml:space="preserve"> trzecich zamieszczane na stronach internetowych tych mediów;</w:t>
      </w:r>
    </w:p>
    <w:p w14:paraId="23A4F9F0" w14:textId="77777777" w:rsidR="00FA12CE" w:rsidRPr="00EC482B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151F5E" w14:textId="76A74E66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12.2.2. użytkownicy mediów internetowych </w:t>
      </w:r>
      <w:r w:rsidR="00F13479">
        <w:rPr>
          <w:rFonts w:ascii="Times New Roman" w:hAnsi="Times New Roman"/>
          <w:sz w:val="24"/>
          <w:szCs w:val="24"/>
        </w:rPr>
        <w:t>s</w:t>
      </w:r>
      <w:r w:rsidR="00FD6BD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informowani o możliwościach kierowania skarg do dziennikarzy internetowych</w:t>
      </w:r>
      <w:r w:rsidRPr="003758BF">
        <w:rPr>
          <w:rFonts w:ascii="Times New Roman" w:hAnsi="Times New Roman"/>
          <w:sz w:val="24"/>
          <w:szCs w:val="24"/>
        </w:rPr>
        <w:t xml:space="preserve">, ich </w:t>
      </w:r>
      <w:r w:rsidR="003758BF" w:rsidRPr="003758BF">
        <w:rPr>
          <w:rFonts w:ascii="Times New Roman" w:hAnsi="Times New Roman"/>
          <w:sz w:val="24"/>
          <w:szCs w:val="24"/>
        </w:rPr>
        <w:t>rodzimych</w:t>
      </w:r>
      <w:r w:rsidR="003758BF">
        <w:rPr>
          <w:rFonts w:ascii="Times New Roman" w:hAnsi="Times New Roman"/>
          <w:sz w:val="24"/>
          <w:szCs w:val="24"/>
        </w:rPr>
        <w:t xml:space="preserve"> podmiotów </w:t>
      </w:r>
      <w:r>
        <w:rPr>
          <w:rFonts w:ascii="Times New Roman" w:hAnsi="Times New Roman"/>
          <w:sz w:val="24"/>
          <w:szCs w:val="24"/>
        </w:rPr>
        <w:t xml:space="preserve">lub </w:t>
      </w:r>
      <w:r w:rsidR="004E039E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stowarzyszenia branżowego;</w:t>
      </w:r>
    </w:p>
    <w:p w14:paraId="44610EF2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743C9" w14:textId="7DACEF99" w:rsidR="00FA12CE" w:rsidRP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Europejskie Stowarzyszenie Dostawców Usług Internetowych w</w:t>
      </w:r>
      <w:r w:rsidR="00FD6B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</w:t>
      </w:r>
      <w:r w:rsidR="00FD6BD0">
        <w:rPr>
          <w:rFonts w:ascii="Times New Roman" w:hAnsi="Times New Roman"/>
          <w:sz w:val="24"/>
          <w:szCs w:val="24"/>
        </w:rPr>
        <w:t>wało</w:t>
      </w:r>
      <w:r>
        <w:rPr>
          <w:rFonts w:ascii="Times New Roman" w:hAnsi="Times New Roman"/>
          <w:sz w:val="24"/>
          <w:szCs w:val="24"/>
        </w:rPr>
        <w:t xml:space="preserve"> swoich członków, będących dostawcami mediów społecznościowych, wyszukiwarek i agregatorów wiadomości</w:t>
      </w:r>
      <w:r w:rsidR="007C13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do:</w:t>
      </w:r>
    </w:p>
    <w:p w14:paraId="1240691D" w14:textId="77777777" w:rsidR="00FA12CE" w:rsidRPr="00EC482B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103" w14:textId="0C9CC928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12.3.1. opracowania etycznych standardów jakości dotyczących ich przejrzystości oraz standardów zachowania należytej staranności w świadczeniu usług przez media</w:t>
      </w:r>
      <w:r w:rsidR="00FD6BD0">
        <w:rPr>
          <w:rFonts w:ascii="Times New Roman" w:hAnsi="Times New Roman"/>
          <w:sz w:val="24"/>
          <w:szCs w:val="24"/>
        </w:rPr>
        <w:t>, które dostarczają</w:t>
      </w:r>
      <w:r>
        <w:rPr>
          <w:rFonts w:ascii="Times New Roman" w:hAnsi="Times New Roman"/>
          <w:sz w:val="24"/>
          <w:szCs w:val="24"/>
        </w:rPr>
        <w:t>. W przypadku konfliktu interesów</w:t>
      </w:r>
      <w:r w:rsidR="00111085">
        <w:rPr>
          <w:rFonts w:ascii="Times New Roman" w:hAnsi="Times New Roman"/>
          <w:sz w:val="24"/>
          <w:szCs w:val="24"/>
        </w:rPr>
        <w:t xml:space="preserve"> komercyjnych</w:t>
      </w:r>
      <w:r>
        <w:rPr>
          <w:rFonts w:ascii="Times New Roman" w:hAnsi="Times New Roman"/>
          <w:sz w:val="24"/>
          <w:szCs w:val="24"/>
        </w:rPr>
        <w:t>,</w:t>
      </w:r>
      <w:r w:rsidR="005D43DC">
        <w:rPr>
          <w:rFonts w:ascii="Times New Roman" w:hAnsi="Times New Roman"/>
          <w:sz w:val="24"/>
          <w:szCs w:val="24"/>
        </w:rPr>
        <w:t xml:space="preserve"> politycznych lub innego typu z </w:t>
      </w:r>
      <w:r>
        <w:rPr>
          <w:rFonts w:ascii="Times New Roman" w:hAnsi="Times New Roman"/>
          <w:sz w:val="24"/>
          <w:szCs w:val="24"/>
        </w:rPr>
        <w:t>neutralnością takich usług medialnych usługodawcy powinni zachować przejrzystość własnych interesów; wszyscy dostawcy powinni wprowadzić mechanizmy samoregulacji, które pozwolą monitorować takie standardy i informować opinię publiczną o ich przestrzeganiu;</w:t>
      </w:r>
    </w:p>
    <w:p w14:paraId="311E11C3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9C3F3A" w14:textId="7618AC0D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12.3.2. upoważnienia swoich użytkowników do zgłaszania nieprawdziwych informacji usługodawcom, co doprowadzi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upublicznienia</w:t>
      </w:r>
      <w:r w:rsidR="00FD6BD0">
        <w:rPr>
          <w:rFonts w:ascii="Times New Roman" w:hAnsi="Times New Roman"/>
          <w:sz w:val="24"/>
          <w:szCs w:val="24"/>
        </w:rPr>
        <w:t xml:space="preserve"> tych informacji</w:t>
      </w:r>
      <w:r>
        <w:rPr>
          <w:rFonts w:ascii="Times New Roman" w:hAnsi="Times New Roman"/>
          <w:sz w:val="24"/>
          <w:szCs w:val="24"/>
        </w:rPr>
        <w:t>;</w:t>
      </w:r>
    </w:p>
    <w:p w14:paraId="2A3288A9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B18725" w14:textId="4DE67A45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12.3.3. dobrowolnego poprawiania błędnych treści lub pu</w:t>
      </w:r>
      <w:r w:rsidR="005D43DC">
        <w:rPr>
          <w:rFonts w:ascii="Times New Roman" w:hAnsi="Times New Roman"/>
          <w:sz w:val="24"/>
          <w:szCs w:val="24"/>
        </w:rPr>
        <w:t>blikowania odpowiedzi zgodnie z </w:t>
      </w:r>
      <w:r>
        <w:rPr>
          <w:rFonts w:ascii="Times New Roman" w:hAnsi="Times New Roman"/>
          <w:sz w:val="24"/>
          <w:szCs w:val="24"/>
        </w:rPr>
        <w:t>prawem do udzielania odpowiedzi lub usuwania takich błędnych treści; są oni prawnie zobowiązani do współpracy w zakresie zwalczania nielegalnych treści;</w:t>
      </w:r>
    </w:p>
    <w:p w14:paraId="089A88C9" w14:textId="77777777" w:rsidR="00EE3744" w:rsidRPr="00EC482B" w:rsidRDefault="00EE3744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7E41B1" w14:textId="69A385E9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12.3.4. wprowadzenia mechanizmów ostrzegania przed osobami, które regularnie publikują obraźliwe lub prowokacyjne teksty („trol</w:t>
      </w:r>
      <w:r w:rsidR="00FD6B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e”)</w:t>
      </w:r>
      <w:r w:rsidR="00FD6BD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mechanizmy </w:t>
      </w:r>
      <w:r w:rsidR="00FD6BD0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stanowiłyby narzędzie użytkowników do zgłaszania skarg na </w:t>
      </w:r>
      <w:r w:rsidR="00FD6BD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trol</w:t>
      </w:r>
      <w:r w:rsidR="00FD6B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 w:rsidR="00FD6BD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celu wykluczenia ich z forów;</w:t>
      </w:r>
    </w:p>
    <w:p w14:paraId="25AADF65" w14:textId="77777777" w:rsidR="00EE3744" w:rsidRPr="00EC482B" w:rsidRDefault="00EE3744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F318" w14:textId="75DDB907" w:rsidR="00FA12CE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Europejski Sojusz na rzecz Interaktywnej Reklamy Cyfrowej opracow</w:t>
      </w:r>
      <w:r w:rsidR="00111085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samoregulacyjne standardy, których celem byłoby zapewnienie, że:</w:t>
      </w:r>
    </w:p>
    <w:p w14:paraId="34A2AB8C" w14:textId="77777777" w:rsidR="00EE3744" w:rsidRPr="00EC482B" w:rsidRDefault="00EE3744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ECCE" w14:textId="33036CA5" w:rsid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12.4.1. firmy reklamowe i firmy public relations będą</w:t>
      </w:r>
      <w:r w:rsidR="005D43DC">
        <w:rPr>
          <w:rFonts w:ascii="Times New Roman" w:hAnsi="Times New Roman"/>
          <w:sz w:val="24"/>
          <w:szCs w:val="24"/>
        </w:rPr>
        <w:t xml:space="preserve"> identyfikować swoją obecność w </w:t>
      </w:r>
      <w:r>
        <w:rPr>
          <w:rFonts w:ascii="Times New Roman" w:hAnsi="Times New Roman"/>
          <w:sz w:val="24"/>
          <w:szCs w:val="24"/>
        </w:rPr>
        <w:t xml:space="preserve">Internecie oraz swój wkład w internetową obecność innych; w szczególności powinny one ujawniać publicznie osobę, organizację lub spółkę, na </w:t>
      </w:r>
      <w:r w:rsidR="00FD6BD0">
        <w:rPr>
          <w:rFonts w:ascii="Times New Roman" w:hAnsi="Times New Roman"/>
          <w:sz w:val="24"/>
          <w:szCs w:val="24"/>
        </w:rPr>
        <w:t xml:space="preserve">której </w:t>
      </w:r>
      <w:r>
        <w:rPr>
          <w:rFonts w:ascii="Times New Roman" w:hAnsi="Times New Roman"/>
          <w:sz w:val="24"/>
          <w:szCs w:val="24"/>
        </w:rPr>
        <w:t>zlecenie działają;</w:t>
      </w:r>
    </w:p>
    <w:p w14:paraId="256BD374" w14:textId="77777777" w:rsidR="00F46ECD" w:rsidRDefault="00F46ECD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D87798" w14:textId="53CED8F5" w:rsidR="00FA12CE" w:rsidRPr="00FA12CE" w:rsidRDefault="00FA12CE" w:rsidP="004E03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12.4.2. media profesjonalne, a także dostawcy mediów społecznościowych</w:t>
      </w:r>
      <w:r w:rsidR="005B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wprowadzą zakaz stosowania w Internecie kryptoreklamy i lobbingu</w:t>
      </w:r>
      <w:r w:rsidR="003748DC">
        <w:rPr>
          <w:rFonts w:ascii="Times New Roman" w:hAnsi="Times New Roman"/>
          <w:sz w:val="24"/>
          <w:szCs w:val="24"/>
        </w:rPr>
        <w:t>, zgodnie ze swoimi warunkami świadczenia usług</w:t>
      </w:r>
      <w:r>
        <w:rPr>
          <w:rFonts w:ascii="Times New Roman" w:hAnsi="Times New Roman"/>
          <w:sz w:val="24"/>
          <w:szCs w:val="24"/>
        </w:rPr>
        <w:t>.</w:t>
      </w:r>
    </w:p>
    <w:sectPr w:rsidR="00FA12CE" w:rsidRPr="00FA12CE" w:rsidSect="00EE374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FC7F9" w14:textId="77777777" w:rsidR="00747898" w:rsidRDefault="00747898" w:rsidP="00FA12CE">
      <w:pPr>
        <w:spacing w:after="0" w:line="240" w:lineRule="auto"/>
      </w:pPr>
      <w:r>
        <w:separator/>
      </w:r>
    </w:p>
  </w:endnote>
  <w:endnote w:type="continuationSeparator" w:id="0">
    <w:p w14:paraId="3DC5C4F4" w14:textId="77777777" w:rsidR="00747898" w:rsidRDefault="00747898" w:rsidP="00F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39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0632E6" w14:textId="7ABF9730" w:rsidR="00EE3744" w:rsidRPr="00EE3744" w:rsidRDefault="00EE374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3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3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3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09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E3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DB6ECF" w14:textId="77777777" w:rsidR="00EE3744" w:rsidRDefault="00EE3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828A" w14:textId="77777777" w:rsidR="00EE3744" w:rsidRPr="00EE3744" w:rsidRDefault="00EE3744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F – 67075 Strasburg </w:t>
    </w:r>
    <w:proofErr w:type="spellStart"/>
    <w:r>
      <w:rPr>
        <w:rFonts w:ascii="Times New Roman" w:hAnsi="Times New Roman"/>
        <w:sz w:val="20"/>
        <w:szCs w:val="20"/>
      </w:rPr>
      <w:t>Cedex</w:t>
    </w:r>
    <w:proofErr w:type="spellEnd"/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hyperlink r:id="rId1" w:history="1">
      <w:r>
        <w:rPr>
          <w:rStyle w:val="Hipercze"/>
          <w:rFonts w:ascii="Times New Roman" w:hAnsi="Times New Roman"/>
          <w:sz w:val="20"/>
          <w:szCs w:val="20"/>
        </w:rPr>
        <w:t>assembly@coe.int</w:t>
      </w:r>
    </w:hyperlink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Tel: +33 3 88 41 2000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</w:t>
    </w:r>
    <w:r w:rsidR="005B552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Faks: + 33 3 88 41 2733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288D0" w14:textId="77777777" w:rsidR="00747898" w:rsidRDefault="00747898" w:rsidP="00FA12CE">
      <w:pPr>
        <w:spacing w:after="0" w:line="240" w:lineRule="auto"/>
      </w:pPr>
      <w:r>
        <w:separator/>
      </w:r>
    </w:p>
  </w:footnote>
  <w:footnote w:type="continuationSeparator" w:id="0">
    <w:p w14:paraId="5677B7D5" w14:textId="77777777" w:rsidR="00747898" w:rsidRDefault="00747898" w:rsidP="00FA12CE">
      <w:pPr>
        <w:spacing w:after="0" w:line="240" w:lineRule="auto"/>
      </w:pPr>
      <w:r>
        <w:continuationSeparator/>
      </w:r>
    </w:p>
  </w:footnote>
  <w:footnote w:id="1">
    <w:p w14:paraId="21B5753B" w14:textId="17FA4E69" w:rsidR="00FA12CE" w:rsidRPr="005B5523" w:rsidRDefault="00FA12CE" w:rsidP="00FA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B5523">
        <w:rPr>
          <w:rFonts w:ascii="Times New Roman" w:hAnsi="Times New Roman"/>
          <w:sz w:val="18"/>
          <w:szCs w:val="18"/>
        </w:rPr>
        <w:t xml:space="preserve"> </w:t>
      </w:r>
      <w:r w:rsidRPr="005D43DC">
        <w:rPr>
          <w:rFonts w:ascii="Times New Roman" w:hAnsi="Times New Roman"/>
          <w:iCs/>
          <w:color w:val="000000"/>
          <w:sz w:val="18"/>
          <w:szCs w:val="18"/>
        </w:rPr>
        <w:t>Debata Zgromadzenia</w:t>
      </w:r>
      <w:r w:rsidRPr="005B5523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496C0A">
        <w:rPr>
          <w:rFonts w:ascii="Times New Roman" w:hAnsi="Times New Roman"/>
          <w:color w:val="000000"/>
          <w:sz w:val="18"/>
          <w:szCs w:val="18"/>
        </w:rPr>
        <w:t xml:space="preserve">z </w:t>
      </w:r>
      <w:r w:rsidRPr="005B5523">
        <w:rPr>
          <w:rFonts w:ascii="Times New Roman" w:hAnsi="Times New Roman"/>
          <w:color w:val="000000"/>
          <w:sz w:val="18"/>
          <w:szCs w:val="18"/>
        </w:rPr>
        <w:t>25 stycznia 2017 r. (</w:t>
      </w:r>
      <w:r w:rsidR="006E2FD1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>osiedzenie 5.) (</w:t>
      </w:r>
      <w:r w:rsidR="006E2FD1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atrz </w:t>
      </w:r>
      <w:r w:rsidR="006821DD">
        <w:rPr>
          <w:rFonts w:ascii="Times New Roman" w:hAnsi="Times New Roman"/>
          <w:color w:val="000081"/>
          <w:sz w:val="18"/>
          <w:szCs w:val="18"/>
        </w:rPr>
        <w:t>d</w:t>
      </w:r>
      <w:r w:rsidRPr="005B5523">
        <w:rPr>
          <w:rFonts w:ascii="Times New Roman" w:hAnsi="Times New Roman"/>
          <w:color w:val="000081"/>
          <w:sz w:val="18"/>
          <w:szCs w:val="18"/>
        </w:rPr>
        <w:t>ok. 14228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, raport Komisji ds. Kultury, Nauki, Edukacji i Mediów, sprawozdawca: Adele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Gambaro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 oraz </w:t>
      </w:r>
      <w:r w:rsidR="006821DD">
        <w:rPr>
          <w:rFonts w:ascii="Times New Roman" w:hAnsi="Times New Roman"/>
          <w:color w:val="000081"/>
          <w:sz w:val="18"/>
          <w:szCs w:val="18"/>
        </w:rPr>
        <w:t>d</w:t>
      </w:r>
      <w:r w:rsidRPr="005B5523">
        <w:rPr>
          <w:rFonts w:ascii="Times New Roman" w:hAnsi="Times New Roman"/>
          <w:color w:val="000081"/>
          <w:sz w:val="18"/>
          <w:szCs w:val="18"/>
        </w:rPr>
        <w:t>ok. 14240</w:t>
      </w:r>
      <w:r w:rsidRPr="005B5523">
        <w:rPr>
          <w:rFonts w:ascii="Times New Roman" w:hAnsi="Times New Roman"/>
          <w:color w:val="000000"/>
          <w:sz w:val="18"/>
          <w:szCs w:val="18"/>
        </w:rPr>
        <w:t xml:space="preserve">, raport Komisji Zagadnień Prawnych i Praw Człowieka, sprawozdawca: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Boriss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5B5523">
        <w:rPr>
          <w:rFonts w:ascii="Times New Roman" w:hAnsi="Times New Roman"/>
          <w:color w:val="000000"/>
          <w:sz w:val="18"/>
          <w:szCs w:val="18"/>
        </w:rPr>
        <w:t>Cilevičs</w:t>
      </w:r>
      <w:proofErr w:type="spellEnd"/>
      <w:r w:rsidRPr="005B5523">
        <w:rPr>
          <w:rFonts w:ascii="Times New Roman" w:hAnsi="Times New Roman"/>
          <w:color w:val="000000"/>
          <w:sz w:val="18"/>
          <w:szCs w:val="18"/>
        </w:rPr>
        <w:t xml:space="preserve">). </w:t>
      </w:r>
      <w:r w:rsidRPr="005D43DC">
        <w:rPr>
          <w:rFonts w:ascii="Times New Roman" w:hAnsi="Times New Roman"/>
          <w:iCs/>
          <w:color w:val="000000"/>
          <w:sz w:val="18"/>
          <w:szCs w:val="18"/>
        </w:rPr>
        <w:t>Tekst przyjęty przez Zgromadzenie</w:t>
      </w:r>
      <w:r w:rsidRPr="005B5523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5B5523">
        <w:rPr>
          <w:rFonts w:ascii="Times New Roman" w:hAnsi="Times New Roman"/>
          <w:color w:val="000000"/>
          <w:sz w:val="18"/>
          <w:szCs w:val="18"/>
        </w:rPr>
        <w:t>25 stycznia 2017 r. (</w:t>
      </w:r>
      <w:r w:rsidR="00332912">
        <w:rPr>
          <w:rFonts w:ascii="Times New Roman" w:hAnsi="Times New Roman"/>
          <w:color w:val="000000"/>
          <w:sz w:val="18"/>
          <w:szCs w:val="18"/>
        </w:rPr>
        <w:t>p</w:t>
      </w:r>
      <w:r w:rsidRPr="005B5523">
        <w:rPr>
          <w:rFonts w:ascii="Times New Roman" w:hAnsi="Times New Roman"/>
          <w:color w:val="000000"/>
          <w:sz w:val="18"/>
          <w:szCs w:val="18"/>
        </w:rPr>
        <w:t>osiedzenie 5.).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CE"/>
    <w:rsid w:val="0005773F"/>
    <w:rsid w:val="00111085"/>
    <w:rsid w:val="00137E7F"/>
    <w:rsid w:val="0014709F"/>
    <w:rsid w:val="00153936"/>
    <w:rsid w:val="002015A5"/>
    <w:rsid w:val="0020514B"/>
    <w:rsid w:val="002277A0"/>
    <w:rsid w:val="0023224B"/>
    <w:rsid w:val="002976F4"/>
    <w:rsid w:val="003029FE"/>
    <w:rsid w:val="00330B77"/>
    <w:rsid w:val="00332912"/>
    <w:rsid w:val="003748DC"/>
    <w:rsid w:val="003758BF"/>
    <w:rsid w:val="00380814"/>
    <w:rsid w:val="00386622"/>
    <w:rsid w:val="003F16B1"/>
    <w:rsid w:val="003F7502"/>
    <w:rsid w:val="003F75C0"/>
    <w:rsid w:val="00482364"/>
    <w:rsid w:val="00486821"/>
    <w:rsid w:val="00496C0A"/>
    <w:rsid w:val="004E039E"/>
    <w:rsid w:val="00566F99"/>
    <w:rsid w:val="005B5523"/>
    <w:rsid w:val="005D43DC"/>
    <w:rsid w:val="00666C3A"/>
    <w:rsid w:val="006821DD"/>
    <w:rsid w:val="006E2B41"/>
    <w:rsid w:val="006E2FD1"/>
    <w:rsid w:val="00747898"/>
    <w:rsid w:val="00773168"/>
    <w:rsid w:val="007C13A7"/>
    <w:rsid w:val="007D09D4"/>
    <w:rsid w:val="008406D9"/>
    <w:rsid w:val="0086153E"/>
    <w:rsid w:val="00893386"/>
    <w:rsid w:val="008947FA"/>
    <w:rsid w:val="00962A97"/>
    <w:rsid w:val="0096418E"/>
    <w:rsid w:val="009B020C"/>
    <w:rsid w:val="009E2581"/>
    <w:rsid w:val="00A320B9"/>
    <w:rsid w:val="00A53151"/>
    <w:rsid w:val="00A91C8F"/>
    <w:rsid w:val="00AA2E35"/>
    <w:rsid w:val="00B11ED3"/>
    <w:rsid w:val="00BB6320"/>
    <w:rsid w:val="00C25882"/>
    <w:rsid w:val="00C87787"/>
    <w:rsid w:val="00CC34F7"/>
    <w:rsid w:val="00CD267F"/>
    <w:rsid w:val="00D40991"/>
    <w:rsid w:val="00E13872"/>
    <w:rsid w:val="00E45F10"/>
    <w:rsid w:val="00E76A40"/>
    <w:rsid w:val="00EA759A"/>
    <w:rsid w:val="00EC482B"/>
    <w:rsid w:val="00EE3744"/>
    <w:rsid w:val="00F06E30"/>
    <w:rsid w:val="00F13479"/>
    <w:rsid w:val="00F422CE"/>
    <w:rsid w:val="00F42337"/>
    <w:rsid w:val="00F46ECD"/>
    <w:rsid w:val="00F76DC1"/>
    <w:rsid w:val="00FA12CE"/>
    <w:rsid w:val="00FD2A6F"/>
    <w:rsid w:val="00FD6BD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C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2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2CE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2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2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44"/>
  </w:style>
  <w:style w:type="paragraph" w:styleId="Stopka">
    <w:name w:val="footer"/>
    <w:basedOn w:val="Normalny"/>
    <w:link w:val="Stopka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44"/>
  </w:style>
  <w:style w:type="character" w:styleId="Odwoaniedokomentarza">
    <w:name w:val="annotation reference"/>
    <w:basedOn w:val="Domylnaczcionkaakapitu"/>
    <w:uiPriority w:val="99"/>
    <w:semiHidden/>
    <w:unhideWhenUsed/>
    <w:rsid w:val="0023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2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2CE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2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2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44"/>
  </w:style>
  <w:style w:type="paragraph" w:styleId="Stopka">
    <w:name w:val="footer"/>
    <w:basedOn w:val="Normalny"/>
    <w:link w:val="StopkaZnak"/>
    <w:uiPriority w:val="99"/>
    <w:unhideWhenUsed/>
    <w:rsid w:val="00EE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44"/>
  </w:style>
  <w:style w:type="character" w:styleId="Odwoaniedokomentarza">
    <w:name w:val="annotation reference"/>
    <w:basedOn w:val="Domylnaczcionkaakapitu"/>
    <w:uiPriority w:val="99"/>
    <w:semiHidden/>
    <w:unhideWhenUsed/>
    <w:rsid w:val="0023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ssembly.coe.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mbly@coe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Kmiecik</dc:creator>
  <cp:lastModifiedBy>Czuczman Karolina</cp:lastModifiedBy>
  <cp:revision>2</cp:revision>
  <cp:lastPrinted>2017-10-30T13:11:00Z</cp:lastPrinted>
  <dcterms:created xsi:type="dcterms:W3CDTF">2020-09-03T09:45:00Z</dcterms:created>
  <dcterms:modified xsi:type="dcterms:W3CDTF">2020-09-03T09:45:00Z</dcterms:modified>
</cp:coreProperties>
</file>