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7AF" w:rsidRPr="00243151" w:rsidRDefault="000919E8" w:rsidP="009536C0">
      <w:pPr>
        <w:pStyle w:val="Tytu"/>
        <w:rPr>
          <w:b w:val="0"/>
        </w:rPr>
      </w:pPr>
      <w:r w:rsidRPr="00243151">
        <w:t>ZARZĄDZENIE</w:t>
      </w:r>
    </w:p>
    <w:p w:rsidR="00E227AF" w:rsidRPr="00E53A80" w:rsidRDefault="000919E8" w:rsidP="009536C0">
      <w:pPr>
        <w:pStyle w:val="Tytu"/>
        <w:rPr>
          <w:b w:val="0"/>
          <w:sz w:val="28"/>
          <w:szCs w:val="28"/>
        </w:rPr>
      </w:pPr>
      <w:r w:rsidRPr="00E53A80">
        <w:rPr>
          <w:sz w:val="28"/>
          <w:szCs w:val="28"/>
        </w:rPr>
        <w:t>DYREKTORA GENERALNEGO</w:t>
      </w:r>
    </w:p>
    <w:p w:rsidR="00E227AF" w:rsidRPr="00E53A80" w:rsidRDefault="000919E8" w:rsidP="00C11D27">
      <w:pPr>
        <w:pStyle w:val="Tytu"/>
        <w:spacing w:after="0"/>
        <w:rPr>
          <w:b w:val="0"/>
          <w:sz w:val="28"/>
          <w:szCs w:val="28"/>
        </w:rPr>
      </w:pPr>
      <w:r w:rsidRPr="00E53A80">
        <w:rPr>
          <w:sz w:val="28"/>
          <w:szCs w:val="28"/>
        </w:rPr>
        <w:t>POMORSKIEGO URZĘDU WOJEWÓDZKIEGO W GDAŃSKU</w:t>
      </w:r>
    </w:p>
    <w:p w:rsidR="00E53A80" w:rsidRPr="00E53A80" w:rsidRDefault="000919E8" w:rsidP="00C11D27">
      <w:pPr>
        <w:spacing w:before="240"/>
        <w:ind w:firstLine="0"/>
        <w:jc w:val="center"/>
        <w:rPr>
          <w:rFonts w:cs="Arial"/>
          <w:szCs w:val="24"/>
        </w:rPr>
      </w:pPr>
      <w:r w:rsidRPr="00E53A80">
        <w:rPr>
          <w:rFonts w:cs="Arial"/>
          <w:szCs w:val="24"/>
        </w:rPr>
        <w:t xml:space="preserve">z dnia </w:t>
      </w:r>
      <w:bookmarkStart w:id="0" w:name="ezdDataPodpisu"/>
      <w:r w:rsidRPr="00E53A80">
        <w:rPr>
          <w:rFonts w:cs="Arial"/>
          <w:szCs w:val="24"/>
        </w:rPr>
        <w:t>2 stycznia 2025</w:t>
      </w:r>
      <w:bookmarkEnd w:id="0"/>
      <w:r w:rsidRPr="00E53A80">
        <w:rPr>
          <w:rFonts w:cs="Arial"/>
          <w:szCs w:val="24"/>
        </w:rPr>
        <w:t xml:space="preserve"> r.</w:t>
      </w:r>
    </w:p>
    <w:p w:rsidR="00BD3496" w:rsidRPr="00BD3496" w:rsidRDefault="000919E8" w:rsidP="00BD3496">
      <w:pPr>
        <w:pStyle w:val="Nagwek2"/>
      </w:pPr>
      <w:r w:rsidRPr="00E53A80">
        <w:t xml:space="preserve">w sprawie </w:t>
      </w:r>
      <w:r w:rsidRPr="00BD3496">
        <w:rPr>
          <w:bCs/>
        </w:rPr>
        <w:t xml:space="preserve">ustalenia regulaminu organizacyjnego </w:t>
      </w:r>
      <w:r w:rsidRPr="00BD3496">
        <w:rPr>
          <w:bCs/>
        </w:rPr>
        <w:br/>
        <w:t>Wydziału Spraw Obywatelskich</w:t>
      </w:r>
      <w:r w:rsidRPr="00BD3496">
        <w:t xml:space="preserve"> </w:t>
      </w:r>
    </w:p>
    <w:p w:rsidR="00BD3496" w:rsidRPr="00BD3496" w:rsidRDefault="000919E8" w:rsidP="00BD3496">
      <w:r w:rsidRPr="00BD3496">
        <w:t>Na podstawie § art. 25 ust. 4 pkt 1 lit. d ustawy z dnia 21 listopada 2008 r. o służbie cywilnej (Dz. U. z 2024 r. poz. 409) oraz § 12 ust. 3 regulaminu Pomorskiego Urzędu Wojewódzkiego w Gdańsku, stanowiącego załącznik do zarządzenia Wojewody Pomorskiego z dnia 30 września 2021 r. w sprawie ustalenia regulaminu Pomorskiego Urzędu Wojewódzkiego w Gdańsku</w:t>
      </w:r>
      <w:r>
        <w:rPr>
          <w:vertAlign w:val="superscript"/>
        </w:rPr>
        <w:footnoteReference w:id="1"/>
      </w:r>
      <w:r w:rsidRPr="00BD3496">
        <w:rPr>
          <w:vertAlign w:val="superscript"/>
        </w:rPr>
        <w:t>)</w:t>
      </w:r>
      <w:r w:rsidRPr="00BD3496">
        <w:t xml:space="preserve"> zarządza się, co następuje:</w:t>
      </w:r>
    </w:p>
    <w:p w:rsidR="00BD3496" w:rsidRPr="00BD3496" w:rsidRDefault="000919E8" w:rsidP="00BD3496">
      <w:r w:rsidRPr="00BD3496">
        <w:rPr>
          <w:b/>
          <w:bCs/>
        </w:rPr>
        <w:t>§</w:t>
      </w:r>
      <w:r w:rsidR="00F57736">
        <w:rPr>
          <w:b/>
          <w:bCs/>
        </w:rPr>
        <w:t> </w:t>
      </w:r>
      <w:r w:rsidRPr="00BD3496">
        <w:rPr>
          <w:b/>
          <w:bCs/>
        </w:rPr>
        <w:t>1.</w:t>
      </w:r>
      <w:r w:rsidRPr="00BD3496">
        <w:t xml:space="preserve"> Ustala się regulamin organizacyjny Wydziału Spraw Obywatelskich Pomorskiego Urzędu Wojewódzkiego w Gdańsku, stanowiący załącznik do zarządzenia.</w:t>
      </w:r>
    </w:p>
    <w:p w:rsidR="00BD3496" w:rsidRPr="00BD3496" w:rsidRDefault="000919E8" w:rsidP="00BD3496">
      <w:r w:rsidRPr="00BD3496">
        <w:rPr>
          <w:b/>
          <w:bCs/>
        </w:rPr>
        <w:t>§</w:t>
      </w:r>
      <w:r w:rsidR="00F57736">
        <w:rPr>
          <w:b/>
          <w:bCs/>
        </w:rPr>
        <w:t> </w:t>
      </w:r>
      <w:r w:rsidRPr="00BD3496">
        <w:rPr>
          <w:b/>
          <w:bCs/>
        </w:rPr>
        <w:t>2</w:t>
      </w:r>
      <w:r w:rsidRPr="00BD3496">
        <w:t>. Traci moc zarządzenie Dyrektora Generalnego Pomorskiego Urzędu Wojewódzkiego w Gdańsku z dnia 22 sierpnia 2023 r. w sprawie ustalenia regulaminu organizacyjnego Wydziału Spraw Obywatelskich i Cudzoziemców zmienion</w:t>
      </w:r>
      <w:r>
        <w:t>e</w:t>
      </w:r>
      <w:r w:rsidRPr="00BD3496">
        <w:t xml:space="preserve"> zarządzeniem z dnia 3 czerwca 2024 r.</w:t>
      </w:r>
    </w:p>
    <w:p w:rsidR="00BD3496" w:rsidRPr="00BD3496" w:rsidRDefault="000919E8" w:rsidP="00E17F18">
      <w:pPr>
        <w:spacing w:after="720"/>
      </w:pPr>
      <w:r w:rsidRPr="00BD3496">
        <w:rPr>
          <w:b/>
          <w:bCs/>
        </w:rPr>
        <w:t>§</w:t>
      </w:r>
      <w:r w:rsidR="00F57736">
        <w:rPr>
          <w:b/>
          <w:bCs/>
        </w:rPr>
        <w:t> </w:t>
      </w:r>
      <w:r w:rsidRPr="00BD3496">
        <w:rPr>
          <w:b/>
          <w:bCs/>
        </w:rPr>
        <w:t>3.</w:t>
      </w:r>
      <w:r w:rsidRPr="00BD3496">
        <w:t xml:space="preserve"> Zarządzenie wchodzi w życie z dniem 1 stycznia 2025 r.</w:t>
      </w:r>
      <w:bookmarkStart w:id="1" w:name="_GoBack"/>
      <w:bookmarkEnd w:id="1"/>
    </w:p>
    <w:p w:rsidR="00BD3496" w:rsidRPr="00BD3496" w:rsidRDefault="000919E8" w:rsidP="00BD3496">
      <w:pPr>
        <w:ind w:left="3402"/>
        <w:jc w:val="center"/>
      </w:pPr>
      <w:r w:rsidRPr="00BD3496">
        <w:t>wz. Dyrektora Generalnego</w:t>
      </w:r>
    </w:p>
    <w:p w:rsidR="00BD3496" w:rsidRPr="00BD3496" w:rsidRDefault="000919E8" w:rsidP="00BD3496">
      <w:pPr>
        <w:spacing w:after="0"/>
        <w:ind w:left="3402"/>
        <w:jc w:val="center"/>
      </w:pPr>
      <w:r w:rsidRPr="00BD3496">
        <w:t>Maria Leszczyńska</w:t>
      </w:r>
    </w:p>
    <w:p w:rsidR="00BD3496" w:rsidRPr="00BD3496" w:rsidRDefault="000919E8" w:rsidP="00BD3496">
      <w:pPr>
        <w:spacing w:after="0"/>
        <w:ind w:left="3402"/>
        <w:jc w:val="center"/>
      </w:pPr>
      <w:r w:rsidRPr="00BD3496">
        <w:t>Dyrektor</w:t>
      </w:r>
    </w:p>
    <w:p w:rsidR="00BD3496" w:rsidRPr="00BD3496" w:rsidRDefault="000919E8" w:rsidP="00BD3496">
      <w:pPr>
        <w:spacing w:after="0"/>
        <w:ind w:left="3402"/>
        <w:jc w:val="center"/>
      </w:pPr>
      <w:r w:rsidRPr="00BD3496">
        <w:t>Biura Kadr i Organizacji</w:t>
      </w:r>
    </w:p>
    <w:sectPr w:rsidR="00BD3496" w:rsidRPr="00BD34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2B2" w:rsidRDefault="003F42B2">
      <w:pPr>
        <w:spacing w:after="0" w:line="240" w:lineRule="auto"/>
      </w:pPr>
      <w:r>
        <w:separator/>
      </w:r>
    </w:p>
  </w:endnote>
  <w:endnote w:type="continuationSeparator" w:id="0">
    <w:p w:rsidR="003F42B2" w:rsidRDefault="003F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2B2" w:rsidRDefault="003F42B2" w:rsidP="00BD3496">
      <w:pPr>
        <w:spacing w:after="0" w:line="240" w:lineRule="auto"/>
      </w:pPr>
      <w:r>
        <w:separator/>
      </w:r>
    </w:p>
  </w:footnote>
  <w:footnote w:type="continuationSeparator" w:id="0">
    <w:p w:rsidR="003F42B2" w:rsidRDefault="003F42B2" w:rsidP="00BD3496">
      <w:pPr>
        <w:spacing w:after="0" w:line="240" w:lineRule="auto"/>
      </w:pPr>
      <w:r>
        <w:continuationSeparator/>
      </w:r>
    </w:p>
  </w:footnote>
  <w:footnote w:id="1">
    <w:p w:rsidR="00BD3496" w:rsidRDefault="000919E8" w:rsidP="00BD3496">
      <w:pPr>
        <w:pStyle w:val="Tekstprzypisudolnego"/>
        <w:ind w:firstLine="0"/>
        <w:jc w:val="left"/>
        <w:rPr>
          <w:color w:val="FF0000"/>
        </w:rPr>
      </w:pPr>
      <w:r>
        <w:rPr>
          <w:rStyle w:val="Odwoanieprzypisudolnego"/>
        </w:rPr>
        <w:footnoteRef/>
      </w:r>
      <w:r>
        <w:rPr>
          <w:vertAlign w:val="superscript"/>
        </w:rPr>
        <w:t>)</w:t>
      </w:r>
      <w:r>
        <w:t xml:space="preserve"> zmieniony zarządzeniami Wojewody Pomorskiego z dnia 23 grudnia 2021 r., 23 grudnia 2022 r., 29 czerwca 2023 r.,13 października 2023 r.,6 grudnia 2023 r., 14 stycznia 2024 r., 22 lutego 2024 r., 26 marca 2024 r., z dnia 29 kwietnia </w:t>
      </w:r>
      <w:r>
        <w:rPr>
          <w:rFonts w:cs="Arial"/>
        </w:rPr>
        <w:t>2024 r., z dnia 28 sierpnia 2024 r.</w:t>
      </w:r>
      <w:r>
        <w:rPr>
          <w:rFonts w:cs="Arial"/>
          <w:color w:val="FF0000"/>
        </w:rPr>
        <w:t xml:space="preserve"> </w:t>
      </w:r>
      <w:r>
        <w:rPr>
          <w:rFonts w:cs="Arial"/>
        </w:rPr>
        <w:t>oraz z dnia 31 grudnia 2024 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736"/>
    <w:rsid w:val="000919E8"/>
    <w:rsid w:val="003F42B2"/>
    <w:rsid w:val="00E17F18"/>
    <w:rsid w:val="00F57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C6D2F-851D-49C3-B930-F3A6213B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167F"/>
    <w:pPr>
      <w:spacing w:after="240" w:line="276" w:lineRule="auto"/>
      <w:ind w:firstLine="709"/>
      <w:jc w:val="both"/>
    </w:pPr>
    <w:rPr>
      <w:rFonts w:ascii="Arial" w:eastAsia="Calibri" w:hAnsi="Arial" w:cs="Times New Roman"/>
      <w:sz w:val="24"/>
    </w:rPr>
  </w:style>
  <w:style w:type="paragraph" w:styleId="Nagwek2">
    <w:name w:val="heading 2"/>
    <w:basedOn w:val="Normalny"/>
    <w:next w:val="Normalny"/>
    <w:link w:val="Nagwek2Znak"/>
    <w:uiPriority w:val="9"/>
    <w:unhideWhenUsed/>
    <w:qFormat/>
    <w:rsid w:val="009536C0"/>
    <w:pPr>
      <w:spacing w:after="360"/>
      <w:ind w:firstLine="0"/>
      <w:jc w:val="center"/>
      <w:outlineLvl w:val="1"/>
    </w:pPr>
    <w:rPr>
      <w:rFonts w:eastAsiaTheme="majorEastAsia"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227AF"/>
    <w:rPr>
      <w:sz w:val="16"/>
      <w:szCs w:val="16"/>
    </w:rPr>
  </w:style>
  <w:style w:type="paragraph" w:styleId="Tekstkomentarza">
    <w:name w:val="annotation text"/>
    <w:basedOn w:val="Normalny"/>
    <w:link w:val="TekstkomentarzaZnak"/>
    <w:uiPriority w:val="99"/>
    <w:semiHidden/>
    <w:unhideWhenUsed/>
    <w:rsid w:val="00E227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27A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E227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7AF"/>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74DA1"/>
    <w:rPr>
      <w:b/>
      <w:bCs/>
    </w:rPr>
  </w:style>
  <w:style w:type="character" w:customStyle="1" w:styleId="TematkomentarzaZnak">
    <w:name w:val="Temat komentarza Znak"/>
    <w:basedOn w:val="TekstkomentarzaZnak"/>
    <w:link w:val="Tematkomentarza"/>
    <w:uiPriority w:val="99"/>
    <w:semiHidden/>
    <w:rsid w:val="00974DA1"/>
    <w:rPr>
      <w:rFonts w:ascii="Calibri" w:eastAsia="Calibri" w:hAnsi="Calibri" w:cs="Times New Roman"/>
      <w:b/>
      <w:bCs/>
      <w:sz w:val="20"/>
      <w:szCs w:val="20"/>
    </w:rPr>
  </w:style>
  <w:style w:type="character" w:styleId="Tekstzastpczy">
    <w:name w:val="Placeholder Text"/>
    <w:basedOn w:val="Domylnaczcionkaakapitu"/>
    <w:uiPriority w:val="99"/>
    <w:semiHidden/>
    <w:rsid w:val="00985AB8"/>
    <w:rPr>
      <w:color w:val="808080"/>
    </w:rPr>
  </w:style>
  <w:style w:type="paragraph" w:styleId="Tytu">
    <w:name w:val="Title"/>
    <w:basedOn w:val="Normalny"/>
    <w:next w:val="Normalny"/>
    <w:link w:val="TytuZnak"/>
    <w:uiPriority w:val="10"/>
    <w:qFormat/>
    <w:rsid w:val="00C11D27"/>
    <w:pPr>
      <w:spacing w:after="120"/>
      <w:ind w:firstLine="0"/>
      <w:jc w:val="center"/>
    </w:pPr>
    <w:rPr>
      <w:rFonts w:eastAsiaTheme="majorEastAsia" w:cstheme="majorBidi"/>
      <w:b/>
      <w:spacing w:val="20"/>
      <w:sz w:val="32"/>
      <w:szCs w:val="56"/>
    </w:rPr>
  </w:style>
  <w:style w:type="character" w:customStyle="1" w:styleId="TytuZnak">
    <w:name w:val="Tytuł Znak"/>
    <w:basedOn w:val="Domylnaczcionkaakapitu"/>
    <w:link w:val="Tytu"/>
    <w:uiPriority w:val="10"/>
    <w:rsid w:val="00C11D27"/>
    <w:rPr>
      <w:rFonts w:ascii="Arial" w:eastAsiaTheme="majorEastAsia" w:hAnsi="Arial" w:cstheme="majorBidi"/>
      <w:b/>
      <w:spacing w:val="20"/>
      <w:sz w:val="32"/>
      <w:szCs w:val="56"/>
    </w:rPr>
  </w:style>
  <w:style w:type="character" w:customStyle="1" w:styleId="Nagwek2Znak">
    <w:name w:val="Nagłówek 2 Znak"/>
    <w:basedOn w:val="Domylnaczcionkaakapitu"/>
    <w:link w:val="Nagwek2"/>
    <w:uiPriority w:val="9"/>
    <w:rsid w:val="009536C0"/>
    <w:rPr>
      <w:rFonts w:ascii="Arial" w:eastAsiaTheme="majorEastAsia" w:hAnsi="Arial" w:cstheme="majorBidi"/>
      <w:b/>
      <w:sz w:val="28"/>
      <w:szCs w:val="26"/>
    </w:rPr>
  </w:style>
  <w:style w:type="paragraph" w:styleId="Tekstprzypisudolnego">
    <w:name w:val="footnote text"/>
    <w:basedOn w:val="Normalny"/>
    <w:link w:val="TekstprzypisudolnegoZnak"/>
    <w:uiPriority w:val="99"/>
    <w:semiHidden/>
    <w:unhideWhenUsed/>
    <w:rsid w:val="00BD34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3496"/>
    <w:rPr>
      <w:rFonts w:ascii="Arial" w:eastAsia="Calibri" w:hAnsi="Arial" w:cs="Times New Roman"/>
      <w:sz w:val="20"/>
      <w:szCs w:val="20"/>
    </w:rPr>
  </w:style>
  <w:style w:type="character" w:styleId="Odwoanieprzypisudolnego">
    <w:name w:val="footnote reference"/>
    <w:basedOn w:val="Domylnaczcionkaakapitu"/>
    <w:uiPriority w:val="99"/>
    <w:semiHidden/>
    <w:unhideWhenUsed/>
    <w:rsid w:val="00BD3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12684</TotalTime>
  <Pages>1</Pages>
  <Words>159</Words>
  <Characters>955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Dyrektor Generalnej Pomorskiego Urzędu Wojewódzkiego w Gdańsku z dnia 2 stycznia 2025 w sprawie ustalenia regulaminu organizacyjnego Wydziału Spraw Obywatelskich</dc:title>
  <dc:creator>Maria Leszczyńska</dc:creator>
  <cp:lastModifiedBy>Monika Giedrojć</cp:lastModifiedBy>
  <cp:revision>7</cp:revision>
  <cp:lastPrinted>2017-01-05T08:08:00Z</cp:lastPrinted>
  <dcterms:created xsi:type="dcterms:W3CDTF">2021-04-27T05:37:00Z</dcterms:created>
  <dcterms:modified xsi:type="dcterms:W3CDTF">2025-01-08T07:45:00Z</dcterms:modified>
</cp:coreProperties>
</file>