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005" w:rsidRDefault="00C153C9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:rsidR="00747005" w:rsidRDefault="00C153C9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747005" w:rsidRDefault="00C153C9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_DdeLink__523_2554509279"/>
      <w:r>
        <w:rPr>
          <w:rFonts w:ascii="Arial" w:hAnsi="Arial" w:cs="Arial"/>
          <w:b/>
          <w:sz w:val="20"/>
          <w:szCs w:val="20"/>
        </w:rPr>
        <w:t xml:space="preserve">z dnia 16 kwietnia 2020 r.  </w:t>
      </w:r>
      <w:bookmarkEnd w:id="0"/>
    </w:p>
    <w:p w:rsidR="00747005" w:rsidRDefault="0074700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747005" w:rsidRDefault="00C153C9">
      <w:pPr>
        <w:pStyle w:val="Heading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:rsidR="00747005" w:rsidRDefault="00C153C9">
      <w:pPr>
        <w:pStyle w:val="Heading1"/>
        <w:spacing w:before="0" w:after="120" w:line="240" w:lineRule="auto"/>
        <w:jc w:val="center"/>
      </w:pPr>
      <w:r>
        <w:rPr>
          <w:rFonts w:ascii="Arial" w:hAnsi="Arial" w:cs="Arial"/>
          <w:b/>
          <w:color w:val="auto"/>
          <w:sz w:val="24"/>
          <w:szCs w:val="24"/>
        </w:rPr>
        <w:t>za 2020 roku</w:t>
      </w:r>
    </w:p>
    <w:p w:rsidR="00747005" w:rsidRDefault="00C153C9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/>
      </w:tblPr>
      <w:tblGrid>
        <w:gridCol w:w="2756"/>
        <w:gridCol w:w="6534"/>
      </w:tblGrid>
      <w:tr w:rsidR="0074700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005" w:rsidRDefault="00C153C9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Cyfrowe udostępnienie zasobów Muzeum Sztuki w Łodzi</w:t>
            </w:r>
            <w:bookmarkStart w:id="1" w:name="_GoBack"/>
            <w:bookmarkEnd w:id="1"/>
          </w:p>
        </w:tc>
      </w:tr>
      <w:tr w:rsidR="0074700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005" w:rsidRDefault="00C153C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Kultury, Dziedzictwa Narodowego i Sportu</w:t>
            </w:r>
          </w:p>
        </w:tc>
      </w:tr>
      <w:tr w:rsidR="0074700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005" w:rsidRDefault="00C153C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Muzeum Sztuki w Łodzi</w:t>
            </w:r>
          </w:p>
        </w:tc>
      </w:tr>
      <w:tr w:rsidR="0074700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005" w:rsidRDefault="00747005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74700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005" w:rsidRDefault="00C153C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Program Operacyjny Polska Cyfrowa, Oś priorytetowa II </w:t>
            </w:r>
            <w:r>
              <w:rPr>
                <w:rFonts w:ascii="Arial" w:hAnsi="Arial" w:cs="Arial"/>
                <w:sz w:val="18"/>
                <w:szCs w:val="18"/>
              </w:rPr>
              <w:t>E-administracja i otwarty urząd, 2.3 Cyfrowa dostępność i użyteczność informacji sektora p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blicznego, 2.3.2 Cyfrowe udostępnienie zasobów kultury</w:t>
            </w:r>
          </w:p>
          <w:p w:rsidR="00747005" w:rsidRDefault="00C153C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 w ramach wydatków cz.24 i cz.83 rezerwy celowej poz. 8</w:t>
            </w:r>
          </w:p>
        </w:tc>
      </w:tr>
      <w:tr w:rsidR="0074700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747005" w:rsidRDefault="00C153C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005" w:rsidRDefault="00C153C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4 994 130,11 </w:t>
            </w:r>
            <w:r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74700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jektu - wydatki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  <w:proofErr w:type="spellEnd"/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005" w:rsidRDefault="00C153C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4 432 737,49 zł</w:t>
            </w:r>
          </w:p>
        </w:tc>
      </w:tr>
      <w:tr w:rsidR="00747005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747005" w:rsidRDefault="00C153C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7005" w:rsidRDefault="00C153C9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01.08.2020 – 31.07.2023 r.</w:t>
            </w:r>
          </w:p>
        </w:tc>
      </w:tr>
    </w:tbl>
    <w:p w:rsidR="00747005" w:rsidRDefault="00C153C9">
      <w:pPr>
        <w:pStyle w:val="Heading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747005" w:rsidRDefault="00C153C9">
      <w:pPr>
        <w:pStyle w:val="Heading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  <w:color w:val="auto"/>
          <w:sz w:val="18"/>
          <w:szCs w:val="18"/>
        </w:rPr>
        <w:t>Nie dotyczy</w:t>
      </w:r>
      <w:r>
        <w:rPr>
          <w:rFonts w:ascii="Arial" w:eastAsiaTheme="minorHAnsi" w:hAnsi="Arial" w:cs="Arial"/>
          <w:color w:val="auto"/>
          <w:sz w:val="18"/>
          <w:szCs w:val="18"/>
        </w:rPr>
        <w:t>.</w:t>
      </w:r>
    </w:p>
    <w:p w:rsidR="00747005" w:rsidRDefault="00C153C9">
      <w:pPr>
        <w:pStyle w:val="Heading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/>
      </w:tblPr>
      <w:tblGrid>
        <w:gridCol w:w="2972"/>
        <w:gridCol w:w="3260"/>
        <w:gridCol w:w="3402"/>
      </w:tblGrid>
      <w:tr w:rsidR="00747005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747005">
        <w:tc>
          <w:tcPr>
            <w:tcW w:w="2972" w:type="dxa"/>
            <w:shd w:val="clear" w:color="auto" w:fill="auto"/>
          </w:tcPr>
          <w:p w:rsidR="00747005" w:rsidRDefault="00C153C9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 w:cs="Calibri"/>
              </w:rPr>
              <w:t>20,75 %</w:t>
            </w:r>
          </w:p>
        </w:tc>
        <w:tc>
          <w:tcPr>
            <w:tcW w:w="3260" w:type="dxa"/>
            <w:shd w:val="clear" w:color="auto" w:fill="auto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21,76%</w:t>
            </w:r>
          </w:p>
        </w:tc>
        <w:tc>
          <w:tcPr>
            <w:tcW w:w="3402" w:type="dxa"/>
            <w:shd w:val="clear" w:color="auto" w:fill="auto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21,76%</w:t>
            </w:r>
          </w:p>
        </w:tc>
      </w:tr>
    </w:tbl>
    <w:p w:rsidR="00747005" w:rsidRDefault="00747005">
      <w:pPr>
        <w:pStyle w:val="Heading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747005" w:rsidRDefault="00C153C9">
      <w:pPr>
        <w:pStyle w:val="Heading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747005" w:rsidRDefault="00C153C9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/>
      </w:tblPr>
      <w:tblGrid>
        <w:gridCol w:w="2217"/>
        <w:gridCol w:w="1617"/>
        <w:gridCol w:w="1306"/>
        <w:gridCol w:w="1860"/>
        <w:gridCol w:w="2639"/>
      </w:tblGrid>
      <w:tr w:rsidR="00747005">
        <w:trPr>
          <w:tblHeader/>
        </w:trPr>
        <w:tc>
          <w:tcPr>
            <w:tcW w:w="2124" w:type="dxa"/>
            <w:shd w:val="clear" w:color="auto" w:fill="D0CECE" w:themeFill="background2" w:themeFillShade="E6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shd w:val="clear" w:color="auto" w:fill="D0CECE" w:themeFill="background2" w:themeFillShade="E6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08" w:type="dxa"/>
            <w:shd w:val="clear" w:color="auto" w:fill="D0CECE" w:themeFill="background2" w:themeFillShade="E6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</w:t>
            </w:r>
            <w:r>
              <w:rPr>
                <w:rFonts w:ascii="Arial" w:hAnsi="Arial" w:cs="Arial"/>
                <w:b/>
                <w:sz w:val="20"/>
                <w:szCs w:val="20"/>
              </w:rPr>
              <w:t>ę</w:t>
            </w:r>
            <w:r>
              <w:rPr>
                <w:rFonts w:ascii="Arial" w:hAnsi="Arial" w:cs="Arial"/>
                <w:b/>
                <w:sz w:val="20"/>
                <w:szCs w:val="20"/>
              </w:rPr>
              <w:t>cia</w:t>
            </w:r>
          </w:p>
        </w:tc>
        <w:tc>
          <w:tcPr>
            <w:tcW w:w="2796" w:type="dxa"/>
            <w:shd w:val="clear" w:color="auto" w:fill="D0CECE" w:themeFill="background2" w:themeFillShade="E6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</w:t>
            </w: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sz w:val="20"/>
                <w:szCs w:val="20"/>
              </w:rPr>
              <w:t>nia milowego</w:t>
            </w:r>
          </w:p>
        </w:tc>
      </w:tr>
      <w:tr w:rsidR="00747005">
        <w:tc>
          <w:tcPr>
            <w:tcW w:w="2124" w:type="dxa"/>
            <w:shd w:val="clear" w:color="auto" w:fill="auto"/>
          </w:tcPr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Opracowanie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Studium Wykonalności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Adaptacja serwerowni i zakup wyposażenia –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protokół odbioru prac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Zakup i zainstalowanie nowego programu do ewidencji zasobów – protokół odbioru prac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Zakończenie prac pr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gramistycznych dotycz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>
              <w:rPr>
                <w:rFonts w:ascii="Arial" w:hAnsi="Arial" w:cs="Arial"/>
                <w:sz w:val="18"/>
                <w:szCs w:val="18"/>
              </w:rPr>
              <w:t xml:space="preserve">cych portalu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on-line-protokół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odbioru </w:t>
            </w:r>
            <w:r>
              <w:rPr>
                <w:rFonts w:ascii="Arial" w:hAnsi="Arial" w:cs="Arial"/>
                <w:sz w:val="18"/>
                <w:szCs w:val="18"/>
              </w:rPr>
              <w:t>prac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Zakup sprzętu i opr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gramowania do praco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ni digitalizacji – protokół odbioru prac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Zakup i dostawa sprzętu informatycznego – pr</w:t>
            </w:r>
            <w:r>
              <w:rPr>
                <w:rFonts w:ascii="Arial" w:hAnsi="Arial"/>
                <w:sz w:val="18"/>
                <w:szCs w:val="18"/>
              </w:rPr>
              <w:t>o</w:t>
            </w:r>
            <w:r>
              <w:rPr>
                <w:rFonts w:ascii="Arial" w:hAnsi="Arial"/>
                <w:sz w:val="18"/>
                <w:szCs w:val="18"/>
              </w:rPr>
              <w:t>tokół odbioru prac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Digitalizacja zasobów </w:t>
            </w:r>
            <w:r>
              <w:rPr>
                <w:rFonts w:ascii="Arial" w:hAnsi="Arial" w:cs="Arial"/>
                <w:sz w:val="18"/>
                <w:szCs w:val="18"/>
              </w:rPr>
              <w:t>- raport końcowy pods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mowujący realizację projektu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Upowszechnianie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talizowanych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zasobów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Spotkanie podsumow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jące/ upowszechniające platformę - Raport ko</w:t>
            </w:r>
            <w:r>
              <w:rPr>
                <w:rFonts w:ascii="Arial" w:hAnsi="Arial" w:cs="Arial"/>
                <w:sz w:val="18"/>
                <w:szCs w:val="18"/>
              </w:rPr>
              <w:t>ń</w:t>
            </w:r>
            <w:r>
              <w:rPr>
                <w:rFonts w:ascii="Arial" w:hAnsi="Arial" w:cs="Arial"/>
                <w:sz w:val="18"/>
                <w:szCs w:val="18"/>
              </w:rPr>
              <w:t>cowe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Konferencja podsum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wująca projekt</w:t>
            </w: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/>
                <w:color w:val="000000"/>
                <w:sz w:val="18"/>
                <w:szCs w:val="18"/>
              </w:rPr>
              <w:t>Raport podsumowujący działania informacy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j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no/promocyjne</w:t>
            </w:r>
          </w:p>
        </w:tc>
        <w:tc>
          <w:tcPr>
            <w:tcW w:w="1505" w:type="dxa"/>
            <w:shd w:val="clear" w:color="auto" w:fill="auto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Nie dotyczy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nie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dotyczy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- 5: </w:t>
            </w:r>
            <w:r>
              <w:rPr>
                <w:rFonts w:ascii="Arial" w:hAnsi="Arial" w:cs="Arial"/>
                <w:sz w:val="18"/>
                <w:szCs w:val="18"/>
              </w:rPr>
              <w:t>Liczba pracowni dop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sażonych w sprzęt do digital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zacji – wartość docelowa szt.1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3: </w:t>
            </w:r>
            <w:r>
              <w:rPr>
                <w:rFonts w:ascii="Arial" w:hAnsi="Arial" w:cs="Arial"/>
                <w:sz w:val="18"/>
                <w:szCs w:val="18"/>
              </w:rPr>
              <w:t xml:space="preserve">Liczba podmiotów, które udostępniły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on-line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informacje sektora public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nego - wartość docelowa szt. 1</w:t>
            </w: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KPI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– 6:</w:t>
            </w:r>
            <w:r>
              <w:rPr>
                <w:rFonts w:ascii="Arial" w:hAnsi="Arial" w:cs="Arial"/>
                <w:sz w:val="18"/>
                <w:szCs w:val="18"/>
              </w:rPr>
              <w:t xml:space="preserve"> Liczba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dokumentów zawierających informacje sekt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ra publicznego - wartość docel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wa szt. 1228</w:t>
            </w: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1: </w:t>
            </w:r>
            <w:r>
              <w:rPr>
                <w:rFonts w:ascii="Arial" w:hAnsi="Arial" w:cs="Arial"/>
                <w:sz w:val="18"/>
                <w:szCs w:val="18"/>
              </w:rPr>
              <w:t xml:space="preserve">Liczba udostępnionych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on-line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dokume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tów zawieraj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>
              <w:rPr>
                <w:rFonts w:ascii="Arial" w:hAnsi="Arial" w:cs="Arial"/>
                <w:sz w:val="18"/>
                <w:szCs w:val="18"/>
              </w:rPr>
              <w:t>cych informacje sektora public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nego - wartość docelowa szt. 6150</w:t>
            </w: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KPI – 7: </w:t>
            </w:r>
            <w:r>
              <w:rPr>
                <w:rFonts w:ascii="Arial" w:hAnsi="Arial" w:cs="Arial"/>
                <w:sz w:val="18"/>
                <w:szCs w:val="18"/>
              </w:rPr>
              <w:t>Rozmiar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informacji sekt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ra publicznego - wartość docel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wa 16 TB</w:t>
            </w: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KPI – 4: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baz danych ud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stępnionych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on-line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poprzez API - wartość doc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lowa szt. 1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  <w:shd w:val="clear" w:color="auto" w:fill="auto"/>
          </w:tcPr>
          <w:p w:rsidR="00747005" w:rsidRDefault="00C153C9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09-2019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  <w:lang w:eastAsia="pl-PL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08-2021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07-2022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08-2022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07-2022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10-2022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07-2023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07-2023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07-2023</w:t>
            </w:r>
          </w:p>
        </w:tc>
        <w:tc>
          <w:tcPr>
            <w:tcW w:w="1908" w:type="dxa"/>
            <w:shd w:val="clear" w:color="auto" w:fill="auto"/>
          </w:tcPr>
          <w:p w:rsidR="00747005" w:rsidRDefault="00C153C9">
            <w:pPr>
              <w:pStyle w:val="Akapitzlist"/>
              <w:spacing w:after="0" w:line="240" w:lineRule="auto"/>
              <w:ind w:left="7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09-2019 </w:t>
            </w: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pStyle w:val="Akapitzlist"/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796" w:type="dxa"/>
            <w:shd w:val="clear" w:color="auto" w:fill="auto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- osiągnięty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osiągnięty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47005" w:rsidRDefault="00C153C9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ook w:val="04A0"/>
      </w:tblPr>
      <w:tblGrid>
        <w:gridCol w:w="2545"/>
        <w:gridCol w:w="1276"/>
        <w:gridCol w:w="1842"/>
        <w:gridCol w:w="1705"/>
        <w:gridCol w:w="2266"/>
      </w:tblGrid>
      <w:tr w:rsidR="00747005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5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</w:t>
            </w:r>
            <w:r>
              <w:rPr>
                <w:rFonts w:ascii="Arial" w:hAnsi="Arial" w:cs="Arial"/>
                <w:b/>
                <w:sz w:val="20"/>
                <w:szCs w:val="20"/>
              </w:rPr>
              <w:t>ą</w:t>
            </w:r>
            <w:r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6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b/>
                <w:sz w:val="20"/>
                <w:szCs w:val="20"/>
              </w:rPr>
              <w:t>osiągnięta od początku realiz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747005">
        <w:trPr>
          <w:trHeight w:val="777"/>
        </w:trPr>
        <w:tc>
          <w:tcPr>
            <w:tcW w:w="2545" w:type="dxa"/>
            <w:shd w:val="clear" w:color="auto" w:fill="auto"/>
          </w:tcPr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1: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udostępni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nych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on-line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dokumentów zwierających informację sektora publicznego 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2: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Liczba p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brań/odtworzeni dokume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n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tów zawierających inform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cje sektora publicznego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3: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podmiotów, które udostępniły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on-line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informacje sektora public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z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nego 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KPI 4: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baz danych udostępnionych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on-line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p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przez API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KPI 5: </w:t>
            </w:r>
            <w:r>
              <w:rPr>
                <w:rFonts w:ascii="Arial" w:hAnsi="Arial"/>
                <w:sz w:val="18"/>
                <w:szCs w:val="18"/>
              </w:rPr>
              <w:t>Liczba pracowni d</w:t>
            </w:r>
            <w:r>
              <w:rPr>
                <w:rFonts w:ascii="Arial" w:hAnsi="Arial"/>
                <w:sz w:val="18"/>
                <w:szCs w:val="18"/>
              </w:rPr>
              <w:t>o</w:t>
            </w:r>
            <w:r>
              <w:rPr>
                <w:rFonts w:ascii="Arial" w:hAnsi="Arial"/>
                <w:sz w:val="18"/>
                <w:szCs w:val="18"/>
              </w:rPr>
              <w:t>posażonych w sprzęt do digitalizacji.</w:t>
            </w:r>
          </w:p>
          <w:p w:rsidR="00747005" w:rsidRDefault="0074700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KPI 6: </w:t>
            </w:r>
            <w:r>
              <w:rPr>
                <w:rFonts w:ascii="Arial" w:hAnsi="Arial"/>
                <w:sz w:val="18"/>
                <w:szCs w:val="18"/>
              </w:rPr>
              <w:t xml:space="preserve">Liczba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zdigitalizow</w:t>
            </w:r>
            <w:r>
              <w:rPr>
                <w:rFonts w:ascii="Arial" w:hAnsi="Arial"/>
                <w:sz w:val="18"/>
                <w:szCs w:val="18"/>
              </w:rPr>
              <w:t>a</w:t>
            </w:r>
            <w:r>
              <w:rPr>
                <w:rFonts w:ascii="Arial" w:hAnsi="Arial"/>
                <w:sz w:val="18"/>
                <w:szCs w:val="18"/>
              </w:rPr>
              <w:t>nych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dokumentów </w:t>
            </w:r>
            <w:r>
              <w:rPr>
                <w:rFonts w:ascii="Arial" w:hAnsi="Arial"/>
                <w:sz w:val="18"/>
                <w:szCs w:val="18"/>
              </w:rPr>
              <w:t>zawier</w:t>
            </w:r>
            <w:r>
              <w:rPr>
                <w:rFonts w:ascii="Arial" w:hAnsi="Arial"/>
                <w:sz w:val="18"/>
                <w:szCs w:val="18"/>
              </w:rPr>
              <w:t>a</w:t>
            </w:r>
            <w:r>
              <w:rPr>
                <w:rFonts w:ascii="Arial" w:hAnsi="Arial"/>
                <w:sz w:val="18"/>
                <w:szCs w:val="18"/>
              </w:rPr>
              <w:t>jących informacje sektora publicznego</w:t>
            </w:r>
          </w:p>
          <w:p w:rsidR="00747005" w:rsidRDefault="00747005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KPI 7: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Rozmiar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zdigitaliz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wanej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informacji sektora publicznego. Pomiar jedn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krotny na zakończenie pr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jektu.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szt./rok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6150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23000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1228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16 TB</w:t>
            </w:r>
          </w:p>
        </w:tc>
        <w:tc>
          <w:tcPr>
            <w:tcW w:w="1705" w:type="dxa"/>
            <w:shd w:val="clear" w:color="auto" w:fill="auto"/>
          </w:tcPr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07.2023</w:t>
            </w:r>
          </w:p>
        </w:tc>
        <w:tc>
          <w:tcPr>
            <w:tcW w:w="2266" w:type="dxa"/>
            <w:shd w:val="clear" w:color="auto" w:fill="auto"/>
          </w:tcPr>
          <w:p w:rsidR="00747005" w:rsidRDefault="0074700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47005" w:rsidRDefault="00C153C9">
      <w:pPr>
        <w:pStyle w:val="Heading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2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2"/>
    </w:p>
    <w:tbl>
      <w:tblPr>
        <w:tblStyle w:val="Tabela-Siatka"/>
        <w:tblW w:w="9634" w:type="dxa"/>
        <w:tblLook w:val="04A0"/>
      </w:tblPr>
      <w:tblGrid>
        <w:gridCol w:w="2808"/>
        <w:gridCol w:w="1261"/>
        <w:gridCol w:w="1395"/>
        <w:gridCol w:w="4170"/>
      </w:tblGrid>
      <w:tr w:rsidR="00747005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70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7005">
        <w:tc>
          <w:tcPr>
            <w:tcW w:w="2807" w:type="dxa"/>
            <w:shd w:val="clear" w:color="auto" w:fill="auto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261" w:type="dxa"/>
            <w:shd w:val="clear" w:color="auto" w:fill="auto"/>
          </w:tcPr>
          <w:p w:rsidR="00747005" w:rsidRDefault="0074700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747005" w:rsidRDefault="0074700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0" w:type="dxa"/>
            <w:shd w:val="clear" w:color="auto" w:fill="auto"/>
          </w:tcPr>
          <w:p w:rsidR="00747005" w:rsidRDefault="0074700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47005" w:rsidRDefault="00C153C9">
      <w:pPr>
        <w:pStyle w:val="Heading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</w:t>
      </w:r>
      <w:r>
        <w:rPr>
          <w:rStyle w:val="Nagwek3Znak"/>
          <w:rFonts w:ascii="Arial" w:eastAsiaTheme="minorHAnsi" w:hAnsi="Arial" w:cs="Arial"/>
          <w:b/>
          <w:color w:val="auto"/>
        </w:rPr>
        <w:t xml:space="preserve">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/>
      </w:tblPr>
      <w:tblGrid>
        <w:gridCol w:w="2837"/>
        <w:gridCol w:w="1261"/>
        <w:gridCol w:w="1395"/>
        <w:gridCol w:w="4141"/>
      </w:tblGrid>
      <w:tr w:rsidR="00747005">
        <w:trPr>
          <w:tblHeader/>
        </w:trPr>
        <w:tc>
          <w:tcPr>
            <w:tcW w:w="2836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41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7005">
        <w:tc>
          <w:tcPr>
            <w:tcW w:w="2836" w:type="dxa"/>
            <w:shd w:val="clear" w:color="auto" w:fill="auto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Zdigitalizowanie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i udostępnienie: Dzieł Sztuki Nowoczesnej, Dzieł Sztuki Dawnej i materiałów audiowizualne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  <w:shd w:val="clear" w:color="auto" w:fill="auto"/>
          </w:tcPr>
          <w:p w:rsidR="00747005" w:rsidRDefault="00C153C9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07-2023</w:t>
            </w:r>
          </w:p>
          <w:p w:rsidR="00747005" w:rsidRDefault="00747005">
            <w:pPr>
              <w:spacing w:after="0" w:line="240" w:lineRule="auto"/>
              <w:rPr>
                <w:rFonts w:cs="Arial"/>
                <w:lang w:eastAsia="pl-PL"/>
              </w:rPr>
            </w:pPr>
          </w:p>
          <w:p w:rsidR="00747005" w:rsidRDefault="00747005">
            <w:pPr>
              <w:spacing w:after="0" w:line="240" w:lineRule="auto"/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747005" w:rsidRDefault="0074700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41" w:type="dxa"/>
            <w:shd w:val="clear" w:color="auto" w:fill="auto"/>
          </w:tcPr>
          <w:p w:rsidR="00747005" w:rsidRDefault="0074700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47005" w:rsidRDefault="00C153C9">
      <w:pPr>
        <w:pStyle w:val="Heading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</w:t>
      </w:r>
      <w:proofErr w:type="spellStart"/>
      <w:r>
        <w:rPr>
          <w:rStyle w:val="Nagwek2Znak"/>
          <w:rFonts w:ascii="Arial" w:hAnsi="Arial" w:cs="Arial"/>
          <w:color w:val="auto"/>
          <w:sz w:val="24"/>
          <w:szCs w:val="24"/>
        </w:rPr>
        <w:t>pkt</w:t>
      </w:r>
      <w:proofErr w:type="spellEnd"/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/>
      </w:tblPr>
      <w:tblGrid>
        <w:gridCol w:w="2548"/>
        <w:gridCol w:w="1700"/>
        <w:gridCol w:w="1843"/>
        <w:gridCol w:w="3543"/>
      </w:tblGrid>
      <w:tr w:rsidR="00747005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7005">
        <w:tc>
          <w:tcPr>
            <w:tcW w:w="2547" w:type="dxa"/>
            <w:shd w:val="clear" w:color="auto" w:fill="auto"/>
          </w:tcPr>
          <w:p w:rsidR="00747005" w:rsidRDefault="00C153C9">
            <w:pPr>
              <w:spacing w:after="0" w:line="240" w:lineRule="auto"/>
            </w:pPr>
            <w:r>
              <w:rPr>
                <w:rFonts w:ascii="Arial" w:hAnsi="Arial" w:cs="Calibri"/>
                <w:sz w:val="18"/>
                <w:szCs w:val="18"/>
              </w:rPr>
              <w:t>Publiczny Interfejs API d</w:t>
            </w:r>
            <w:r>
              <w:rPr>
                <w:rFonts w:ascii="Arial" w:hAnsi="Arial" w:cs="Calibri"/>
                <w:sz w:val="18"/>
                <w:szCs w:val="18"/>
              </w:rPr>
              <w:t>o</w:t>
            </w:r>
            <w:r>
              <w:rPr>
                <w:rFonts w:ascii="Arial" w:hAnsi="Arial" w:cs="Calibri"/>
                <w:sz w:val="18"/>
                <w:szCs w:val="18"/>
              </w:rPr>
              <w:t xml:space="preserve">stępu do </w:t>
            </w:r>
            <w:r>
              <w:rPr>
                <w:rFonts w:ascii="Arial" w:hAnsi="Arial" w:cs="Calibri"/>
                <w:sz w:val="18"/>
                <w:szCs w:val="18"/>
              </w:rPr>
              <w:t>zasobów kultury</w:t>
            </w:r>
          </w:p>
          <w:p w:rsidR="00747005" w:rsidRDefault="00747005">
            <w:pPr>
              <w:spacing w:after="0" w:line="240" w:lineRule="auto"/>
              <w:rPr>
                <w:rFonts w:cs="Calibri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Oprogramowanie Systemu Muzealnego do ewidencji zasobów kultury </w:t>
            </w:r>
          </w:p>
          <w:p w:rsidR="00747005" w:rsidRDefault="00747005">
            <w:pPr>
              <w:spacing w:after="0" w:line="240" w:lineRule="auto"/>
              <w:rPr>
                <w:rFonts w:cs="Calibri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Repozytorium </w:t>
            </w:r>
            <w:proofErr w:type="spellStart"/>
            <w:r>
              <w:rPr>
                <w:rFonts w:ascii="Arial" w:hAnsi="Arial" w:cs="Calibri"/>
                <w:sz w:val="18"/>
                <w:szCs w:val="18"/>
              </w:rPr>
              <w:t>Zdigitalizow</w:t>
            </w:r>
            <w:r>
              <w:rPr>
                <w:rFonts w:ascii="Arial" w:hAnsi="Arial" w:cs="Calibri"/>
                <w:sz w:val="18"/>
                <w:szCs w:val="18"/>
              </w:rPr>
              <w:t>a</w:t>
            </w:r>
            <w:r>
              <w:rPr>
                <w:rFonts w:ascii="Arial" w:hAnsi="Arial" w:cs="Calibri"/>
                <w:sz w:val="18"/>
                <w:szCs w:val="18"/>
              </w:rPr>
              <w:t>nych</w:t>
            </w:r>
            <w:proofErr w:type="spellEnd"/>
            <w:r>
              <w:rPr>
                <w:rFonts w:ascii="Arial" w:hAnsi="Arial" w:cs="Calibri"/>
                <w:sz w:val="18"/>
                <w:szCs w:val="18"/>
              </w:rPr>
              <w:t xml:space="preserve"> Dzieł</w:t>
            </w:r>
          </w:p>
          <w:p w:rsidR="00747005" w:rsidRDefault="00747005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747005" w:rsidRDefault="00747005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0" w:type="dxa"/>
            <w:shd w:val="clear" w:color="auto" w:fill="auto"/>
          </w:tcPr>
          <w:p w:rsidR="00747005" w:rsidRDefault="00C153C9">
            <w:pPr>
              <w:spacing w:after="0" w:line="240" w:lineRule="auto"/>
            </w:pPr>
            <w:r>
              <w:rPr>
                <w:rFonts w:cs="Arial"/>
                <w:lang w:eastAsia="pl-PL"/>
              </w:rPr>
              <w:t>07-2023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07-2022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07-2023</w:t>
            </w:r>
          </w:p>
        </w:tc>
        <w:tc>
          <w:tcPr>
            <w:tcW w:w="1843" w:type="dxa"/>
            <w:shd w:val="clear" w:color="auto" w:fill="auto"/>
          </w:tcPr>
          <w:p w:rsidR="00747005" w:rsidRDefault="0074700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</w:tcPr>
          <w:p w:rsidR="00747005" w:rsidRDefault="00747005">
            <w:pPr>
              <w:pStyle w:val="LO-normal"/>
              <w:rPr>
                <w:sz w:val="20"/>
                <w:szCs w:val="20"/>
              </w:rPr>
            </w:pPr>
          </w:p>
          <w:p w:rsidR="00747005" w:rsidRDefault="00747005">
            <w:pPr>
              <w:pStyle w:val="LO-normal"/>
              <w:rPr>
                <w:sz w:val="20"/>
                <w:szCs w:val="20"/>
              </w:rPr>
            </w:pPr>
          </w:p>
          <w:p w:rsidR="00747005" w:rsidRDefault="00747005">
            <w:pPr>
              <w:pStyle w:val="LO-normal"/>
              <w:rPr>
                <w:sz w:val="20"/>
                <w:szCs w:val="20"/>
              </w:rPr>
            </w:pPr>
          </w:p>
          <w:p w:rsidR="00747005" w:rsidRDefault="00C153C9">
            <w:pPr>
              <w:pStyle w:val="LO-normal"/>
            </w:pPr>
            <w:r>
              <w:rPr>
                <w:sz w:val="20"/>
                <w:szCs w:val="20"/>
              </w:rPr>
              <w:t>System Muzealny będzie zawierał moduł  pozwalający na dostarczenie z bazy d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nych </w:t>
            </w:r>
            <w:proofErr w:type="spellStart"/>
            <w:r>
              <w:rPr>
                <w:sz w:val="20"/>
                <w:szCs w:val="20"/>
              </w:rPr>
              <w:t>zdigitalizowanych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dzieł do KR</w:t>
            </w:r>
            <w:r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NIK@. Obsłużenie API platformy KR</w:t>
            </w:r>
            <w:r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NIK@. Umożliwienie wymiany danych z portalem KRONIK@. Kierunek przepływu danych to przekazywanie z Systemu Muzealnego danych do portalu KR</w:t>
            </w:r>
            <w:r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NIK@.</w:t>
            </w:r>
          </w:p>
        </w:tc>
      </w:tr>
    </w:tbl>
    <w:p w:rsidR="00747005" w:rsidRDefault="00C153C9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747005" w:rsidRDefault="00C153C9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</w:t>
      </w:r>
      <w:r>
        <w:rPr>
          <w:rFonts w:ascii="Arial" w:hAnsi="Arial" w:cs="Arial"/>
          <w:b/>
          <w:sz w:val="20"/>
          <w:szCs w:val="20"/>
        </w:rPr>
        <w:t>ję projektu</w:t>
      </w:r>
    </w:p>
    <w:tbl>
      <w:tblPr>
        <w:tblStyle w:val="Tabela-Siatka"/>
        <w:tblW w:w="9498" w:type="dxa"/>
        <w:tblInd w:w="-5" w:type="dxa"/>
        <w:tblLook w:val="04A0"/>
      </w:tblPr>
      <w:tblGrid>
        <w:gridCol w:w="3152"/>
        <w:gridCol w:w="1688"/>
        <w:gridCol w:w="2294"/>
        <w:gridCol w:w="2364"/>
      </w:tblGrid>
      <w:tr w:rsidR="00747005">
        <w:trPr>
          <w:tblHeader/>
        </w:trPr>
        <w:tc>
          <w:tcPr>
            <w:tcW w:w="3152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293" w:type="dxa"/>
            <w:shd w:val="clear" w:color="auto" w:fill="D0CECE" w:themeFill="background2" w:themeFillShade="E6"/>
          </w:tcPr>
          <w:p w:rsidR="00747005" w:rsidRDefault="00C153C9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4" w:type="dxa"/>
            <w:shd w:val="clear" w:color="auto" w:fill="D0CECE" w:themeFill="background2" w:themeFillShade="E6"/>
            <w:vAlign w:val="center"/>
          </w:tcPr>
          <w:p w:rsidR="00747005" w:rsidRDefault="00C153C9">
            <w:pPr>
              <w:spacing w:after="12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747005">
        <w:tc>
          <w:tcPr>
            <w:tcW w:w="3152" w:type="dxa"/>
            <w:shd w:val="clear" w:color="auto" w:fill="auto"/>
            <w:vAlign w:val="center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Opory dotyczące wymiany informacji podczas realizacji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przepisów dotyczących procesów jednostki (muzeum)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Zmiana przepisów dotyczących Praw autorskich i danych wrażliwych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Zmiany zakresu prac</w:t>
            </w: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przekroczenia budżetu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Opóźnienia przy realizacji zamówień publicznych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Związane z przekroczeniem </w:t>
            </w:r>
            <w:r>
              <w:rPr>
                <w:rFonts w:ascii="Arial" w:hAnsi="Arial" w:cs="Arial"/>
                <w:sz w:val="18"/>
                <w:szCs w:val="18"/>
              </w:rPr>
              <w:t>harm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nogramu</w:t>
            </w: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Niedotrzymywanie terminów wyk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nania zleceń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Ryzyko związane z tzw. czynnikiem ludzkim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Zmiana celów w</w:t>
            </w: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trakcie trwania projektu</w:t>
            </w:r>
          </w:p>
        </w:tc>
        <w:tc>
          <w:tcPr>
            <w:tcW w:w="1688" w:type="dxa"/>
            <w:shd w:val="clear" w:color="auto" w:fill="auto"/>
          </w:tcPr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Średnia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3" w:type="dxa"/>
            <w:shd w:val="clear" w:color="auto" w:fill="auto"/>
          </w:tcPr>
          <w:p w:rsidR="00747005" w:rsidRDefault="00C153C9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lastRenderedPageBreak/>
              <w:t>Niskie</w:t>
            </w:r>
          </w:p>
          <w:p w:rsidR="00747005" w:rsidRDefault="0074700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747005" w:rsidRDefault="00C153C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64" w:type="dxa"/>
            <w:shd w:val="clear" w:color="auto" w:fill="auto"/>
          </w:tcPr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lastRenderedPageBreak/>
              <w:t>1. podejmowane działania zarządcze: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wprowadzenie polityki informacyjnej wewnątrz jednostki - informowanie,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czyli dokładne wyjaśni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 xml:space="preserve">nie, na czym polegają zmiany i w czym </w:t>
            </w:r>
            <w:r>
              <w:rPr>
                <w:rFonts w:ascii="Arial" w:hAnsi="Arial" w:cs="Arial"/>
                <w:sz w:val="18"/>
                <w:szCs w:val="18"/>
              </w:rPr>
              <w:t>mogą pomóc (usprawnić dział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nie jednostki).</w:t>
            </w:r>
            <w:r>
              <w:rPr>
                <w:rFonts w:ascii="Arial" w:hAnsi="Arial" w:cs="Calibri"/>
                <w:sz w:val="18"/>
                <w:szCs w:val="18"/>
              </w:rPr>
              <w:br/>
              <w:t>2. spodziewane lub fa</w:t>
            </w:r>
            <w:r>
              <w:rPr>
                <w:rFonts w:ascii="Arial" w:hAnsi="Arial" w:cs="Calibri"/>
                <w:sz w:val="18"/>
                <w:szCs w:val="18"/>
              </w:rPr>
              <w:t>k</w:t>
            </w:r>
            <w:r>
              <w:rPr>
                <w:rFonts w:ascii="Arial" w:hAnsi="Arial" w:cs="Calibri"/>
                <w:sz w:val="18"/>
                <w:szCs w:val="18"/>
              </w:rPr>
              <w:t>tyczne efekty tych działań: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wyeliminowanie oporów dotyczących wymiany informacji podczas real</w:t>
            </w:r>
            <w:r>
              <w:rPr>
                <w:rFonts w:ascii="Arial" w:hAnsi="Arial" w:cs="Calibri"/>
                <w:sz w:val="18"/>
                <w:szCs w:val="18"/>
              </w:rPr>
              <w:t>i</w:t>
            </w:r>
            <w:r>
              <w:rPr>
                <w:rFonts w:ascii="Arial" w:hAnsi="Arial" w:cs="Calibri"/>
                <w:sz w:val="18"/>
                <w:szCs w:val="18"/>
              </w:rPr>
              <w:t>zacji.</w:t>
            </w:r>
            <w:r>
              <w:rPr>
                <w:rFonts w:ascii="Arial" w:hAnsi="Arial" w:cs="Calibri"/>
                <w:sz w:val="18"/>
                <w:szCs w:val="18"/>
              </w:rPr>
              <w:br/>
              <w:t>3. czy nastąpiła zmiana w zakresie danego ryzyka w stosunku do poprzedniego okresu sprawo</w:t>
            </w:r>
            <w:r>
              <w:rPr>
                <w:rFonts w:ascii="Arial" w:hAnsi="Arial" w:cs="Calibri"/>
                <w:sz w:val="18"/>
                <w:szCs w:val="18"/>
              </w:rPr>
              <w:t>zdawczego: nie dotyczy.</w:t>
            </w: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bookmarkStart w:id="3" w:name="__DdeLink__7751_2756344845"/>
            <w:bookmarkEnd w:id="3"/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monitorowanie aktualnych przepisów, dostosowyw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nie oprogramowania.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</w:t>
            </w:r>
            <w:r>
              <w:rPr>
                <w:rFonts w:ascii="Arial" w:hAnsi="Arial" w:cs="Calibri"/>
                <w:sz w:val="18"/>
                <w:szCs w:val="18"/>
              </w:rPr>
              <w:t>k</w:t>
            </w:r>
            <w:r>
              <w:rPr>
                <w:rFonts w:ascii="Arial" w:hAnsi="Arial" w:cs="Calibri"/>
                <w:sz w:val="18"/>
                <w:szCs w:val="18"/>
              </w:rPr>
              <w:t>tyczne efekty tych działań: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dostosowanie projektu do zmieniających się przep</w:t>
            </w:r>
            <w:r>
              <w:rPr>
                <w:rFonts w:ascii="Arial" w:hAnsi="Arial" w:cs="Calibri"/>
                <w:sz w:val="18"/>
                <w:szCs w:val="18"/>
              </w:rPr>
              <w:t>i</w:t>
            </w:r>
            <w:r>
              <w:rPr>
                <w:rFonts w:ascii="Arial" w:hAnsi="Arial" w:cs="Calibri"/>
                <w:sz w:val="18"/>
                <w:szCs w:val="18"/>
              </w:rPr>
              <w:t>sów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3. czy nastąpiła zmiana </w:t>
            </w:r>
            <w:r>
              <w:rPr>
                <w:rFonts w:ascii="Arial" w:hAnsi="Arial" w:cs="Calibri"/>
                <w:sz w:val="18"/>
                <w:szCs w:val="18"/>
              </w:rPr>
              <w:t>w zakresie danego ryzyka w stosunku do poprzedniego okresu sprawozdawczego: nie dotyczy.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bookmarkStart w:id="4" w:name="__DdeLink__7751_27563448451"/>
            <w:bookmarkEnd w:id="4"/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monitorowanie aktualnych przepisów, dostosowyw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nie oprogramowania.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</w:t>
            </w:r>
            <w:r>
              <w:rPr>
                <w:rFonts w:ascii="Arial" w:hAnsi="Arial" w:cs="Calibri"/>
                <w:sz w:val="18"/>
                <w:szCs w:val="18"/>
              </w:rPr>
              <w:t>k</w:t>
            </w:r>
            <w:r>
              <w:rPr>
                <w:rFonts w:ascii="Arial" w:hAnsi="Arial" w:cs="Calibri"/>
                <w:sz w:val="18"/>
                <w:szCs w:val="18"/>
              </w:rPr>
              <w:t>tyczne efekty tych działań: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dostosowanie</w:t>
            </w:r>
            <w:r>
              <w:rPr>
                <w:rFonts w:ascii="Arial" w:hAnsi="Arial" w:cs="Calibri"/>
                <w:sz w:val="18"/>
                <w:szCs w:val="18"/>
              </w:rPr>
              <w:t xml:space="preserve"> projektu do zmieniających się przep</w:t>
            </w:r>
            <w:r>
              <w:rPr>
                <w:rFonts w:ascii="Arial" w:hAnsi="Arial" w:cs="Calibri"/>
                <w:sz w:val="18"/>
                <w:szCs w:val="18"/>
              </w:rPr>
              <w:t>i</w:t>
            </w:r>
            <w:r>
              <w:rPr>
                <w:rFonts w:ascii="Arial" w:hAnsi="Arial" w:cs="Calibri"/>
                <w:sz w:val="18"/>
                <w:szCs w:val="18"/>
              </w:rPr>
              <w:t>sów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dotyczy.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Calibri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Calibri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to będzie elimin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wane poprzez stały i st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ranny monitoring</w:t>
            </w:r>
            <w:r>
              <w:rPr>
                <w:rFonts w:ascii="Arial" w:hAnsi="Arial" w:cs="Arial"/>
                <w:sz w:val="18"/>
                <w:szCs w:val="18"/>
              </w:rPr>
              <w:t xml:space="preserve"> budżetu projektu.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</w:t>
            </w:r>
            <w:r>
              <w:rPr>
                <w:rFonts w:ascii="Arial" w:hAnsi="Arial" w:cs="Calibri"/>
                <w:sz w:val="18"/>
                <w:szCs w:val="18"/>
              </w:rPr>
              <w:t>k</w:t>
            </w:r>
            <w:r>
              <w:rPr>
                <w:rFonts w:ascii="Arial" w:hAnsi="Arial" w:cs="Calibri"/>
                <w:sz w:val="18"/>
                <w:szCs w:val="18"/>
              </w:rPr>
              <w:t>tyczne efekty tych działań: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przypadku przekrocz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nia kosztów zawartych w poszczególnych zad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niach zostanie zaangaż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wana rezerwa finansowa przewidziana w projekcie.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</w:t>
            </w:r>
            <w:r>
              <w:rPr>
                <w:rFonts w:ascii="Arial" w:hAnsi="Arial" w:cs="Calibri"/>
                <w:sz w:val="18"/>
                <w:szCs w:val="18"/>
              </w:rPr>
              <w:t xml:space="preserve"> stosunku do poprzedniego okresu sprawozdawczego: nie dotyczy.</w:t>
            </w:r>
          </w:p>
          <w:p w:rsidR="00747005" w:rsidRDefault="00747005">
            <w:pPr>
              <w:spacing w:after="0" w:line="240" w:lineRule="auto"/>
              <w:rPr>
                <w:rFonts w:cs="Arial"/>
              </w:rPr>
            </w:pP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747005">
            <w:pPr>
              <w:spacing w:after="0" w:line="240" w:lineRule="auto"/>
              <w:rPr>
                <w:rFonts w:cs="Calibri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minimalizację tego ryzyka, powodowanego z prz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czyn niezależnych od Wnioskodawcy, zapewni odpowiednia organizacja zamówień, uwzględniająca to zagrożenie. </w:t>
            </w:r>
            <w:r>
              <w:rPr>
                <w:rFonts w:ascii="Arial" w:hAnsi="Arial" w:cs="Arial"/>
                <w:sz w:val="18"/>
                <w:szCs w:val="18"/>
              </w:rPr>
              <w:t>Wniosk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dawca przygotuje specyf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kację SIWZ pod kątem przeprowadzenia przeta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gów w projekcie w taki szczegółowy sposób, aby ograniczyć lub wyelimin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wać pytania i protesty potencjalnych oferentów.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</w:t>
            </w:r>
            <w:r>
              <w:rPr>
                <w:rFonts w:ascii="Arial" w:hAnsi="Arial" w:cs="Calibri"/>
                <w:sz w:val="18"/>
                <w:szCs w:val="18"/>
              </w:rPr>
              <w:t>k</w:t>
            </w:r>
            <w:r>
              <w:rPr>
                <w:rFonts w:ascii="Arial" w:hAnsi="Arial" w:cs="Calibri"/>
                <w:sz w:val="18"/>
                <w:szCs w:val="18"/>
              </w:rPr>
              <w:t>tyczne efekty tych działań: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brak opóźnie</w:t>
            </w:r>
            <w:r>
              <w:rPr>
                <w:rFonts w:ascii="Arial" w:hAnsi="Arial" w:cs="Calibri"/>
                <w:sz w:val="18"/>
                <w:szCs w:val="18"/>
              </w:rPr>
              <w:t>ń przy real</w:t>
            </w:r>
            <w:r>
              <w:rPr>
                <w:rFonts w:ascii="Arial" w:hAnsi="Arial" w:cs="Calibri"/>
                <w:sz w:val="18"/>
                <w:szCs w:val="18"/>
              </w:rPr>
              <w:t>i</w:t>
            </w:r>
            <w:r>
              <w:rPr>
                <w:rFonts w:ascii="Arial" w:hAnsi="Arial" w:cs="Calibri"/>
                <w:sz w:val="18"/>
                <w:szCs w:val="18"/>
              </w:rPr>
              <w:t>zacji zamówień public</w:t>
            </w:r>
            <w:r>
              <w:rPr>
                <w:rFonts w:ascii="Arial" w:hAnsi="Arial" w:cs="Calibri"/>
                <w:sz w:val="18"/>
                <w:szCs w:val="18"/>
              </w:rPr>
              <w:t>z</w:t>
            </w:r>
            <w:r>
              <w:rPr>
                <w:rFonts w:ascii="Arial" w:hAnsi="Arial" w:cs="Calibri"/>
                <w:sz w:val="18"/>
                <w:szCs w:val="18"/>
              </w:rPr>
              <w:t>nych</w:t>
            </w:r>
          </w:p>
          <w:p w:rsidR="00747005" w:rsidRDefault="00C153C9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dotyczy.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Wnioskodawca będzie na każdym etapie realizacji projektu dokonywał </w:t>
            </w:r>
            <w:r>
              <w:rPr>
                <w:rFonts w:ascii="Arial" w:hAnsi="Arial" w:cs="Arial"/>
                <w:sz w:val="18"/>
                <w:szCs w:val="18"/>
              </w:rPr>
              <w:t>ko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tr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li postępów prac pr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gramistycznych, inwest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cyjnych i wdrożeniowych. Umowy z dostawcami lub podwykonawcami będą starannie formułowane, aby wyeliminować ten czynnik ryzyka. Ponadto opracowany harmonogram zawiera niezbędny marg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 xml:space="preserve">nes czasowy, pozwalający </w:t>
            </w:r>
            <w:r>
              <w:rPr>
                <w:rFonts w:ascii="Arial" w:hAnsi="Arial" w:cs="Arial"/>
                <w:sz w:val="18"/>
                <w:szCs w:val="18"/>
              </w:rPr>
              <w:t>przeprowadzić projekt w zakładanym terminie.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</w:t>
            </w:r>
            <w:r>
              <w:rPr>
                <w:rFonts w:ascii="Arial" w:hAnsi="Arial" w:cs="Calibri"/>
                <w:sz w:val="18"/>
                <w:szCs w:val="18"/>
              </w:rPr>
              <w:t>k</w:t>
            </w:r>
            <w:r>
              <w:rPr>
                <w:rFonts w:ascii="Arial" w:hAnsi="Arial" w:cs="Calibri"/>
                <w:sz w:val="18"/>
                <w:szCs w:val="18"/>
              </w:rPr>
              <w:t>tyczne efekty tych działań: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realizacja zadań zgodnie z harmonogramem projektu.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3. czy nastąpiła zmiana w zakresie danego ryzyka w stosunku do poprzedniego </w:t>
            </w:r>
            <w:r>
              <w:rPr>
                <w:rFonts w:ascii="Arial" w:hAnsi="Arial" w:cs="Calibri"/>
                <w:sz w:val="18"/>
                <w:szCs w:val="18"/>
              </w:rPr>
              <w:lastRenderedPageBreak/>
              <w:t>okresu sprawozdawczego: nie dotycz</w:t>
            </w:r>
            <w:r>
              <w:rPr>
                <w:rFonts w:ascii="Arial" w:hAnsi="Arial" w:cs="Calibri"/>
                <w:sz w:val="18"/>
                <w:szCs w:val="18"/>
              </w:rPr>
              <w:t>y.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zostanie wdrożony prec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zyjny sposób zarządzania projektem oraz prowadz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ny będzie stały monitoring kadr projektu, a dobór kadry programistów i i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formatyków będzie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przedzony staranną anal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zą kompetencji oraz kwal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fi</w:t>
            </w:r>
            <w:r>
              <w:rPr>
                <w:rFonts w:ascii="Arial" w:hAnsi="Arial" w:cs="Arial"/>
                <w:sz w:val="18"/>
                <w:szCs w:val="18"/>
              </w:rPr>
              <w:t>kacji zgodnych z oczek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waniami i wymogami tw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rzonego systemu.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</w:t>
            </w:r>
            <w:r>
              <w:rPr>
                <w:rFonts w:ascii="Arial" w:hAnsi="Arial" w:cs="Calibri"/>
                <w:sz w:val="18"/>
                <w:szCs w:val="18"/>
              </w:rPr>
              <w:t>k</w:t>
            </w:r>
            <w:r>
              <w:rPr>
                <w:rFonts w:ascii="Arial" w:hAnsi="Arial" w:cs="Calibri"/>
                <w:sz w:val="18"/>
                <w:szCs w:val="18"/>
              </w:rPr>
              <w:t>tyczne efekty tych działań: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brak zmian kadrowych w zespole </w:t>
            </w:r>
            <w:proofErr w:type="spellStart"/>
            <w:r>
              <w:rPr>
                <w:rFonts w:ascii="Arial" w:hAnsi="Arial" w:cs="Calibri"/>
                <w:sz w:val="18"/>
                <w:szCs w:val="18"/>
              </w:rPr>
              <w:t>projektówym</w:t>
            </w:r>
            <w:proofErr w:type="spellEnd"/>
            <w:r>
              <w:rPr>
                <w:rFonts w:ascii="Arial" w:hAnsi="Arial" w:cs="Calibri"/>
                <w:sz w:val="18"/>
                <w:szCs w:val="18"/>
              </w:rPr>
              <w:t>.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 xml:space="preserve">3. czy nastąpiła zmiana w zakresie danego ryzyka w stosunku do poprzedniego okresu sprawozdawczego: </w:t>
            </w:r>
            <w:r>
              <w:rPr>
                <w:rFonts w:ascii="Arial" w:hAnsi="Arial" w:cs="Calibri"/>
                <w:sz w:val="18"/>
                <w:szCs w:val="18"/>
              </w:rPr>
              <w:t>nie dotyczy.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1. podejmowane działania zarządcze: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uzgodnienie szczegół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wego i spójnego zakresu prac oraz uwzględnienie wszystkich etapów real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zacji z całej dokumentacji projektowej.</w:t>
            </w:r>
          </w:p>
          <w:p w:rsidR="00747005" w:rsidRDefault="00C153C9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Calibri"/>
                <w:sz w:val="18"/>
                <w:szCs w:val="18"/>
              </w:rPr>
              <w:t>2. spodziewane lub fa</w:t>
            </w:r>
            <w:r>
              <w:rPr>
                <w:rFonts w:ascii="Arial" w:hAnsi="Arial" w:cs="Calibri"/>
                <w:sz w:val="18"/>
                <w:szCs w:val="18"/>
              </w:rPr>
              <w:t>k</w:t>
            </w:r>
            <w:r>
              <w:rPr>
                <w:rFonts w:ascii="Arial" w:hAnsi="Arial" w:cs="Calibri"/>
                <w:sz w:val="18"/>
                <w:szCs w:val="18"/>
              </w:rPr>
              <w:t>tyczne efekty tych działań:</w:t>
            </w:r>
          </w:p>
          <w:p w:rsidR="00747005" w:rsidRDefault="00C153C9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brak zmian celów w tra</w:t>
            </w:r>
            <w:r>
              <w:rPr>
                <w:rFonts w:ascii="Arial" w:hAnsi="Arial" w:cs="Calibri"/>
                <w:sz w:val="18"/>
                <w:szCs w:val="18"/>
              </w:rPr>
              <w:t>k</w:t>
            </w:r>
            <w:r>
              <w:rPr>
                <w:rFonts w:ascii="Arial" w:hAnsi="Arial" w:cs="Calibri"/>
                <w:sz w:val="18"/>
                <w:szCs w:val="18"/>
              </w:rPr>
              <w:t>c</w:t>
            </w:r>
            <w:r>
              <w:rPr>
                <w:rFonts w:ascii="Arial" w:hAnsi="Arial" w:cs="Calibri"/>
                <w:sz w:val="18"/>
                <w:szCs w:val="18"/>
              </w:rPr>
              <w:t>ie trwania projektu.</w:t>
            </w:r>
          </w:p>
          <w:p w:rsidR="00747005" w:rsidRDefault="00C153C9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Calibri"/>
                <w:sz w:val="18"/>
                <w:szCs w:val="18"/>
              </w:rPr>
              <w:t>3. czy nastąpiła zmiana w zakresie danego ryzyka w stosunku do poprzedniego okresu sprawozdawczego: nie dotyczy.</w:t>
            </w:r>
          </w:p>
          <w:p w:rsidR="00747005" w:rsidRDefault="007470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47005" w:rsidRDefault="00747005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747005" w:rsidRDefault="00C153C9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ook w:val="00A0"/>
      </w:tblPr>
      <w:tblGrid>
        <w:gridCol w:w="3162"/>
        <w:gridCol w:w="1694"/>
        <w:gridCol w:w="2294"/>
        <w:gridCol w:w="2630"/>
      </w:tblGrid>
      <w:tr w:rsidR="00747005">
        <w:trPr>
          <w:trHeight w:val="724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7005" w:rsidRDefault="00C153C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7005" w:rsidRDefault="00C153C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47005" w:rsidRDefault="00C153C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47005" w:rsidRDefault="00C153C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zarzadzania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ryzykiem</w:t>
            </w:r>
          </w:p>
        </w:tc>
      </w:tr>
      <w:tr w:rsidR="00747005">
        <w:trPr>
          <w:trHeight w:val="724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7005" w:rsidRDefault="00C153C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Uzależnienie dalszych prac od w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konawcy 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vendor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lock-in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>)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Awarie modułów oprogramowania i serwerowni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cs="Arial"/>
                <w:lang w:eastAsia="pl-PL"/>
              </w:rPr>
            </w:pPr>
          </w:p>
          <w:p w:rsidR="00747005" w:rsidRDefault="00C153C9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Cyberataki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internecie</w:t>
            </w:r>
            <w:proofErr w:type="spellEnd"/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Modyfikacja zgromadzonych danych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Zwiększony ruch na stronie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Niespójność danych pomiędzy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po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r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t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lem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on-line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>, a nowym Systemem Muzealnym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7005" w:rsidRDefault="00C153C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 xml:space="preserve">duża 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cs="Arial"/>
                <w:lang w:eastAsia="pl-PL"/>
              </w:rPr>
            </w:pPr>
          </w:p>
          <w:p w:rsidR="00747005" w:rsidRDefault="00C153C9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cs="Arial"/>
                <w:lang w:eastAsia="pl-PL"/>
              </w:rPr>
            </w:pPr>
          </w:p>
          <w:p w:rsidR="00747005" w:rsidRDefault="00C153C9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7005" w:rsidRDefault="00C153C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Średnie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cs="Arial"/>
                <w:lang w:eastAsia="pl-PL"/>
              </w:rPr>
            </w:pPr>
          </w:p>
          <w:p w:rsidR="00747005" w:rsidRDefault="00C153C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:rsidR="00747005" w:rsidRDefault="00747005">
            <w:pPr>
              <w:rPr>
                <w:rFonts w:ascii="Arial" w:hAnsi="Arial"/>
                <w:sz w:val="18"/>
                <w:szCs w:val="18"/>
                <w:lang w:eastAsia="pl-PL"/>
              </w:rPr>
            </w:pPr>
          </w:p>
          <w:p w:rsidR="00747005" w:rsidRDefault="00747005">
            <w:pPr>
              <w:rPr>
                <w:rFonts w:ascii="Arial" w:hAnsi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7005" w:rsidRDefault="00C153C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Definiowanie jednoznacznych wymagań, utrzymanie otwartych standardów, modułowość rozwiązań.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Wsparcie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powdrożeniowe oraz wprowadzanie poprawek w oprogramowaniu.</w:t>
            </w:r>
          </w:p>
          <w:p w:rsidR="00747005" w:rsidRDefault="00747005">
            <w:pPr>
              <w:rPr>
                <w:rFonts w:cs="Arial"/>
                <w:lang w:eastAsia="pl-PL"/>
              </w:rPr>
            </w:pPr>
          </w:p>
          <w:p w:rsidR="00747005" w:rsidRDefault="00C153C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Stosowanie najnowszych rozwiązań w zakresie bezpi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czeństwa oraz audyt bezpi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czeństwa.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Wdrożenie mechanizmów w zakresie utrzymania integra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ności i wiarygodności info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r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macji oraz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rozliczalności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akty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wności w systemie, st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sowanie mechanizmów kopii bezpieczeństwa.</w:t>
            </w:r>
          </w:p>
          <w:p w:rsidR="00747005" w:rsidRDefault="00C153C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 przypadku wzrostów n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stąpi zwiększenie zasobów. Monitoring i Alerty.</w:t>
            </w:r>
          </w:p>
          <w:p w:rsidR="00747005" w:rsidRDefault="0074700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747005" w:rsidRDefault="00C153C9">
            <w:pPr>
              <w:rPr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Planuje się użycie obecnie istniejącej bazy danych tylko w minimalnym stopniu - do umieszczania i prezentowania dzieł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on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-line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, które zostaną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zdigitalizowane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i umieszczone w nowym oprogramowaniu Systemu Muzealnego. Nie występuje ryzyko dublowania danych - dane w bazie portalu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on-line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mają charakter repr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zentacyjny - informacyjny.</w:t>
            </w:r>
          </w:p>
        </w:tc>
      </w:tr>
    </w:tbl>
    <w:p w:rsidR="00747005" w:rsidRDefault="00C153C9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:rsidR="00747005" w:rsidRDefault="00C153C9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 xml:space="preserve">Nie </w:t>
      </w:r>
      <w:r>
        <w:rPr>
          <w:rFonts w:ascii="Arial" w:hAnsi="Arial" w:cs="Arial"/>
          <w:sz w:val="18"/>
          <w:szCs w:val="18"/>
        </w:rPr>
        <w:t>dotyczy.</w:t>
      </w:r>
    </w:p>
    <w:p w:rsidR="00747005" w:rsidRDefault="00C153C9">
      <w:pPr>
        <w:pStyle w:val="Akapitzlist"/>
        <w:numPr>
          <w:ilvl w:val="0"/>
          <w:numId w:val="1"/>
        </w:numPr>
        <w:spacing w:before="360"/>
        <w:jc w:val="both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  <w:bookmarkStart w:id="5" w:name="_Hlk18274129"/>
      <w:r>
        <w:rPr>
          <w:rFonts w:ascii="Arial" w:hAnsi="Arial" w:cs="Arial"/>
        </w:rPr>
        <w:t xml:space="preserve">Emilia Antosz, Muzeum Sztuki w Łodzi, </w:t>
      </w:r>
      <w:hyperlink r:id="rId8">
        <w:r>
          <w:rPr>
            <w:rStyle w:val="czeinternetowe"/>
            <w:rFonts w:ascii="Arial" w:hAnsi="Arial" w:cs="Arial"/>
          </w:rPr>
          <w:t>e.antosz@msl.org.pl</w:t>
        </w:r>
      </w:hyperlink>
      <w:r>
        <w:rPr>
          <w:rFonts w:ascii="Arial" w:hAnsi="Arial" w:cs="Arial"/>
        </w:rPr>
        <w:t xml:space="preserve"> tel. 531 621 813 </w:t>
      </w:r>
      <w:bookmarkEnd w:id="5"/>
    </w:p>
    <w:p w:rsidR="00747005" w:rsidRDefault="00747005">
      <w:pPr>
        <w:spacing w:after="0"/>
        <w:jc w:val="both"/>
        <w:rPr>
          <w:rFonts w:ascii="Arial" w:hAnsi="Arial" w:cs="Arial"/>
        </w:rPr>
      </w:pPr>
    </w:p>
    <w:p w:rsidR="00747005" w:rsidRDefault="00747005">
      <w:pPr>
        <w:spacing w:after="0"/>
        <w:jc w:val="both"/>
        <w:rPr>
          <w:rFonts w:ascii="Arial" w:hAnsi="Arial" w:cs="Arial"/>
        </w:rPr>
      </w:pPr>
    </w:p>
    <w:p w:rsidR="00747005" w:rsidRDefault="00747005">
      <w:pPr>
        <w:spacing w:after="0"/>
        <w:jc w:val="both"/>
      </w:pPr>
    </w:p>
    <w:sectPr w:rsidR="00747005" w:rsidSect="00747005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005" w:rsidRDefault="00747005" w:rsidP="00747005">
      <w:pPr>
        <w:spacing w:after="0" w:line="240" w:lineRule="auto"/>
      </w:pPr>
      <w:r>
        <w:separator/>
      </w:r>
    </w:p>
  </w:endnote>
  <w:endnote w:type="continuationSeparator" w:id="1">
    <w:p w:rsidR="00747005" w:rsidRDefault="00747005" w:rsidP="00747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3442653"/>
      <w:docPartObj>
        <w:docPartGallery w:val="Page Numbers (Top of Page)"/>
        <w:docPartUnique/>
      </w:docPartObj>
    </w:sdtPr>
    <w:sdtContent>
      <w:p w:rsidR="00747005" w:rsidRDefault="00C153C9">
        <w:pPr>
          <w:pStyle w:val="Footer"/>
          <w:jc w:val="right"/>
        </w:pPr>
        <w:r>
          <w:t xml:space="preserve">Strona </w:t>
        </w:r>
        <w:r w:rsidR="00747005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 w:rsidR="00747005"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  <w:sz w:val="24"/>
            <w:szCs w:val="24"/>
          </w:rPr>
          <w:t>1</w:t>
        </w:r>
        <w:r w:rsidR="00747005"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747005" w:rsidRDefault="0074700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005" w:rsidRDefault="00C153C9">
      <w:r>
        <w:separator/>
      </w:r>
    </w:p>
  </w:footnote>
  <w:footnote w:type="continuationSeparator" w:id="1">
    <w:p w:rsidR="00747005" w:rsidRDefault="00C153C9">
      <w:r>
        <w:continuationSeparator/>
      </w:r>
    </w:p>
  </w:footnote>
  <w:footnote w:id="2">
    <w:p w:rsidR="00747005" w:rsidRDefault="00C153C9">
      <w:pPr>
        <w:pStyle w:val="FootnoteText"/>
      </w:pPr>
      <w:r>
        <w:rPr>
          <w:rStyle w:val="Znakiprzypiswdolnych"/>
        </w:rPr>
        <w:footnoteRef/>
      </w:r>
      <w:r>
        <w:t xml:space="preserve"> Sekcja </w:t>
      </w:r>
      <w:r>
        <w:t>dotyczy projektów realizowanych ze środków UE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B279A"/>
    <w:multiLevelType w:val="multilevel"/>
    <w:tmpl w:val="EB1C50E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DA21E10"/>
    <w:multiLevelType w:val="multilevel"/>
    <w:tmpl w:val="5770E60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7005"/>
    <w:rsid w:val="00747005"/>
    <w:rsid w:val="00C15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Heading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Heading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FootnoteText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sid w:val="00747005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Heading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Heading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Heading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Footer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czeinternetowe">
    <w:name w:val="Łącze internetowe"/>
    <w:basedOn w:val="Domylnaczcionkaakapitu"/>
    <w:uiPriority w:val="99"/>
    <w:unhideWhenUsed/>
    <w:rsid w:val="00D67AA2"/>
    <w:rPr>
      <w:color w:val="0563C1" w:themeColor="hyperlink"/>
      <w:u w:val="single"/>
    </w:rPr>
  </w:style>
  <w:style w:type="character" w:customStyle="1" w:styleId="ListLabel1">
    <w:name w:val="ListLabel 1"/>
    <w:qFormat/>
    <w:rsid w:val="00747005"/>
    <w:rPr>
      <w:i w:val="0"/>
      <w:color w:val="auto"/>
    </w:rPr>
  </w:style>
  <w:style w:type="character" w:customStyle="1" w:styleId="ListLabel2">
    <w:name w:val="ListLabel 2"/>
    <w:qFormat/>
    <w:rsid w:val="00747005"/>
    <w:rPr>
      <w:i w:val="0"/>
      <w:color w:val="auto"/>
    </w:rPr>
  </w:style>
  <w:style w:type="character" w:customStyle="1" w:styleId="ListLabel3">
    <w:name w:val="ListLabel 3"/>
    <w:qFormat/>
    <w:rsid w:val="00747005"/>
    <w:rPr>
      <w:i w:val="0"/>
      <w:color w:val="auto"/>
    </w:rPr>
  </w:style>
  <w:style w:type="character" w:customStyle="1" w:styleId="ListLabel4">
    <w:name w:val="ListLabel 4"/>
    <w:qFormat/>
    <w:rsid w:val="00747005"/>
    <w:rPr>
      <w:rFonts w:eastAsia="Calibri"/>
    </w:rPr>
  </w:style>
  <w:style w:type="character" w:customStyle="1" w:styleId="ListLabel5">
    <w:name w:val="ListLabel 5"/>
    <w:qFormat/>
    <w:rsid w:val="00747005"/>
    <w:rPr>
      <w:rFonts w:cs="Courier New"/>
    </w:rPr>
  </w:style>
  <w:style w:type="character" w:customStyle="1" w:styleId="ListLabel6">
    <w:name w:val="ListLabel 6"/>
    <w:qFormat/>
    <w:rsid w:val="00747005"/>
    <w:rPr>
      <w:rFonts w:cs="Courier New"/>
    </w:rPr>
  </w:style>
  <w:style w:type="character" w:customStyle="1" w:styleId="ListLabel7">
    <w:name w:val="ListLabel 7"/>
    <w:qFormat/>
    <w:rsid w:val="00747005"/>
    <w:rPr>
      <w:rFonts w:cs="Courier New"/>
    </w:rPr>
  </w:style>
  <w:style w:type="character" w:customStyle="1" w:styleId="ListLabel8">
    <w:name w:val="ListLabel 8"/>
    <w:qFormat/>
    <w:rsid w:val="00747005"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sid w:val="00747005"/>
    <w:rPr>
      <w:i w:val="0"/>
      <w:color w:val="auto"/>
    </w:rPr>
  </w:style>
  <w:style w:type="character" w:customStyle="1" w:styleId="ListLabel10">
    <w:name w:val="ListLabel 10"/>
    <w:qFormat/>
    <w:rsid w:val="00747005"/>
    <w:rPr>
      <w:i w:val="0"/>
      <w:color w:val="auto"/>
    </w:rPr>
  </w:style>
  <w:style w:type="character" w:customStyle="1" w:styleId="ListLabel11">
    <w:name w:val="ListLabel 11"/>
    <w:qFormat/>
    <w:rsid w:val="00747005"/>
    <w:rPr>
      <w:i w:val="0"/>
      <w:color w:val="auto"/>
    </w:rPr>
  </w:style>
  <w:style w:type="character" w:customStyle="1" w:styleId="ListLabel12">
    <w:name w:val="ListLabel 12"/>
    <w:qFormat/>
    <w:rsid w:val="00747005"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sid w:val="00747005"/>
    <w:rPr>
      <w:rFonts w:cs="Courier New"/>
    </w:rPr>
  </w:style>
  <w:style w:type="character" w:customStyle="1" w:styleId="ListLabel14">
    <w:name w:val="ListLabel 14"/>
    <w:qFormat/>
    <w:rsid w:val="00747005"/>
    <w:rPr>
      <w:rFonts w:cs="Courier New"/>
    </w:rPr>
  </w:style>
  <w:style w:type="character" w:customStyle="1" w:styleId="ListLabel15">
    <w:name w:val="ListLabel 15"/>
    <w:qFormat/>
    <w:rsid w:val="00747005"/>
    <w:rPr>
      <w:rFonts w:cs="Courier New"/>
    </w:rPr>
  </w:style>
  <w:style w:type="character" w:customStyle="1" w:styleId="ListLabel16">
    <w:name w:val="ListLabel 16"/>
    <w:qFormat/>
    <w:rsid w:val="00747005"/>
    <w:rPr>
      <w:b/>
      <w:i w:val="0"/>
      <w:color w:val="0070C0"/>
    </w:rPr>
  </w:style>
  <w:style w:type="character" w:customStyle="1" w:styleId="ListLabel17">
    <w:name w:val="ListLabel 17"/>
    <w:qFormat/>
    <w:rsid w:val="00747005"/>
    <w:rPr>
      <w:b/>
      <w:i w:val="0"/>
      <w:color w:val="0070C0"/>
    </w:rPr>
  </w:style>
  <w:style w:type="character" w:customStyle="1" w:styleId="ListLabel18">
    <w:name w:val="ListLabel 18"/>
    <w:qFormat/>
    <w:rsid w:val="00747005"/>
    <w:rPr>
      <w:b/>
      <w:i w:val="0"/>
      <w:color w:val="0070C0"/>
    </w:rPr>
  </w:style>
  <w:style w:type="character" w:customStyle="1" w:styleId="ListLabel19">
    <w:name w:val="ListLabel 19"/>
    <w:qFormat/>
    <w:rsid w:val="00747005"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sid w:val="00747005"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sid w:val="00747005"/>
    <w:rPr>
      <w:rFonts w:cs="Courier New"/>
    </w:rPr>
  </w:style>
  <w:style w:type="character" w:customStyle="1" w:styleId="ListLabel23">
    <w:name w:val="ListLabel 23"/>
    <w:qFormat/>
    <w:rsid w:val="00747005"/>
    <w:rPr>
      <w:rFonts w:cs="Courier New"/>
    </w:rPr>
  </w:style>
  <w:style w:type="character" w:customStyle="1" w:styleId="ListLabel24">
    <w:name w:val="ListLabel 24"/>
    <w:qFormat/>
    <w:rsid w:val="00747005"/>
    <w:rPr>
      <w:rFonts w:cs="Courier New"/>
    </w:rPr>
  </w:style>
  <w:style w:type="character" w:customStyle="1" w:styleId="ListLabel25">
    <w:name w:val="ListLabel 25"/>
    <w:qFormat/>
    <w:rsid w:val="00747005"/>
    <w:rPr>
      <w:rFonts w:ascii="Arial" w:hAnsi="Arial" w:cs="Arial"/>
    </w:rPr>
  </w:style>
  <w:style w:type="character" w:customStyle="1" w:styleId="Znakiprzypiswdolnych">
    <w:name w:val="Znaki przypisów dolnych"/>
    <w:qFormat/>
    <w:rsid w:val="00747005"/>
  </w:style>
  <w:style w:type="character" w:customStyle="1" w:styleId="Zakotwiczenieprzypisukocowego">
    <w:name w:val="Zakotwiczenie przypisu końcowego"/>
    <w:rsid w:val="00747005"/>
    <w:rPr>
      <w:vertAlign w:val="superscript"/>
    </w:rPr>
  </w:style>
  <w:style w:type="character" w:customStyle="1" w:styleId="Znakiprzypiswkocowych">
    <w:name w:val="Znaki przypisów końcowych"/>
    <w:qFormat/>
    <w:rsid w:val="00747005"/>
  </w:style>
  <w:style w:type="character" w:customStyle="1" w:styleId="ListLabel26">
    <w:name w:val="ListLabel 26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7">
    <w:name w:val="ListLabel 27"/>
    <w:qFormat/>
    <w:rsid w:val="00747005"/>
    <w:rPr>
      <w:rFonts w:ascii="Arial" w:hAnsi="Arial" w:cs="Arial"/>
    </w:rPr>
  </w:style>
  <w:style w:type="character" w:customStyle="1" w:styleId="ListLabel28">
    <w:name w:val="ListLabel 28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29">
    <w:name w:val="ListLabel 29"/>
    <w:qFormat/>
    <w:rsid w:val="00747005"/>
    <w:rPr>
      <w:rFonts w:ascii="Arial" w:hAnsi="Arial" w:cs="Arial"/>
    </w:rPr>
  </w:style>
  <w:style w:type="character" w:customStyle="1" w:styleId="ListLabel30">
    <w:name w:val="ListLabel 30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31">
    <w:name w:val="ListLabel 31"/>
    <w:qFormat/>
    <w:rsid w:val="00747005"/>
    <w:rPr>
      <w:rFonts w:ascii="Arial" w:hAnsi="Arial" w:cs="Arial"/>
    </w:rPr>
  </w:style>
  <w:style w:type="character" w:customStyle="1" w:styleId="ListLabel32">
    <w:name w:val="ListLabel 32"/>
    <w:qFormat/>
    <w:rsid w:val="00747005"/>
    <w:rPr>
      <w:rFonts w:ascii="Arial" w:hAnsi="Arial"/>
      <w:b/>
      <w:i w:val="0"/>
      <w:color w:val="auto"/>
      <w:sz w:val="24"/>
      <w:szCs w:val="26"/>
    </w:rPr>
  </w:style>
  <w:style w:type="character" w:customStyle="1" w:styleId="ListLabel33">
    <w:name w:val="ListLabel 33"/>
    <w:qFormat/>
    <w:rsid w:val="00747005"/>
    <w:rPr>
      <w:rFonts w:ascii="Arial" w:hAnsi="Arial" w:cs="Arial"/>
    </w:rPr>
  </w:style>
  <w:style w:type="paragraph" w:styleId="Nagwek">
    <w:name w:val="header"/>
    <w:basedOn w:val="Normalny"/>
    <w:next w:val="Tekstpodstawowy"/>
    <w:link w:val="NagwekZnak"/>
    <w:qFormat/>
    <w:rsid w:val="0074700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sid w:val="00747005"/>
    <w:rPr>
      <w:rFonts w:cs="Arial"/>
    </w:rPr>
  </w:style>
  <w:style w:type="paragraph" w:customStyle="1" w:styleId="Caption">
    <w:name w:val="Caption"/>
    <w:basedOn w:val="Normalny"/>
    <w:qFormat/>
    <w:rsid w:val="0074700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47005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ootnoteText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customStyle="1" w:styleId="Header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LO-normal">
    <w:name w:val="LO-normal"/>
    <w:qFormat/>
    <w:rsid w:val="00747005"/>
    <w:rPr>
      <w:sz w:val="22"/>
    </w:rPr>
  </w:style>
  <w:style w:type="table" w:styleId="Tabela-Siatka">
    <w:name w:val="Table Grid"/>
    <w:basedOn w:val="Standardowy"/>
    <w:uiPriority w:val="39"/>
    <w:rsid w:val="00C42A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antosz@msl.or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48828-D30C-4D60-A3C4-0119B9B66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8</Pages>
  <Words>1659</Words>
  <Characters>9960</Characters>
  <Application>Microsoft Office Word</Application>
  <DocSecurity>0</DocSecurity>
  <Lines>83</Lines>
  <Paragraphs>23</Paragraphs>
  <ScaleCrop>false</ScaleCrop>
  <Company/>
  <LinksUpToDate>false</LinksUpToDate>
  <CharactersWithSpaces>11596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IBM</cp:lastModifiedBy>
  <cp:revision>9</cp:revision>
  <dcterms:created xsi:type="dcterms:W3CDTF">2020-10-14T07:17:00Z</dcterms:created>
  <dcterms:modified xsi:type="dcterms:W3CDTF">2021-01-18T08:07:00Z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