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A1A9" w14:textId="40768C30" w:rsidR="001413A9" w:rsidRPr="001413A9" w:rsidRDefault="001413A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54A66B" w14:textId="00119F5C" w:rsidR="001413A9" w:rsidRPr="001413A9" w:rsidRDefault="001413A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4AB19D" w14:textId="77777777" w:rsidR="00AE4E75" w:rsidRDefault="00AE4E75" w:rsidP="00AE4E75">
      <w:pPr>
        <w:tabs>
          <w:tab w:val="right" w:leader="dot" w:pos="284"/>
        </w:tabs>
        <w:autoSpaceDE w:val="0"/>
        <w:autoSpaceDN w:val="0"/>
        <w:spacing w:after="0" w:line="360" w:lineRule="auto"/>
        <w:ind w:left="425"/>
        <w:jc w:val="right"/>
        <w:rPr>
          <w:rFonts w:ascii="Times New Roman" w:hAnsi="Times New Roman" w:cs="Times New Roman"/>
          <w:sz w:val="20"/>
          <w:szCs w:val="20"/>
        </w:rPr>
      </w:pPr>
      <w:r w:rsidRPr="00DA7E67">
        <w:rPr>
          <w:rFonts w:ascii="Times New Roman" w:hAnsi="Times New Roman" w:cs="Times New Roman"/>
          <w:sz w:val="20"/>
          <w:szCs w:val="20"/>
        </w:rPr>
        <w:t>Załącznik nr 2 do SWZ</w:t>
      </w:r>
    </w:p>
    <w:p w14:paraId="378CB24C" w14:textId="77777777" w:rsidR="00AE4E75" w:rsidRPr="0049784D" w:rsidRDefault="00AE4E75" w:rsidP="00AE4E75">
      <w:pPr>
        <w:tabs>
          <w:tab w:val="right" w:leader="dot" w:pos="284"/>
        </w:tabs>
        <w:autoSpaceDE w:val="0"/>
        <w:autoSpaceDN w:val="0"/>
        <w:spacing w:after="0" w:line="360" w:lineRule="auto"/>
        <w:ind w:left="425"/>
        <w:jc w:val="right"/>
        <w:rPr>
          <w:rFonts w:ascii="Times New Roman" w:hAnsi="Times New Roman" w:cs="Times New Roman"/>
          <w:sz w:val="20"/>
          <w:szCs w:val="20"/>
        </w:rPr>
      </w:pPr>
    </w:p>
    <w:p w14:paraId="2BA0D46B" w14:textId="77777777" w:rsidR="00AE4E75" w:rsidRDefault="00AE4E75" w:rsidP="00AE4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przedmiotowy</w:t>
      </w:r>
    </w:p>
    <w:p w14:paraId="5401D94C" w14:textId="77777777" w:rsidR="00AE4E75" w:rsidRPr="0049784D" w:rsidRDefault="00AE4E75" w:rsidP="00AE4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2"/>
        <w:tblW w:w="9628" w:type="dxa"/>
        <w:tblLook w:val="04A0" w:firstRow="1" w:lastRow="0" w:firstColumn="1" w:lastColumn="0" w:noHBand="0" w:noVBand="1"/>
      </w:tblPr>
      <w:tblGrid>
        <w:gridCol w:w="603"/>
        <w:gridCol w:w="6622"/>
        <w:gridCol w:w="2403"/>
      </w:tblGrid>
      <w:tr w:rsidR="00AE4E75" w:rsidRPr="0049784D" w14:paraId="581AD8DC" w14:textId="77777777" w:rsidTr="00EC39A4">
        <w:tc>
          <w:tcPr>
            <w:tcW w:w="9628" w:type="dxa"/>
            <w:gridSpan w:val="3"/>
          </w:tcPr>
          <w:p w14:paraId="65FA1CF0" w14:textId="77777777" w:rsidR="00AE4E75" w:rsidRPr="0049784D" w:rsidRDefault="00AE4E75" w:rsidP="00EC39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497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rzedmiot zamówienia: </w:t>
            </w:r>
          </w:p>
          <w:p w14:paraId="47350558" w14:textId="77777777" w:rsidR="00AE4E75" w:rsidRPr="0049784D" w:rsidRDefault="00AE4E75" w:rsidP="00EC39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Spektrometr absorpcji atomowej z atomizacją elektrotermiczną (piec grafitowy) z możliwością atomizacji w płomieniu </w:t>
            </w:r>
          </w:p>
        </w:tc>
      </w:tr>
      <w:tr w:rsidR="00AE4E75" w:rsidRPr="0049784D" w14:paraId="1636E63B" w14:textId="77777777" w:rsidTr="00EC39A4">
        <w:tc>
          <w:tcPr>
            <w:tcW w:w="603" w:type="dxa"/>
            <w:vAlign w:val="center"/>
          </w:tcPr>
          <w:p w14:paraId="18FE4C3C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84D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6622" w:type="dxa"/>
            <w:vAlign w:val="center"/>
          </w:tcPr>
          <w:p w14:paraId="6EBF6B3E" w14:textId="77777777" w:rsidR="00AE4E75" w:rsidRDefault="00AE4E75" w:rsidP="00EC39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WYMAGANE</w:t>
            </w:r>
          </w:p>
          <w:p w14:paraId="4082145F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(określone parametry mają charakter obligatoryjny, nie spełnienie chociażby jednego parametru będzie skutkować odrzuceniem oferty)</w:t>
            </w:r>
          </w:p>
        </w:tc>
        <w:tc>
          <w:tcPr>
            <w:tcW w:w="2403" w:type="dxa"/>
          </w:tcPr>
          <w:p w14:paraId="59545B40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Oferowane </w:t>
            </w:r>
          </w:p>
          <w:p w14:paraId="143D7ED1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4D">
              <w:rPr>
                <w:rFonts w:ascii="Times New Roman" w:hAnsi="Times New Roman" w:cs="Times New Roman"/>
                <w:b/>
                <w:sz w:val="24"/>
                <w:szCs w:val="24"/>
              </w:rPr>
              <w:t>TAK/NIE</w:t>
            </w:r>
          </w:p>
        </w:tc>
      </w:tr>
      <w:tr w:rsidR="00AE4E75" w:rsidRPr="0049784D" w14:paraId="2AC4D534" w14:textId="77777777" w:rsidTr="00EC39A4">
        <w:tc>
          <w:tcPr>
            <w:tcW w:w="603" w:type="dxa"/>
            <w:vAlign w:val="center"/>
          </w:tcPr>
          <w:p w14:paraId="532B11CA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025" w:type="dxa"/>
            <w:gridSpan w:val="2"/>
            <w:vAlign w:val="center"/>
          </w:tcPr>
          <w:p w14:paraId="3656609A" w14:textId="77777777" w:rsidR="00AE4E75" w:rsidRPr="0049784D" w:rsidRDefault="00AE4E75" w:rsidP="00EC39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Moduł do pracy techniką z atomizacją elektrotermiczną (kuweta grafitowa) </w:t>
            </w:r>
          </w:p>
        </w:tc>
      </w:tr>
      <w:tr w:rsidR="00AE4E75" w:rsidRPr="0049784D" w14:paraId="3F9F7854" w14:textId="77777777" w:rsidTr="00EC39A4">
        <w:tc>
          <w:tcPr>
            <w:tcW w:w="603" w:type="dxa"/>
            <w:vAlign w:val="center"/>
          </w:tcPr>
          <w:p w14:paraId="5C33FCE3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622" w:type="dxa"/>
            <w:vAlign w:val="center"/>
          </w:tcPr>
          <w:p w14:paraId="517977DD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 xml:space="preserve">System jednowiązkowy, wyposażony w kuwetę grafitową oraz programowalny autosampler </w:t>
            </w:r>
          </w:p>
        </w:tc>
        <w:tc>
          <w:tcPr>
            <w:tcW w:w="2403" w:type="dxa"/>
          </w:tcPr>
          <w:p w14:paraId="3BF84C9A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2F3FA5E5" w14:textId="77777777" w:rsidTr="00EC39A4">
        <w:tc>
          <w:tcPr>
            <w:tcW w:w="603" w:type="dxa"/>
            <w:vAlign w:val="center"/>
          </w:tcPr>
          <w:p w14:paraId="63D7F3D3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622" w:type="dxa"/>
            <w:vAlign w:val="center"/>
          </w:tcPr>
          <w:p w14:paraId="6EB1C02A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 xml:space="preserve">Zakres spektralny nie mniejszy niż 185-900 </w:t>
            </w:r>
            <w:proofErr w:type="spellStart"/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2403" w:type="dxa"/>
          </w:tcPr>
          <w:p w14:paraId="3425F548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2596B450" w14:textId="77777777" w:rsidTr="00EC39A4">
        <w:tc>
          <w:tcPr>
            <w:tcW w:w="603" w:type="dxa"/>
            <w:vAlign w:val="center"/>
          </w:tcPr>
          <w:p w14:paraId="37CC1AC2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622" w:type="dxa"/>
            <w:vAlign w:val="center"/>
          </w:tcPr>
          <w:p w14:paraId="2C2B52C7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Monochromator o długości drogi optycznej nie mniej niż 25 cm</w:t>
            </w:r>
          </w:p>
        </w:tc>
        <w:tc>
          <w:tcPr>
            <w:tcW w:w="2403" w:type="dxa"/>
          </w:tcPr>
          <w:p w14:paraId="15136F04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3A4A765F" w14:textId="77777777" w:rsidTr="00EC39A4">
        <w:tc>
          <w:tcPr>
            <w:tcW w:w="603" w:type="dxa"/>
            <w:vAlign w:val="center"/>
          </w:tcPr>
          <w:p w14:paraId="21901BF5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622" w:type="dxa"/>
            <w:vAlign w:val="center"/>
          </w:tcPr>
          <w:p w14:paraId="308D5701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Siatka dyfrakcyjna nie mniej niż 1200 linii/mm</w:t>
            </w:r>
          </w:p>
        </w:tc>
        <w:tc>
          <w:tcPr>
            <w:tcW w:w="2403" w:type="dxa"/>
          </w:tcPr>
          <w:p w14:paraId="394F8267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7728521C" w14:textId="77777777" w:rsidTr="00EC39A4">
        <w:tc>
          <w:tcPr>
            <w:tcW w:w="603" w:type="dxa"/>
            <w:vAlign w:val="center"/>
          </w:tcPr>
          <w:p w14:paraId="55ABE2E4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622" w:type="dxa"/>
            <w:vAlign w:val="center"/>
          </w:tcPr>
          <w:p w14:paraId="3E2C3080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Fotopowielacz jako detektor</w:t>
            </w:r>
          </w:p>
        </w:tc>
        <w:tc>
          <w:tcPr>
            <w:tcW w:w="2403" w:type="dxa"/>
          </w:tcPr>
          <w:p w14:paraId="404D7904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13BB6FA4" w14:textId="77777777" w:rsidTr="00EC39A4">
        <w:tc>
          <w:tcPr>
            <w:tcW w:w="603" w:type="dxa"/>
            <w:vAlign w:val="center"/>
          </w:tcPr>
          <w:p w14:paraId="60E2FD32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622" w:type="dxa"/>
            <w:vAlign w:val="center"/>
          </w:tcPr>
          <w:p w14:paraId="7F185F45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Automatyczny wybór długości fali oraz szerokości szczeliny pomiarowej</w:t>
            </w:r>
          </w:p>
        </w:tc>
        <w:tc>
          <w:tcPr>
            <w:tcW w:w="2403" w:type="dxa"/>
          </w:tcPr>
          <w:p w14:paraId="650BE0C9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25881E7C" w14:textId="77777777" w:rsidTr="00EC39A4">
        <w:tc>
          <w:tcPr>
            <w:tcW w:w="603" w:type="dxa"/>
            <w:vAlign w:val="center"/>
          </w:tcPr>
          <w:p w14:paraId="18B69A48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622" w:type="dxa"/>
            <w:vAlign w:val="center"/>
          </w:tcPr>
          <w:p w14:paraId="30497C5F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 xml:space="preserve">Wybór szczeliny spektralnej w zakresie co najmniej 0.2 – 1.0 </w:t>
            </w:r>
            <w:proofErr w:type="spellStart"/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2403" w:type="dxa"/>
          </w:tcPr>
          <w:p w14:paraId="0E35158B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60A70944" w14:textId="77777777" w:rsidTr="00EC39A4">
        <w:tc>
          <w:tcPr>
            <w:tcW w:w="603" w:type="dxa"/>
            <w:vAlign w:val="center"/>
          </w:tcPr>
          <w:p w14:paraId="72063C3B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622" w:type="dxa"/>
            <w:vAlign w:val="center"/>
          </w:tcPr>
          <w:p w14:paraId="7441A4AF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 xml:space="preserve">Korekcja tła z wykorzystaniem efektu Zeemana </w:t>
            </w:r>
          </w:p>
        </w:tc>
        <w:tc>
          <w:tcPr>
            <w:tcW w:w="2403" w:type="dxa"/>
          </w:tcPr>
          <w:p w14:paraId="1557B427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4D09269B" w14:textId="77777777" w:rsidTr="00EC39A4">
        <w:tc>
          <w:tcPr>
            <w:tcW w:w="603" w:type="dxa"/>
            <w:vAlign w:val="center"/>
          </w:tcPr>
          <w:p w14:paraId="031B7263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622" w:type="dxa"/>
            <w:vAlign w:val="center"/>
          </w:tcPr>
          <w:p w14:paraId="4EFFFD08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Kuweta grafitowa pracująca w zakresie temperatury pieca do min. 3000</w:t>
            </w:r>
            <w:r w:rsidRPr="0049784D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403" w:type="dxa"/>
          </w:tcPr>
          <w:p w14:paraId="4D9AF72C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5B9AB813" w14:textId="77777777" w:rsidTr="00EC39A4">
        <w:tc>
          <w:tcPr>
            <w:tcW w:w="603" w:type="dxa"/>
            <w:vAlign w:val="center"/>
          </w:tcPr>
          <w:p w14:paraId="731AD70E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622" w:type="dxa"/>
            <w:vAlign w:val="center"/>
          </w:tcPr>
          <w:p w14:paraId="67B9309D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Uchwyty na min. cztery lampy z katodą wnękową, każdy z wbudowanym, niezależnym zasilaczem</w:t>
            </w:r>
          </w:p>
        </w:tc>
        <w:tc>
          <w:tcPr>
            <w:tcW w:w="2403" w:type="dxa"/>
          </w:tcPr>
          <w:p w14:paraId="468AF30B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6BAB01B7" w14:textId="77777777" w:rsidTr="00EC39A4">
        <w:tc>
          <w:tcPr>
            <w:tcW w:w="603" w:type="dxa"/>
            <w:vAlign w:val="center"/>
          </w:tcPr>
          <w:p w14:paraId="59948AE4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622" w:type="dxa"/>
            <w:vAlign w:val="center"/>
          </w:tcPr>
          <w:p w14:paraId="32A12C70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 xml:space="preserve">Wbudowany zasilacz umożliwiający pracę z co najmniej dwiema lampami </w:t>
            </w:r>
            <w:r w:rsidRPr="0049784D">
              <w:rPr>
                <w:rFonts w:ascii="Times New Roman" w:hAnsi="Times New Roman" w:cs="Times New Roman"/>
                <w:sz w:val="20"/>
                <w:szCs w:val="20"/>
              </w:rPr>
              <w:br/>
              <w:t>o podwyższonej intensywności</w:t>
            </w:r>
          </w:p>
        </w:tc>
        <w:tc>
          <w:tcPr>
            <w:tcW w:w="2403" w:type="dxa"/>
          </w:tcPr>
          <w:p w14:paraId="6C3295D5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61EE9548" w14:textId="77777777" w:rsidTr="00EC39A4">
        <w:tc>
          <w:tcPr>
            <w:tcW w:w="603" w:type="dxa"/>
            <w:vAlign w:val="center"/>
          </w:tcPr>
          <w:p w14:paraId="1A6DB4B5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622" w:type="dxa"/>
            <w:vAlign w:val="center"/>
          </w:tcPr>
          <w:p w14:paraId="7DBA3487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System rozpoznawania lamp kodowanych</w:t>
            </w:r>
          </w:p>
        </w:tc>
        <w:tc>
          <w:tcPr>
            <w:tcW w:w="2403" w:type="dxa"/>
          </w:tcPr>
          <w:p w14:paraId="6B7E28C2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372C5663" w14:textId="77777777" w:rsidTr="00EC39A4">
        <w:tc>
          <w:tcPr>
            <w:tcW w:w="603" w:type="dxa"/>
            <w:vAlign w:val="center"/>
          </w:tcPr>
          <w:p w14:paraId="18E1E046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6622" w:type="dxa"/>
            <w:vAlign w:val="center"/>
          </w:tcPr>
          <w:p w14:paraId="2C658D3C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Regulowane natężenie pola magnetycznego w zakresie co najmniej 0,1 – 0,8 Tesli</w:t>
            </w:r>
          </w:p>
        </w:tc>
        <w:tc>
          <w:tcPr>
            <w:tcW w:w="2403" w:type="dxa"/>
          </w:tcPr>
          <w:p w14:paraId="4EE80C4A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2109E756" w14:textId="77777777" w:rsidTr="00EC39A4">
        <w:tc>
          <w:tcPr>
            <w:tcW w:w="603" w:type="dxa"/>
            <w:vAlign w:val="center"/>
          </w:tcPr>
          <w:p w14:paraId="3AFAF632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6622" w:type="dxa"/>
            <w:vAlign w:val="center"/>
          </w:tcPr>
          <w:p w14:paraId="48C3BB06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Wbudowana kamera do podglądu wnętrza kuwety grafitowej (podczas etapu dozowania próbki, suszenia i pirolizy)</w:t>
            </w:r>
          </w:p>
        </w:tc>
        <w:tc>
          <w:tcPr>
            <w:tcW w:w="2403" w:type="dxa"/>
          </w:tcPr>
          <w:p w14:paraId="17EAAD60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5BC3E8B1" w14:textId="77777777" w:rsidTr="00EC39A4">
        <w:tc>
          <w:tcPr>
            <w:tcW w:w="603" w:type="dxa"/>
            <w:vAlign w:val="center"/>
          </w:tcPr>
          <w:p w14:paraId="13FC8F35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6622" w:type="dxa"/>
            <w:vAlign w:val="center"/>
          </w:tcPr>
          <w:p w14:paraId="5B0EAA3C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Komputerowe sterowanie przepływem gazów w kuwecie</w:t>
            </w:r>
          </w:p>
        </w:tc>
        <w:tc>
          <w:tcPr>
            <w:tcW w:w="2403" w:type="dxa"/>
          </w:tcPr>
          <w:p w14:paraId="5CA5B2A9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04B42FAA" w14:textId="77777777" w:rsidTr="00EC39A4">
        <w:tc>
          <w:tcPr>
            <w:tcW w:w="603" w:type="dxa"/>
            <w:vAlign w:val="center"/>
          </w:tcPr>
          <w:p w14:paraId="05C2AC57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6622" w:type="dxa"/>
            <w:vAlign w:val="center"/>
          </w:tcPr>
          <w:p w14:paraId="185A3783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 xml:space="preserve">Autosampler z tacą na co najmniej 50 próbek oraz nie mniej niż 5 pozycji na modyfikatory/wzorce z automatycznym dodawaniem modyfikatora matrycy </w:t>
            </w:r>
            <w:r w:rsidRPr="0049784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tzw. inteligentnym rozcieńczaniem (przygotowanie krzywej wzorcowej </w:t>
            </w:r>
            <w:r w:rsidRPr="0049784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jednego wzorca, samoczynny dobór rozcieńczenia przez system w przypadku próbek wykraczających poza zakres krzywej wzorcowej)  </w:t>
            </w:r>
          </w:p>
        </w:tc>
        <w:tc>
          <w:tcPr>
            <w:tcW w:w="2403" w:type="dxa"/>
          </w:tcPr>
          <w:p w14:paraId="58104F04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2638E80E" w14:textId="77777777" w:rsidTr="00EC39A4">
        <w:tc>
          <w:tcPr>
            <w:tcW w:w="603" w:type="dxa"/>
            <w:vAlign w:val="center"/>
          </w:tcPr>
          <w:p w14:paraId="0F952CC1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6622" w:type="dxa"/>
            <w:vAlign w:val="center"/>
          </w:tcPr>
          <w:p w14:paraId="68E2B117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 xml:space="preserve">System usuwania oparów znad kuwety grafitowej z podłączeniem do istniejącej instalacji wyciągowej. </w:t>
            </w:r>
          </w:p>
        </w:tc>
        <w:tc>
          <w:tcPr>
            <w:tcW w:w="2403" w:type="dxa"/>
          </w:tcPr>
          <w:p w14:paraId="5BB0BC69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2E1B1610" w14:textId="77777777" w:rsidTr="00EC39A4">
        <w:tc>
          <w:tcPr>
            <w:tcW w:w="603" w:type="dxa"/>
            <w:vAlign w:val="center"/>
          </w:tcPr>
          <w:p w14:paraId="702B27BE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6622" w:type="dxa"/>
            <w:vAlign w:val="center"/>
          </w:tcPr>
          <w:p w14:paraId="42A088E1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System wyposażony w lusterko z podświetleniem ułatwiającym podgląd portu nastrzykowego rurki grafitowej</w:t>
            </w:r>
          </w:p>
        </w:tc>
        <w:tc>
          <w:tcPr>
            <w:tcW w:w="2403" w:type="dxa"/>
          </w:tcPr>
          <w:p w14:paraId="23AFE619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318EE097" w14:textId="77777777" w:rsidTr="00EC39A4">
        <w:tc>
          <w:tcPr>
            <w:tcW w:w="603" w:type="dxa"/>
          </w:tcPr>
          <w:p w14:paraId="602A3A81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9025" w:type="dxa"/>
            <w:gridSpan w:val="2"/>
          </w:tcPr>
          <w:p w14:paraId="4F1346C5" w14:textId="77777777" w:rsidR="00AE4E75" w:rsidRPr="0049784D" w:rsidRDefault="00AE4E75" w:rsidP="00EC39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Moduł do pracy techniką płomieniową </w:t>
            </w:r>
          </w:p>
        </w:tc>
      </w:tr>
      <w:tr w:rsidR="00AE4E75" w:rsidRPr="0049784D" w14:paraId="4C663711" w14:textId="77777777" w:rsidTr="00EC39A4">
        <w:tc>
          <w:tcPr>
            <w:tcW w:w="603" w:type="dxa"/>
            <w:vAlign w:val="center"/>
          </w:tcPr>
          <w:p w14:paraId="514ABF58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6622" w:type="dxa"/>
            <w:vAlign w:val="center"/>
          </w:tcPr>
          <w:p w14:paraId="3B9B7F8A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System dwuwiązkowy</w:t>
            </w:r>
          </w:p>
        </w:tc>
        <w:tc>
          <w:tcPr>
            <w:tcW w:w="2403" w:type="dxa"/>
          </w:tcPr>
          <w:p w14:paraId="5778B28A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74377F12" w14:textId="77777777" w:rsidTr="00EC39A4">
        <w:tc>
          <w:tcPr>
            <w:tcW w:w="603" w:type="dxa"/>
            <w:vAlign w:val="center"/>
          </w:tcPr>
          <w:p w14:paraId="085B6657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6622" w:type="dxa"/>
            <w:vAlign w:val="center"/>
          </w:tcPr>
          <w:p w14:paraId="3571BEF2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 xml:space="preserve">Zakres spektralny nie węższy niż 185 - 900 </w:t>
            </w:r>
            <w:proofErr w:type="spellStart"/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2403" w:type="dxa"/>
          </w:tcPr>
          <w:p w14:paraId="67B70B40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1045280F" w14:textId="77777777" w:rsidTr="00EC39A4">
        <w:tc>
          <w:tcPr>
            <w:tcW w:w="603" w:type="dxa"/>
            <w:vAlign w:val="center"/>
          </w:tcPr>
          <w:p w14:paraId="1012DA2A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6622" w:type="dxa"/>
            <w:vAlign w:val="center"/>
          </w:tcPr>
          <w:p w14:paraId="3E484437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Monochromator o długości drogi optycznej nie mniej niż 25 cm</w:t>
            </w:r>
          </w:p>
        </w:tc>
        <w:tc>
          <w:tcPr>
            <w:tcW w:w="2403" w:type="dxa"/>
          </w:tcPr>
          <w:p w14:paraId="756DCC57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0E8402F8" w14:textId="77777777" w:rsidTr="00EC39A4">
        <w:tc>
          <w:tcPr>
            <w:tcW w:w="603" w:type="dxa"/>
            <w:vAlign w:val="center"/>
          </w:tcPr>
          <w:p w14:paraId="481E8411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6622" w:type="dxa"/>
            <w:vAlign w:val="center"/>
          </w:tcPr>
          <w:p w14:paraId="55BD57FE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Szybkość skanowania monochromatora nie mniejsza niż 2000 </w:t>
            </w:r>
            <w:proofErr w:type="spellStart"/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nm</w:t>
            </w:r>
            <w:proofErr w:type="spellEnd"/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/min</w:t>
            </w:r>
          </w:p>
        </w:tc>
        <w:tc>
          <w:tcPr>
            <w:tcW w:w="2403" w:type="dxa"/>
          </w:tcPr>
          <w:p w14:paraId="5BE5809E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5D57CE77" w14:textId="77777777" w:rsidTr="00EC39A4">
        <w:tc>
          <w:tcPr>
            <w:tcW w:w="603" w:type="dxa"/>
            <w:vAlign w:val="center"/>
          </w:tcPr>
          <w:p w14:paraId="7972A833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6622" w:type="dxa"/>
            <w:vAlign w:val="center"/>
          </w:tcPr>
          <w:p w14:paraId="3EABB100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Siatka dyfrakcyjna nie mniej niż 1200 linii/mm</w:t>
            </w:r>
          </w:p>
        </w:tc>
        <w:tc>
          <w:tcPr>
            <w:tcW w:w="2403" w:type="dxa"/>
          </w:tcPr>
          <w:p w14:paraId="5BB22C3C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6FB49F4F" w14:textId="77777777" w:rsidTr="00EC39A4">
        <w:tc>
          <w:tcPr>
            <w:tcW w:w="603" w:type="dxa"/>
            <w:vAlign w:val="center"/>
          </w:tcPr>
          <w:p w14:paraId="0C988ED0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6622" w:type="dxa"/>
            <w:vAlign w:val="center"/>
          </w:tcPr>
          <w:p w14:paraId="53AB8466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Fotopowielacz jako detektor</w:t>
            </w:r>
          </w:p>
        </w:tc>
        <w:tc>
          <w:tcPr>
            <w:tcW w:w="2403" w:type="dxa"/>
          </w:tcPr>
          <w:p w14:paraId="760317CA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715B600D" w14:textId="77777777" w:rsidTr="00EC39A4">
        <w:tc>
          <w:tcPr>
            <w:tcW w:w="603" w:type="dxa"/>
            <w:vAlign w:val="center"/>
          </w:tcPr>
          <w:p w14:paraId="7F508E82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6622" w:type="dxa"/>
            <w:vAlign w:val="center"/>
          </w:tcPr>
          <w:p w14:paraId="50781852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Deuterowa korekcja tła</w:t>
            </w:r>
          </w:p>
        </w:tc>
        <w:tc>
          <w:tcPr>
            <w:tcW w:w="2403" w:type="dxa"/>
          </w:tcPr>
          <w:p w14:paraId="2A49EED0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3DFDD6FF" w14:textId="77777777" w:rsidTr="00EC39A4">
        <w:tc>
          <w:tcPr>
            <w:tcW w:w="603" w:type="dxa"/>
            <w:vAlign w:val="center"/>
          </w:tcPr>
          <w:p w14:paraId="5980BF4B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6622" w:type="dxa"/>
            <w:vAlign w:val="center"/>
          </w:tcPr>
          <w:p w14:paraId="3B3781BA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Automatyczny wybór długości fali oraz szerokości szczeliny pomiarowej</w:t>
            </w:r>
          </w:p>
        </w:tc>
        <w:tc>
          <w:tcPr>
            <w:tcW w:w="2403" w:type="dxa"/>
          </w:tcPr>
          <w:p w14:paraId="5B78A279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07226427" w14:textId="77777777" w:rsidTr="00EC39A4">
        <w:tc>
          <w:tcPr>
            <w:tcW w:w="603" w:type="dxa"/>
            <w:vAlign w:val="center"/>
          </w:tcPr>
          <w:p w14:paraId="4E2DC2B6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6622" w:type="dxa"/>
            <w:vAlign w:val="center"/>
          </w:tcPr>
          <w:p w14:paraId="4C93A44C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 xml:space="preserve">Wybór szczeliny spektralnej w zakresie co najmniej 0.2 – 1.0 </w:t>
            </w:r>
            <w:proofErr w:type="spellStart"/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2403" w:type="dxa"/>
          </w:tcPr>
          <w:p w14:paraId="5712CBD4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24CCB67D" w14:textId="77777777" w:rsidTr="00EC39A4">
        <w:tc>
          <w:tcPr>
            <w:tcW w:w="603" w:type="dxa"/>
            <w:vAlign w:val="center"/>
          </w:tcPr>
          <w:p w14:paraId="4D68E15E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6622" w:type="dxa"/>
            <w:vAlign w:val="center"/>
          </w:tcPr>
          <w:p w14:paraId="4B9AABA3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Uchwyty na min. cztery lampy z katodą wnękową, każdy z wbudowanym, niezależnym zasilaczem</w:t>
            </w:r>
          </w:p>
        </w:tc>
        <w:tc>
          <w:tcPr>
            <w:tcW w:w="2403" w:type="dxa"/>
          </w:tcPr>
          <w:p w14:paraId="07B779EA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0E76FA2D" w14:textId="77777777" w:rsidTr="00EC39A4">
        <w:tc>
          <w:tcPr>
            <w:tcW w:w="603" w:type="dxa"/>
            <w:vAlign w:val="center"/>
          </w:tcPr>
          <w:p w14:paraId="5C81A0E4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6622" w:type="dxa"/>
            <w:vAlign w:val="center"/>
          </w:tcPr>
          <w:p w14:paraId="74062F9B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System rozpoznawania lamp kodowanych</w:t>
            </w:r>
          </w:p>
        </w:tc>
        <w:tc>
          <w:tcPr>
            <w:tcW w:w="2403" w:type="dxa"/>
          </w:tcPr>
          <w:p w14:paraId="2C5D32EA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00E42380" w14:textId="77777777" w:rsidTr="00EC39A4">
        <w:tc>
          <w:tcPr>
            <w:tcW w:w="603" w:type="dxa"/>
            <w:vAlign w:val="center"/>
          </w:tcPr>
          <w:p w14:paraId="0568488C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6622" w:type="dxa"/>
            <w:vAlign w:val="center"/>
          </w:tcPr>
          <w:p w14:paraId="0CB3DF2E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 xml:space="preserve">Odczyt wiązki badanej i wiązki odniesienia w trakcie pomiaru z częstotliwością nie mniejszą niż 50 </w:t>
            </w:r>
            <w:proofErr w:type="spellStart"/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2403" w:type="dxa"/>
          </w:tcPr>
          <w:p w14:paraId="6B85A3A7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2ACB8570" w14:textId="77777777" w:rsidTr="00EC39A4">
        <w:tc>
          <w:tcPr>
            <w:tcW w:w="603" w:type="dxa"/>
            <w:vAlign w:val="center"/>
          </w:tcPr>
          <w:p w14:paraId="4B329348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6622" w:type="dxa"/>
            <w:vAlign w:val="center"/>
          </w:tcPr>
          <w:p w14:paraId="6E490A52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Automatyczne przełączanie pomiędzy różnymi typami gazów</w:t>
            </w:r>
          </w:p>
        </w:tc>
        <w:tc>
          <w:tcPr>
            <w:tcW w:w="2403" w:type="dxa"/>
          </w:tcPr>
          <w:p w14:paraId="031DD6F1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717531B0" w14:textId="77777777" w:rsidTr="00EC39A4">
        <w:tc>
          <w:tcPr>
            <w:tcW w:w="603" w:type="dxa"/>
            <w:vAlign w:val="center"/>
          </w:tcPr>
          <w:p w14:paraId="5CCAE1C5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6622" w:type="dxa"/>
            <w:vAlign w:val="center"/>
          </w:tcPr>
          <w:p w14:paraId="6E44295E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Programowalny system kontroli gazów</w:t>
            </w:r>
          </w:p>
        </w:tc>
        <w:tc>
          <w:tcPr>
            <w:tcW w:w="2403" w:type="dxa"/>
          </w:tcPr>
          <w:p w14:paraId="47F3DD14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79C9D46B" w14:textId="77777777" w:rsidTr="00EC39A4">
        <w:tc>
          <w:tcPr>
            <w:tcW w:w="603" w:type="dxa"/>
            <w:vAlign w:val="center"/>
          </w:tcPr>
          <w:p w14:paraId="38001C95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6622" w:type="dxa"/>
            <w:vAlign w:val="center"/>
          </w:tcPr>
          <w:p w14:paraId="77554C7A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Palnik acetylen-powietrze o szczelinie 10 cm</w:t>
            </w:r>
          </w:p>
        </w:tc>
        <w:tc>
          <w:tcPr>
            <w:tcW w:w="2403" w:type="dxa"/>
          </w:tcPr>
          <w:p w14:paraId="1E63E80C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7F13A6CE" w14:textId="77777777" w:rsidTr="00EC39A4">
        <w:tc>
          <w:tcPr>
            <w:tcW w:w="603" w:type="dxa"/>
            <w:vAlign w:val="center"/>
          </w:tcPr>
          <w:p w14:paraId="4EE718B0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6622" w:type="dxa"/>
            <w:vAlign w:val="center"/>
          </w:tcPr>
          <w:p w14:paraId="12AAEFAE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Zapewniający szybką analizę wielopierwiastkową</w:t>
            </w:r>
          </w:p>
          <w:p w14:paraId="42B9B496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(pomiar absorbancji wszystkich analizowanych pierwiastków w jednej próbce zanim nastąpi pomiar tych samych pierwiastków w próbce następnej, czas analizy do 10 pierwiastków w próbce w czasie poniżej 2 minut)</w:t>
            </w:r>
          </w:p>
        </w:tc>
        <w:tc>
          <w:tcPr>
            <w:tcW w:w="2403" w:type="dxa"/>
          </w:tcPr>
          <w:p w14:paraId="6951B82E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1DA1EBC7" w14:textId="77777777" w:rsidTr="00EC39A4">
        <w:tc>
          <w:tcPr>
            <w:tcW w:w="603" w:type="dxa"/>
            <w:vAlign w:val="center"/>
          </w:tcPr>
          <w:p w14:paraId="2FF334D5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6622" w:type="dxa"/>
            <w:vAlign w:val="center"/>
          </w:tcPr>
          <w:p w14:paraId="203E9CEF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Komora mgielna przystosowana do pracy z roztworami wodno-kwaśnymi</w:t>
            </w:r>
          </w:p>
        </w:tc>
        <w:tc>
          <w:tcPr>
            <w:tcW w:w="2403" w:type="dxa"/>
          </w:tcPr>
          <w:p w14:paraId="1D17303A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6C3BF588" w14:textId="77777777" w:rsidTr="00EC39A4">
        <w:tc>
          <w:tcPr>
            <w:tcW w:w="603" w:type="dxa"/>
            <w:vAlign w:val="center"/>
          </w:tcPr>
          <w:p w14:paraId="67DEE870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6622" w:type="dxa"/>
            <w:vAlign w:val="center"/>
          </w:tcPr>
          <w:p w14:paraId="6D8804E6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Zapewniający płynną regulację (zmianę) szybkości zasysania (przepływu) próbki</w:t>
            </w:r>
          </w:p>
        </w:tc>
        <w:tc>
          <w:tcPr>
            <w:tcW w:w="2403" w:type="dxa"/>
          </w:tcPr>
          <w:p w14:paraId="1630E132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6086A813" w14:textId="77777777" w:rsidTr="00EC39A4">
        <w:tc>
          <w:tcPr>
            <w:tcW w:w="603" w:type="dxa"/>
            <w:vAlign w:val="center"/>
          </w:tcPr>
          <w:p w14:paraId="53474F5A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6622" w:type="dxa"/>
            <w:vAlign w:val="center"/>
          </w:tcPr>
          <w:p w14:paraId="71BC0DBA" w14:textId="77777777" w:rsidR="00AE4E75" w:rsidRPr="0049784D" w:rsidRDefault="00AE4E75" w:rsidP="00EC39A4">
            <w:pPr>
              <w:tabs>
                <w:tab w:val="left" w:pos="851"/>
                <w:tab w:val="lef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Musi posiadać systemem wprowadzania próbki oparty na dwóch pompach perystaltycznych umożliwiający automatyczne:</w:t>
            </w:r>
          </w:p>
          <w:p w14:paraId="56679733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- tworzenie krzywej kalibracyjnej z jednego wzorca</w:t>
            </w:r>
          </w:p>
          <w:p w14:paraId="5F205877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- rozcieńczanie próbek w trybie „on-line”</w:t>
            </w:r>
          </w:p>
          <w:p w14:paraId="76EEBE5F" w14:textId="77777777" w:rsidR="00AE4E75" w:rsidRPr="0049784D" w:rsidRDefault="00AE4E75" w:rsidP="00EC39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- dodatek standardu wewnętrznego</w:t>
            </w:r>
          </w:p>
        </w:tc>
        <w:tc>
          <w:tcPr>
            <w:tcW w:w="2403" w:type="dxa"/>
          </w:tcPr>
          <w:p w14:paraId="400A26FE" w14:textId="77777777" w:rsidR="00AE4E75" w:rsidRPr="0049784D" w:rsidRDefault="00AE4E75" w:rsidP="00EC39A4">
            <w:pPr>
              <w:tabs>
                <w:tab w:val="left" w:pos="851"/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62104068" w14:textId="77777777" w:rsidTr="00EC39A4">
        <w:tc>
          <w:tcPr>
            <w:tcW w:w="603" w:type="dxa"/>
            <w:vAlign w:val="center"/>
          </w:tcPr>
          <w:p w14:paraId="28EADDE2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6622" w:type="dxa"/>
            <w:vAlign w:val="center"/>
          </w:tcPr>
          <w:p w14:paraId="554F000A" w14:textId="77777777" w:rsidR="00AE4E75" w:rsidRPr="0049784D" w:rsidRDefault="00AE4E75" w:rsidP="00EC39A4">
            <w:pPr>
              <w:tabs>
                <w:tab w:val="left" w:pos="851"/>
                <w:tab w:val="left" w:pos="9639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 xml:space="preserve">Możliwość współpracy z przystawką do generacji wodorków do pracy w trybie ciągłym (przepływowym). </w:t>
            </w:r>
          </w:p>
        </w:tc>
        <w:tc>
          <w:tcPr>
            <w:tcW w:w="2403" w:type="dxa"/>
          </w:tcPr>
          <w:p w14:paraId="52C170C6" w14:textId="77777777" w:rsidR="00AE4E75" w:rsidRPr="0049784D" w:rsidRDefault="00AE4E75" w:rsidP="00EC39A4">
            <w:pPr>
              <w:tabs>
                <w:tab w:val="left" w:pos="851"/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4C33AD3D" w14:textId="77777777" w:rsidTr="00EC39A4">
        <w:tc>
          <w:tcPr>
            <w:tcW w:w="603" w:type="dxa"/>
            <w:vAlign w:val="center"/>
          </w:tcPr>
          <w:p w14:paraId="2483C5E0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9025" w:type="dxa"/>
            <w:gridSpan w:val="2"/>
            <w:vAlign w:val="center"/>
          </w:tcPr>
          <w:p w14:paraId="6E4AF205" w14:textId="77777777" w:rsidR="00AE4E75" w:rsidRPr="0049784D" w:rsidRDefault="00AE4E75" w:rsidP="00EC39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Wymagane wyposażenie oraz sterowanie modułami </w:t>
            </w:r>
          </w:p>
        </w:tc>
      </w:tr>
      <w:tr w:rsidR="00AE4E75" w:rsidRPr="0049784D" w14:paraId="7EACACCA" w14:textId="77777777" w:rsidTr="00EC39A4">
        <w:tc>
          <w:tcPr>
            <w:tcW w:w="603" w:type="dxa"/>
            <w:vAlign w:val="center"/>
          </w:tcPr>
          <w:p w14:paraId="7589EE13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6622" w:type="dxa"/>
            <w:vAlign w:val="center"/>
          </w:tcPr>
          <w:p w14:paraId="477F44D7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 xml:space="preserve">Zapewniający sterowanie modułami oraz prowadzenie analiz w technice płomieniowej oraz kuwety grafitowej w tym samym czasie z poziomu jednego komputera z jednego i tego samego oprogramowania </w:t>
            </w:r>
          </w:p>
        </w:tc>
        <w:tc>
          <w:tcPr>
            <w:tcW w:w="2403" w:type="dxa"/>
          </w:tcPr>
          <w:p w14:paraId="7880C258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5C1F6CD4" w14:textId="77777777" w:rsidTr="00EC39A4">
        <w:tc>
          <w:tcPr>
            <w:tcW w:w="603" w:type="dxa"/>
            <w:vAlign w:val="center"/>
          </w:tcPr>
          <w:p w14:paraId="416DC748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6622" w:type="dxa"/>
          </w:tcPr>
          <w:p w14:paraId="2B82DF69" w14:textId="0EB73A0C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 xml:space="preserve">Oprogramowanie sterujące modułami </w:t>
            </w:r>
            <w:r w:rsidRPr="004978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 języku polskim</w:t>
            </w: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 xml:space="preserve">: 64-bitowe umożliwiające pracę spektrometru we wszystkich trybach pracy (FAAS, ETAAS, HGAAS), monitorowanie </w:t>
            </w:r>
            <w:r w:rsidRPr="0049784D">
              <w:rPr>
                <w:rFonts w:ascii="Times New Roman" w:hAnsi="Times New Roman" w:cs="Times New Roman"/>
                <w:sz w:val="20"/>
                <w:szCs w:val="20"/>
              </w:rPr>
              <w:br/>
              <w:t>i sterowanie wszystkimi funkcjami i parametrami aparatu, zbierające dane, dające możliwość wyboru algorytmu krzywej (co najmniej algorytm liniowy, kwadratowy), statystyczną kontrolę wyników i kalibracji, przygotowanie raportów, automatyczny dobór czasu integracji sygnału przy zadanym poziomie % RSD w technice płomieniowej, automatyczny dobór i optymalizacja programu temperaturowego kuwety grafitowej</w:t>
            </w:r>
          </w:p>
        </w:tc>
        <w:tc>
          <w:tcPr>
            <w:tcW w:w="2403" w:type="dxa"/>
          </w:tcPr>
          <w:p w14:paraId="56C19935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2B6A6F06" w14:textId="77777777" w:rsidTr="00EC39A4">
        <w:tc>
          <w:tcPr>
            <w:tcW w:w="603" w:type="dxa"/>
            <w:vAlign w:val="center"/>
          </w:tcPr>
          <w:p w14:paraId="3C9EF468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6622" w:type="dxa"/>
          </w:tcPr>
          <w:p w14:paraId="39130922" w14:textId="25080008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75251110"/>
            <w:r w:rsidRPr="0049784D">
              <w:rPr>
                <w:rFonts w:ascii="Times New Roman" w:hAnsi="Times New Roman" w:cs="Times New Roman"/>
                <w:sz w:val="20"/>
                <w:szCs w:val="20"/>
              </w:rPr>
              <w:t xml:space="preserve">Zestaw komputerowy </w:t>
            </w:r>
            <w:r w:rsidR="00337566">
              <w:rPr>
                <w:rFonts w:ascii="Times New Roman" w:hAnsi="Times New Roman" w:cs="Times New Roman"/>
                <w:sz w:val="20"/>
                <w:szCs w:val="20"/>
              </w:rPr>
              <w:t xml:space="preserve">o parametrach odpowiednich do </w:t>
            </w:r>
            <w:r w:rsidR="007A7362">
              <w:rPr>
                <w:rFonts w:ascii="Times New Roman" w:hAnsi="Times New Roman" w:cs="Times New Roman"/>
                <w:sz w:val="20"/>
                <w:szCs w:val="20"/>
              </w:rPr>
              <w:t xml:space="preserve">obsługiwania oprogramowania i sprzętu, </w:t>
            </w: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 xml:space="preserve"> min</w:t>
            </w:r>
            <w:r w:rsidR="00C43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 xml:space="preserve"> 6 szt. portów USB wyprowadzonych na zewnątrz komputera, klawiatura USB, mysz laserowa USB, monitor min. 24 cale</w:t>
            </w:r>
            <w:r w:rsidRPr="0049784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, system </w:t>
            </w:r>
            <w:r w:rsidR="0031050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operacyjny</w:t>
            </w: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 xml:space="preserve"> odpowiedni do zainstalowanego oprogramowania sterującego zestawem, drukarka laserowa</w:t>
            </w:r>
            <w:bookmarkEnd w:id="0"/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3" w:type="dxa"/>
          </w:tcPr>
          <w:p w14:paraId="2A521E8A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54E30D4C" w14:textId="77777777" w:rsidTr="00EC39A4">
        <w:tc>
          <w:tcPr>
            <w:tcW w:w="603" w:type="dxa"/>
            <w:vAlign w:val="center"/>
          </w:tcPr>
          <w:p w14:paraId="2D31F952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6622" w:type="dxa"/>
            <w:vAlign w:val="center"/>
          </w:tcPr>
          <w:p w14:paraId="713684D8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Cichy, bezolejowy kompresor powietrza do techniki płomieniowej</w:t>
            </w:r>
          </w:p>
        </w:tc>
        <w:tc>
          <w:tcPr>
            <w:tcW w:w="2403" w:type="dxa"/>
          </w:tcPr>
          <w:p w14:paraId="53934C4D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4DAB45EE" w14:textId="77777777" w:rsidTr="00EC39A4">
        <w:tc>
          <w:tcPr>
            <w:tcW w:w="603" w:type="dxa"/>
            <w:vAlign w:val="center"/>
          </w:tcPr>
          <w:p w14:paraId="258208F5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6622" w:type="dxa"/>
            <w:vAlign w:val="center"/>
          </w:tcPr>
          <w:p w14:paraId="089E6B82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 xml:space="preserve">Zamknięty system chłodzenia do kuwety grafitowej z obiegiem wymuszonym </w:t>
            </w:r>
            <w:r w:rsidRPr="0049784D">
              <w:rPr>
                <w:rFonts w:ascii="Times New Roman" w:hAnsi="Times New Roman" w:cs="Times New Roman"/>
                <w:sz w:val="20"/>
                <w:szCs w:val="20"/>
              </w:rPr>
              <w:br/>
              <w:t>z cyfrową kontrolą temperatury</w:t>
            </w:r>
          </w:p>
        </w:tc>
        <w:tc>
          <w:tcPr>
            <w:tcW w:w="2403" w:type="dxa"/>
          </w:tcPr>
          <w:p w14:paraId="408F1F29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77B36985" w14:textId="77777777" w:rsidTr="00EC39A4">
        <w:tc>
          <w:tcPr>
            <w:tcW w:w="603" w:type="dxa"/>
            <w:vAlign w:val="center"/>
          </w:tcPr>
          <w:p w14:paraId="3EA693BA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6622" w:type="dxa"/>
          </w:tcPr>
          <w:p w14:paraId="177E1F5D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- Zestaw kodowanych lamp pierwiastkowych:</w:t>
            </w:r>
          </w:p>
          <w:p w14:paraId="5C85EFA0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1 lampa katodowa HCL wielopierwiastkowa o podwyższonej intensywności - Pb/Cd</w:t>
            </w:r>
          </w:p>
          <w:p w14:paraId="1946B9D9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- Zestaw kodowanych lamp pierwiastkowych:</w:t>
            </w:r>
          </w:p>
          <w:p w14:paraId="495482D0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 xml:space="preserve">8 lamp katodowych HCL jednopierwiastkowych - Fe, Mn, Na, Cr, Ni, Cu, </w:t>
            </w:r>
            <w:proofErr w:type="spellStart"/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Zn,K</w:t>
            </w:r>
            <w:proofErr w:type="spellEnd"/>
          </w:p>
        </w:tc>
        <w:tc>
          <w:tcPr>
            <w:tcW w:w="2403" w:type="dxa"/>
          </w:tcPr>
          <w:p w14:paraId="4A2B3C41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785A23BF" w14:textId="77777777" w:rsidTr="00EC39A4">
        <w:tc>
          <w:tcPr>
            <w:tcW w:w="603" w:type="dxa"/>
            <w:vAlign w:val="center"/>
          </w:tcPr>
          <w:p w14:paraId="38E40056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6622" w:type="dxa"/>
            <w:vAlign w:val="center"/>
          </w:tcPr>
          <w:p w14:paraId="1DEDC82C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Kuwetki grafitowe pokrywane pirolitycznie: nie mniej niż 30 szt.</w:t>
            </w:r>
          </w:p>
          <w:p w14:paraId="46250D29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Naczynka 2 ml do autosamplera: nie mniej niż 3000 szt.</w:t>
            </w:r>
          </w:p>
          <w:p w14:paraId="1676BB2F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Naczynia na wzorce/modyfikatory do autosamplera: nie mniej niż 5 szt.</w:t>
            </w:r>
          </w:p>
          <w:p w14:paraId="63F7B305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Wymienna kapilara próbkująca autosamplera: nie mniej niż 5 szt.</w:t>
            </w:r>
          </w:p>
          <w:p w14:paraId="309BA274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Rurka koncentrująca atomy do techniki płomieniowej dla zwiększenia czułości analiz: nie mniej niż 10 szt.</w:t>
            </w:r>
          </w:p>
          <w:p w14:paraId="5DB41B99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Uchwyt do rurki koncentrującej atomy: 1 szt.</w:t>
            </w:r>
          </w:p>
        </w:tc>
        <w:tc>
          <w:tcPr>
            <w:tcW w:w="2403" w:type="dxa"/>
          </w:tcPr>
          <w:p w14:paraId="6193A627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4DE2696E" w14:textId="77777777" w:rsidTr="00EC39A4">
        <w:tc>
          <w:tcPr>
            <w:tcW w:w="603" w:type="dxa"/>
            <w:vAlign w:val="center"/>
          </w:tcPr>
          <w:p w14:paraId="351A40B6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6622" w:type="dxa"/>
            <w:vAlign w:val="center"/>
          </w:tcPr>
          <w:p w14:paraId="4B31565D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Laboratoryjny demineralizator</w:t>
            </w:r>
            <w:r w:rsidRPr="0049784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wody oczyszczonej produkujący wodę klasy I oraz klasy II. Otrzymana woda musi mieć zastosowanie do analiz instrumentalnych AAS.</w:t>
            </w:r>
          </w:p>
          <w:p w14:paraId="3ECB1C3B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Zapas materiałów zużywalnych na co najmniej 2 lata pracy.</w:t>
            </w:r>
          </w:p>
        </w:tc>
        <w:tc>
          <w:tcPr>
            <w:tcW w:w="2403" w:type="dxa"/>
          </w:tcPr>
          <w:p w14:paraId="1106D33C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71434859" w14:textId="77777777" w:rsidTr="00EC39A4">
        <w:tc>
          <w:tcPr>
            <w:tcW w:w="603" w:type="dxa"/>
            <w:vAlign w:val="center"/>
          </w:tcPr>
          <w:p w14:paraId="01F3897D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6622" w:type="dxa"/>
            <w:vAlign w:val="center"/>
          </w:tcPr>
          <w:p w14:paraId="76EE42CB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Stół laboratoryjny pod oferowany spektrometr o wysokości 850 mm nieprzekraczający długości 2600 mm</w:t>
            </w:r>
          </w:p>
        </w:tc>
        <w:tc>
          <w:tcPr>
            <w:tcW w:w="2403" w:type="dxa"/>
          </w:tcPr>
          <w:p w14:paraId="2D856368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28BE0237" w14:textId="77777777" w:rsidTr="00EC39A4">
        <w:tc>
          <w:tcPr>
            <w:tcW w:w="603" w:type="dxa"/>
            <w:vAlign w:val="center"/>
          </w:tcPr>
          <w:p w14:paraId="3D3B67AF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6622" w:type="dxa"/>
            <w:vAlign w:val="center"/>
          </w:tcPr>
          <w:p w14:paraId="2B05670A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Przewody elastyczne do podłączenia gazów</w:t>
            </w:r>
          </w:p>
        </w:tc>
        <w:tc>
          <w:tcPr>
            <w:tcW w:w="2403" w:type="dxa"/>
          </w:tcPr>
          <w:p w14:paraId="094EA288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53B24A54" w14:textId="77777777" w:rsidTr="00EC39A4">
        <w:tc>
          <w:tcPr>
            <w:tcW w:w="603" w:type="dxa"/>
            <w:vAlign w:val="center"/>
          </w:tcPr>
          <w:p w14:paraId="1C67C469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9025" w:type="dxa"/>
            <w:gridSpan w:val="2"/>
            <w:vAlign w:val="center"/>
          </w:tcPr>
          <w:p w14:paraId="53E6AE1C" w14:textId="77777777" w:rsidR="00AE4E75" w:rsidRPr="0049784D" w:rsidRDefault="00AE4E75" w:rsidP="00EC39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Wymagania ogólne:</w:t>
            </w:r>
          </w:p>
        </w:tc>
      </w:tr>
      <w:tr w:rsidR="00AE4E75" w:rsidRPr="0049784D" w14:paraId="1708CA1C" w14:textId="77777777" w:rsidTr="00EC39A4">
        <w:tc>
          <w:tcPr>
            <w:tcW w:w="603" w:type="dxa"/>
            <w:vAlign w:val="center"/>
          </w:tcPr>
          <w:p w14:paraId="79DA5067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6622" w:type="dxa"/>
            <w:vAlign w:val="center"/>
          </w:tcPr>
          <w:p w14:paraId="474B8218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Dostawa fabrycznie nowego przedmiotu zamówienia pod wskazany adres oraz instalacja i uruchomienie w laboratorium Zamawiającego (sprzęt fabrycznie nowy z bieżącej produkcji producenta rok produkcji 2023 – aktualnie oferowany model)</w:t>
            </w:r>
          </w:p>
        </w:tc>
        <w:tc>
          <w:tcPr>
            <w:tcW w:w="2403" w:type="dxa"/>
          </w:tcPr>
          <w:p w14:paraId="36CAA42B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592B73DE" w14:textId="77777777" w:rsidTr="00EC39A4">
        <w:tc>
          <w:tcPr>
            <w:tcW w:w="603" w:type="dxa"/>
            <w:vAlign w:val="center"/>
          </w:tcPr>
          <w:p w14:paraId="473E4866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6622" w:type="dxa"/>
            <w:vAlign w:val="center"/>
          </w:tcPr>
          <w:p w14:paraId="3B6C3BAF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Musi obejmować podłączenie do istniejącej instalacji wyciągowej oraz gazowej dostępnej w laboratorium</w:t>
            </w:r>
          </w:p>
        </w:tc>
        <w:tc>
          <w:tcPr>
            <w:tcW w:w="2403" w:type="dxa"/>
          </w:tcPr>
          <w:p w14:paraId="423A7F1E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41C50941" w14:textId="77777777" w:rsidTr="00EC39A4">
        <w:tc>
          <w:tcPr>
            <w:tcW w:w="603" w:type="dxa"/>
            <w:vAlign w:val="center"/>
          </w:tcPr>
          <w:p w14:paraId="730900E9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6622" w:type="dxa"/>
            <w:vAlign w:val="center"/>
          </w:tcPr>
          <w:p w14:paraId="3B74CEC0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Minimum 24 miesięczna gwarancja</w:t>
            </w:r>
          </w:p>
        </w:tc>
        <w:tc>
          <w:tcPr>
            <w:tcW w:w="2403" w:type="dxa"/>
          </w:tcPr>
          <w:p w14:paraId="0B2C6901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1C65CD85" w14:textId="77777777" w:rsidTr="00EC39A4">
        <w:tc>
          <w:tcPr>
            <w:tcW w:w="603" w:type="dxa"/>
            <w:vAlign w:val="center"/>
          </w:tcPr>
          <w:p w14:paraId="3F00DDCD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6622" w:type="dxa"/>
            <w:vAlign w:val="center"/>
          </w:tcPr>
          <w:p w14:paraId="1F49DD7D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Autoryzowany serwis gwarancyjny i pogwarancyjny na terenie Polski (serwis świadczony w siedzibie Zamawiającego), posługujący się biegle językiem polskim.</w:t>
            </w:r>
          </w:p>
        </w:tc>
        <w:tc>
          <w:tcPr>
            <w:tcW w:w="2403" w:type="dxa"/>
          </w:tcPr>
          <w:p w14:paraId="6FC2B9FB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6AB0E5F5" w14:textId="77777777" w:rsidTr="00EC39A4">
        <w:tc>
          <w:tcPr>
            <w:tcW w:w="603" w:type="dxa"/>
            <w:vAlign w:val="center"/>
          </w:tcPr>
          <w:p w14:paraId="088A1A32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6622" w:type="dxa"/>
            <w:vAlign w:val="center"/>
          </w:tcPr>
          <w:p w14:paraId="351BB074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Wymagania serwisowe w okresie gwarancji:</w:t>
            </w:r>
          </w:p>
          <w:p w14:paraId="024D2624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- rozpoczęcie naprawy w miejscu instalacji w ciągu 48-godzinnego czasu reakcji</w:t>
            </w:r>
          </w:p>
          <w:p w14:paraId="64BCD7F1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- naprawa lub wymiana wadliwych części lub układów w ciągu 2 tygodni od formalnego zgłoszenia usterki</w:t>
            </w:r>
          </w:p>
          <w:p w14:paraId="3BB5207B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Wymagania serwisowe po okresie gwarancji:</w:t>
            </w:r>
          </w:p>
          <w:p w14:paraId="2EABD6B1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- 48-godzinny czas reakcji serwisu na zgłoszenie</w:t>
            </w:r>
          </w:p>
          <w:p w14:paraId="11580D22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- min 7-letni okres dostępności części zamiennych od upływu terminu gwarancji</w:t>
            </w:r>
          </w:p>
        </w:tc>
        <w:tc>
          <w:tcPr>
            <w:tcW w:w="2403" w:type="dxa"/>
          </w:tcPr>
          <w:p w14:paraId="79FC9A1B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4BD31B8D" w14:textId="77777777" w:rsidTr="00EC39A4">
        <w:tc>
          <w:tcPr>
            <w:tcW w:w="603" w:type="dxa"/>
            <w:vAlign w:val="center"/>
          </w:tcPr>
          <w:p w14:paraId="1F72D46D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6622" w:type="dxa"/>
            <w:vAlign w:val="center"/>
          </w:tcPr>
          <w:p w14:paraId="134C2D12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Bezpłatny przegląd serwisowy w okresie gwarancji</w:t>
            </w:r>
          </w:p>
          <w:p w14:paraId="6C69CC5A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 xml:space="preserve">zgodnie z zaleceniami producenta </w:t>
            </w:r>
          </w:p>
        </w:tc>
        <w:tc>
          <w:tcPr>
            <w:tcW w:w="2403" w:type="dxa"/>
          </w:tcPr>
          <w:p w14:paraId="31D1771B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38CBFD9F" w14:textId="77777777" w:rsidTr="00EC39A4">
        <w:tc>
          <w:tcPr>
            <w:tcW w:w="603" w:type="dxa"/>
            <w:vAlign w:val="center"/>
          </w:tcPr>
          <w:p w14:paraId="7CD4DAC4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6622" w:type="dxa"/>
            <w:vAlign w:val="center"/>
          </w:tcPr>
          <w:p w14:paraId="0CD99CA6" w14:textId="3AA815B6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Szkolenie 2 etapowe minimum 8 dniowe</w:t>
            </w:r>
            <w:r w:rsidR="00A96192">
              <w:rPr>
                <w:rFonts w:ascii="Times New Roman" w:hAnsi="Times New Roman" w:cs="Times New Roman"/>
                <w:sz w:val="20"/>
                <w:szCs w:val="20"/>
              </w:rPr>
              <w:t xml:space="preserve"> dla 3 pracowników Zamawiającego:</w:t>
            </w:r>
          </w:p>
          <w:p w14:paraId="135B4122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- 3 dni szkolenia z obsługi spektrometru i oprogramowania w siedzibie zamawiającego na zainstalowanym sprzęcie,</w:t>
            </w:r>
          </w:p>
          <w:p w14:paraId="2EDE6B00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- 5 dni szkolenia aplikacyjnego prowadzonego przez specjalistę w dziedzinie absorpcji atomowej w siedzibie zamawiającego na zainstalowanym sprzęcie.</w:t>
            </w:r>
          </w:p>
          <w:p w14:paraId="25BBBAF0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Szkolenie aplikacyjne zakończone certyfikatem. Możliwość dowolnego wykorzystania szkoleń w terminach wcześniej ustalonych z Zamawiającym</w:t>
            </w:r>
          </w:p>
        </w:tc>
        <w:tc>
          <w:tcPr>
            <w:tcW w:w="2403" w:type="dxa"/>
          </w:tcPr>
          <w:p w14:paraId="2DFF5E28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334EC991" w14:textId="77777777" w:rsidTr="00EC39A4">
        <w:tc>
          <w:tcPr>
            <w:tcW w:w="603" w:type="dxa"/>
            <w:vAlign w:val="center"/>
          </w:tcPr>
          <w:p w14:paraId="04CD957B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6622" w:type="dxa"/>
            <w:vAlign w:val="center"/>
          </w:tcPr>
          <w:p w14:paraId="5DEC458E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Instrukcja obsługi całego systemu z komputerem i oprogramowaniem w języku polskim i angielskim</w:t>
            </w:r>
          </w:p>
        </w:tc>
        <w:tc>
          <w:tcPr>
            <w:tcW w:w="2403" w:type="dxa"/>
          </w:tcPr>
          <w:p w14:paraId="4C35496D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415ECC11" w14:textId="77777777" w:rsidTr="00EC39A4">
        <w:tc>
          <w:tcPr>
            <w:tcW w:w="603" w:type="dxa"/>
            <w:vAlign w:val="center"/>
          </w:tcPr>
          <w:p w14:paraId="709799E3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6622" w:type="dxa"/>
            <w:vAlign w:val="center"/>
          </w:tcPr>
          <w:p w14:paraId="02F78DFB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 xml:space="preserve">Termin dostawy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 xml:space="preserve"> tygodni od daty zawarcia umowy</w:t>
            </w:r>
          </w:p>
        </w:tc>
        <w:tc>
          <w:tcPr>
            <w:tcW w:w="2403" w:type="dxa"/>
          </w:tcPr>
          <w:p w14:paraId="6E0E9B0A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75" w:rsidRPr="0049784D" w14:paraId="7C44A334" w14:textId="77777777" w:rsidTr="00EC39A4">
        <w:tc>
          <w:tcPr>
            <w:tcW w:w="603" w:type="dxa"/>
            <w:vAlign w:val="center"/>
          </w:tcPr>
          <w:p w14:paraId="6CC77546" w14:textId="77777777" w:rsidR="00AE4E75" w:rsidRPr="0049784D" w:rsidRDefault="00AE4E75" w:rsidP="00EC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6622" w:type="dxa"/>
            <w:vAlign w:val="center"/>
          </w:tcPr>
          <w:p w14:paraId="3AEAFB1C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D">
              <w:rPr>
                <w:rFonts w:ascii="Times New Roman" w:hAnsi="Times New Roman" w:cs="Times New Roman"/>
                <w:sz w:val="20"/>
                <w:szCs w:val="20"/>
              </w:rPr>
              <w:t>Certyfikaty CE na oferowane urządzenia</w:t>
            </w:r>
          </w:p>
        </w:tc>
        <w:tc>
          <w:tcPr>
            <w:tcW w:w="2403" w:type="dxa"/>
          </w:tcPr>
          <w:p w14:paraId="63B0449A" w14:textId="77777777" w:rsidR="00AE4E75" w:rsidRPr="0049784D" w:rsidRDefault="00AE4E75" w:rsidP="00E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360B3B" w14:textId="77777777" w:rsidR="00AE4E75" w:rsidRPr="0049784D" w:rsidRDefault="00AE4E75" w:rsidP="00AE4E75">
      <w:pPr>
        <w:rPr>
          <w:rFonts w:ascii="Times New Roman" w:hAnsi="Times New Roman" w:cs="Times New Roman"/>
        </w:rPr>
      </w:pPr>
    </w:p>
    <w:p w14:paraId="6459D4B0" w14:textId="77777777" w:rsidR="00AE4E75" w:rsidRPr="0049784D" w:rsidRDefault="00AE4E75" w:rsidP="00AE4E75">
      <w:pPr>
        <w:rPr>
          <w:rFonts w:ascii="Times New Roman" w:hAnsi="Times New Roman" w:cs="Times New Roman"/>
        </w:rPr>
      </w:pPr>
    </w:p>
    <w:p w14:paraId="65414052" w14:textId="77777777" w:rsidR="00AE4E75" w:rsidRPr="0049784D" w:rsidRDefault="00AE4E75" w:rsidP="00AE4E75">
      <w:pPr>
        <w:rPr>
          <w:rFonts w:ascii="Times New Roman" w:hAnsi="Times New Roman" w:cs="Times New Roman"/>
        </w:rPr>
      </w:pPr>
    </w:p>
    <w:p w14:paraId="134D8892" w14:textId="77777777" w:rsidR="00AE4E75" w:rsidRPr="0049784D" w:rsidRDefault="00AE4E75" w:rsidP="00AE4E75">
      <w:pPr>
        <w:rPr>
          <w:rFonts w:ascii="Times New Roman" w:hAnsi="Times New Roman" w:cs="Times New Roman"/>
        </w:rPr>
      </w:pPr>
    </w:p>
    <w:p w14:paraId="207D0968" w14:textId="77777777" w:rsidR="00AE4E75" w:rsidRPr="0049784D" w:rsidRDefault="00AE4E75" w:rsidP="00AE4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DE8F61" w14:textId="77777777" w:rsidR="00AE4E75" w:rsidRPr="0049784D" w:rsidRDefault="00AE4E75" w:rsidP="00AE4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2F69B6" w14:textId="77777777" w:rsidR="00AE4E75" w:rsidRPr="0049784D" w:rsidRDefault="00AE4E75" w:rsidP="00AE4E75"/>
    <w:p w14:paraId="088DD5F2" w14:textId="6B99BFFF" w:rsidR="00343BC7" w:rsidRDefault="00343BC7"/>
    <w:sectPr w:rsidR="00343BC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85EAD" w14:textId="77777777" w:rsidR="00A77D16" w:rsidRDefault="00A77D16" w:rsidP="00517A6D">
      <w:pPr>
        <w:spacing w:after="0" w:line="240" w:lineRule="auto"/>
      </w:pPr>
      <w:r>
        <w:separator/>
      </w:r>
    </w:p>
  </w:endnote>
  <w:endnote w:type="continuationSeparator" w:id="0">
    <w:p w14:paraId="607BE86F" w14:textId="77777777" w:rsidR="00A77D16" w:rsidRDefault="00A77D16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3DF96" w14:textId="77777777" w:rsidR="00A77D16" w:rsidRDefault="00A77D16" w:rsidP="00517A6D">
      <w:pPr>
        <w:spacing w:after="0" w:line="240" w:lineRule="auto"/>
      </w:pPr>
      <w:r>
        <w:separator/>
      </w:r>
    </w:p>
  </w:footnote>
  <w:footnote w:type="continuationSeparator" w:id="0">
    <w:p w14:paraId="0053CE49" w14:textId="77777777" w:rsidR="00A77D16" w:rsidRDefault="00A77D16" w:rsidP="0051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0B4AAA6A" w:rsidR="00517A6D" w:rsidRDefault="00837EA0" w:rsidP="00ED262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F6BC1DA" wp14:editId="2A51A1D3">
          <wp:extent cx="1227600" cy="543600"/>
          <wp:effectExtent l="0" t="0" r="0" b="8890"/>
          <wp:docPr id="1" name="Obraz 1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2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="003B17EC">
      <w:rPr>
        <w:noProof/>
      </w:rPr>
      <w:drawing>
        <wp:inline distT="0" distB="0" distL="0" distR="0" wp14:anchorId="754EBBBE" wp14:editId="4A786C24">
          <wp:extent cx="1666800" cy="54360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0A479E96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1413A9"/>
    <w:rsid w:val="001E13CA"/>
    <w:rsid w:val="0031050C"/>
    <w:rsid w:val="00337566"/>
    <w:rsid w:val="00343BC7"/>
    <w:rsid w:val="00364CE4"/>
    <w:rsid w:val="003B17EC"/>
    <w:rsid w:val="00517A6D"/>
    <w:rsid w:val="007A7362"/>
    <w:rsid w:val="007F7ECD"/>
    <w:rsid w:val="00837EA0"/>
    <w:rsid w:val="00A77D16"/>
    <w:rsid w:val="00A96192"/>
    <w:rsid w:val="00AE4E75"/>
    <w:rsid w:val="00C43125"/>
    <w:rsid w:val="00EC3369"/>
    <w:rsid w:val="00ED2627"/>
    <w:rsid w:val="00FB3620"/>
    <w:rsid w:val="00FC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table" w:customStyle="1" w:styleId="Tabela-Siatka2">
    <w:name w:val="Tabela - Siatka2"/>
    <w:basedOn w:val="Standardowy"/>
    <w:next w:val="Tabela-Siatka"/>
    <w:uiPriority w:val="39"/>
    <w:rsid w:val="00AE4E7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E4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1116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PSSE Wieluń - Agnieszka Kaczmarzyk</cp:lastModifiedBy>
  <cp:revision>6</cp:revision>
  <cp:lastPrinted>2023-01-13T12:57:00Z</cp:lastPrinted>
  <dcterms:created xsi:type="dcterms:W3CDTF">2023-07-17T08:54:00Z</dcterms:created>
  <dcterms:modified xsi:type="dcterms:W3CDTF">2023-07-17T11:22:00Z</dcterms:modified>
</cp:coreProperties>
</file>