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B80E5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DAB-II.053.6.2024</w:t>
      </w:r>
      <w:bookmarkEnd w:id="0"/>
    </w:p>
    <w:p w14:paraId="2B0CC422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10 lipca 2024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23CD1842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0E284F88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0AF1B912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964E9D1" w14:textId="77777777" w:rsidR="00933B98" w:rsidRPr="00B06E81" w:rsidRDefault="00933B98" w:rsidP="00C53987">
      <w:pPr>
        <w:spacing w:after="0" w:line="240" w:lineRule="exact"/>
        <w:rPr>
          <w:rFonts w:ascii="Lato" w:hAnsi="Lato"/>
          <w:sz w:val="20"/>
        </w:rPr>
      </w:pPr>
    </w:p>
    <w:p w14:paraId="7655AFC4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jc w:val="center"/>
        <w:outlineLvl w:val="0"/>
        <w:rPr>
          <w:rFonts w:ascii="Lato" w:hAnsi="Lato" w:cstheme="minorHAnsi"/>
          <w:b/>
          <w:sz w:val="20"/>
          <w:szCs w:val="20"/>
        </w:rPr>
      </w:pPr>
      <w:r w:rsidRPr="003C47A7">
        <w:rPr>
          <w:rFonts w:ascii="Lato" w:hAnsi="Lato" w:cstheme="minorHAnsi"/>
          <w:b/>
          <w:sz w:val="20"/>
          <w:szCs w:val="20"/>
        </w:rPr>
        <w:t>Zawiadomienie o sposobie załatwienia petycji</w:t>
      </w:r>
    </w:p>
    <w:p w14:paraId="5044F64D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>Minister Rozwoju i Technologii działając na podstawie art. 13 ust. 1 ustawy z dnia 11 lipca 2014 r. o petycjach (Dz. U. z 2018 r. poz. 870) zawiadamia, że po rozpatrzeniu Pana petycji z dnia 9 kwietnia 2024 r.</w:t>
      </w:r>
      <w:r w:rsidRPr="003C47A7">
        <w:rPr>
          <w:rFonts w:ascii="Lato" w:hAnsi="Lato" w:cstheme="minorHAnsi"/>
          <w:bCs/>
          <w:sz w:val="20"/>
          <w:szCs w:val="20"/>
        </w:rPr>
        <w:t xml:space="preserve">, skierowanej do Ministerstwa Infrastruktury i Kancelarii Prezesa Rady Ministrów, a następnie przekazanej do Ministerstwa Rozwoju i Technologii, </w:t>
      </w:r>
      <w:r w:rsidRPr="003C47A7">
        <w:rPr>
          <w:rFonts w:ascii="Lato" w:hAnsi="Lato" w:cstheme="minorHAnsi"/>
          <w:bCs/>
          <w:sz w:val="20"/>
          <w:szCs w:val="20"/>
        </w:rPr>
        <w:br/>
        <w:t xml:space="preserve">w sprawie podjęcia działań zmierzających do wyeliminowania absurdu, jakim jest brak możliwości zastosowania do zgłoszenia budowy budynku rekreacyjnego procedury istotnego odstąpienia uznał, iż petycja nie zasługuje na uwzględnienie z uwagi na poniższe wyjaśnienia. </w:t>
      </w:r>
    </w:p>
    <w:p w14:paraId="00A9CACF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jc w:val="center"/>
        <w:outlineLvl w:val="0"/>
        <w:rPr>
          <w:rFonts w:ascii="Lato" w:hAnsi="Lato" w:cstheme="minorHAnsi"/>
          <w:b/>
          <w:sz w:val="20"/>
          <w:szCs w:val="20"/>
        </w:rPr>
      </w:pPr>
      <w:r w:rsidRPr="003C47A7">
        <w:rPr>
          <w:rFonts w:ascii="Lato" w:hAnsi="Lato" w:cstheme="minorHAnsi"/>
          <w:b/>
          <w:sz w:val="20"/>
          <w:szCs w:val="20"/>
        </w:rPr>
        <w:t>Uzasadnienie</w:t>
      </w:r>
    </w:p>
    <w:p w14:paraId="0CD60AB8" w14:textId="77777777" w:rsidR="00000000" w:rsidRPr="003C47A7" w:rsidRDefault="00000000" w:rsidP="003C47A7">
      <w:pPr>
        <w:spacing w:after="120" w:line="240" w:lineRule="exact"/>
        <w:rPr>
          <w:rFonts w:ascii="Lato" w:hAnsi="Lato" w:cstheme="minorHAnsi"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 xml:space="preserve">W </w:t>
      </w:r>
      <w:r w:rsidRPr="003C47A7">
        <w:rPr>
          <w:rFonts w:ascii="Lato" w:hAnsi="Lato" w:cstheme="minorHAnsi"/>
          <w:bCs/>
          <w:sz w:val="20"/>
          <w:szCs w:val="20"/>
        </w:rPr>
        <w:t>rozpoznawanej petycji wskaza</w:t>
      </w:r>
      <w:r w:rsidRPr="003C47A7">
        <w:rPr>
          <w:rFonts w:ascii="Lato" w:hAnsi="Lato" w:cstheme="minorHAnsi"/>
          <w:bCs/>
          <w:sz w:val="20"/>
          <w:szCs w:val="20"/>
        </w:rPr>
        <w:t xml:space="preserve">no: </w:t>
      </w:r>
      <w:r w:rsidRPr="003C47A7">
        <w:rPr>
          <w:rFonts w:ascii="Lato" w:hAnsi="Lato" w:cstheme="minorHAnsi"/>
          <w:bCs/>
          <w:i/>
          <w:iCs/>
          <w:sz w:val="20"/>
          <w:szCs w:val="20"/>
        </w:rPr>
        <w:t>„</w:t>
      </w:r>
      <w:r w:rsidRPr="003C47A7">
        <w:rPr>
          <w:rFonts w:ascii="Lato" w:hAnsi="Lato" w:cstheme="minorHAnsi"/>
          <w:bCs/>
          <w:i/>
          <w:iCs/>
          <w:sz w:val="20"/>
          <w:szCs w:val="20"/>
        </w:rPr>
        <w:t xml:space="preserve">(…) </w:t>
      </w:r>
      <w:r w:rsidRPr="003C47A7">
        <w:rPr>
          <w:rFonts w:ascii="Lato" w:hAnsi="Lato"/>
          <w:i/>
          <w:iCs/>
          <w:color w:val="000000"/>
          <w:sz w:val="20"/>
          <w:szCs w:val="20"/>
        </w:rPr>
        <w:t xml:space="preserve">Problem w tym, że prawo budowlane przewiduje możliwość kwalifikowania odstąpień w trakcie budowy na zgłoszenie dotyczących tylko kilku rodzajów obiektów m.in. budynków mieszkalnych czy sieci. W przepisach nie ma mowy </w:t>
      </w:r>
      <w:r w:rsidRPr="003C47A7">
        <w:rPr>
          <w:rFonts w:ascii="Lato" w:hAnsi="Lato"/>
          <w:i/>
          <w:iCs/>
          <w:color w:val="000000"/>
          <w:sz w:val="20"/>
          <w:szCs w:val="20"/>
        </w:rPr>
        <w:br/>
        <w:t xml:space="preserve">o odstąpieniach w przypadku budowania budynku rekreacji indywidualnej na zgłoszenie. Jednocześnie o zakwalifikowaniu odstąpienia może decydować projektant, czyli osoba </w:t>
      </w:r>
      <w:r w:rsidRPr="003C47A7">
        <w:rPr>
          <w:rFonts w:ascii="Lato" w:hAnsi="Lato"/>
          <w:i/>
          <w:iCs/>
          <w:color w:val="000000"/>
          <w:sz w:val="20"/>
          <w:szCs w:val="20"/>
        </w:rPr>
        <w:br/>
        <w:t xml:space="preserve">z uprawnieniami budowlanymi, która sporządza projekt budowlany, a w przypadku BRI na zgłoszenie takiego projektu nie ma . Nie można więc w takim przypadku dokonywać odstępstw. W skrajnym przypadku przekroczenie o 5 centymetrów i 3 mm wysokości, może skutkować nakazem rozbiórki, a na pewno dużymi kosztami aby obniżyć budynek i to pomimo zgodności wysokości budynku z warunkami zabudowy czy planem miejscowym. W przypadku budowy </w:t>
      </w:r>
      <w:r>
        <w:rPr>
          <w:rFonts w:ascii="Lato" w:hAnsi="Lato"/>
          <w:i/>
          <w:iCs/>
          <w:color w:val="000000"/>
          <w:sz w:val="20"/>
          <w:szCs w:val="20"/>
        </w:rPr>
        <w:br/>
      </w:r>
      <w:r w:rsidRPr="003C47A7">
        <w:rPr>
          <w:rFonts w:ascii="Lato" w:hAnsi="Lato"/>
          <w:i/>
          <w:iCs/>
          <w:color w:val="000000"/>
          <w:sz w:val="20"/>
          <w:szCs w:val="20"/>
        </w:rPr>
        <w:t>z pozwolenie na budowę , inwestor przedstawia projekt zamienny. W przypadku BRI na zgłoszenie inwestor jest traktowany odmiennie i moim zdaniem nieuczciwie.”</w:t>
      </w:r>
    </w:p>
    <w:p w14:paraId="0A65EC12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 xml:space="preserve">Odnosząc się do powyższego, przede wszystkim </w:t>
      </w:r>
      <w:r w:rsidRPr="003C47A7">
        <w:rPr>
          <w:rFonts w:ascii="Lato" w:hAnsi="Lato" w:cstheme="minorHAnsi"/>
          <w:bCs/>
          <w:sz w:val="20"/>
          <w:szCs w:val="20"/>
        </w:rPr>
        <w:t xml:space="preserve">należy wskazać, że pojęcie „istotnego odstąpienia” na gruncie ustawy </w:t>
      </w:r>
      <w:r w:rsidRPr="003C47A7">
        <w:rPr>
          <w:rFonts w:ascii="Lato" w:hAnsi="Lato" w:cstheme="minorHAnsi"/>
          <w:bCs/>
          <w:sz w:val="20"/>
          <w:szCs w:val="20"/>
        </w:rPr>
        <w:t>z dnia 7 lipca 1994 r. – Prawo budowlane (Dz. U. z 2024 r. poz. 725 i poz. 834), zwan</w:t>
      </w:r>
      <w:r>
        <w:rPr>
          <w:rFonts w:ascii="Lato" w:hAnsi="Lato" w:cstheme="minorHAnsi"/>
          <w:bCs/>
          <w:sz w:val="20"/>
          <w:szCs w:val="20"/>
        </w:rPr>
        <w:t>ej</w:t>
      </w:r>
      <w:r w:rsidRPr="003C47A7">
        <w:rPr>
          <w:rFonts w:ascii="Lato" w:hAnsi="Lato" w:cstheme="minorHAnsi"/>
          <w:bCs/>
          <w:sz w:val="20"/>
          <w:szCs w:val="20"/>
        </w:rPr>
        <w:t xml:space="preserve"> </w:t>
      </w:r>
      <w:r w:rsidRPr="003C47A7">
        <w:rPr>
          <w:rFonts w:ascii="Lato" w:hAnsi="Lato" w:cstheme="minorHAnsi"/>
          <w:bCs/>
          <w:sz w:val="20"/>
          <w:szCs w:val="20"/>
        </w:rPr>
        <w:t>dalej „ustawą Pb”</w:t>
      </w:r>
      <w:r>
        <w:rPr>
          <w:rFonts w:ascii="Lato" w:hAnsi="Lato" w:cstheme="minorHAnsi"/>
          <w:bCs/>
          <w:sz w:val="20"/>
          <w:szCs w:val="20"/>
        </w:rPr>
        <w:t>,</w:t>
      </w:r>
      <w:r w:rsidRPr="003C47A7">
        <w:rPr>
          <w:rFonts w:ascii="Lato" w:hAnsi="Lato" w:cstheme="minorHAnsi"/>
          <w:bCs/>
          <w:sz w:val="20"/>
          <w:szCs w:val="20"/>
        </w:rPr>
        <w:t xml:space="preserve"> zostało uregulowane w art. 36a tej ustawy </w:t>
      </w:r>
      <w:r>
        <w:rPr>
          <w:rFonts w:ascii="Lato" w:hAnsi="Lato" w:cstheme="minorHAnsi"/>
          <w:bCs/>
          <w:sz w:val="20"/>
          <w:szCs w:val="20"/>
        </w:rPr>
        <w:t xml:space="preserve">- </w:t>
      </w:r>
      <w:r w:rsidRPr="003C47A7">
        <w:rPr>
          <w:rFonts w:ascii="Lato" w:hAnsi="Lato" w:cstheme="minorHAnsi"/>
          <w:bCs/>
          <w:sz w:val="20"/>
          <w:szCs w:val="20"/>
        </w:rPr>
        <w:t xml:space="preserve">dotyczącym procedury </w:t>
      </w:r>
      <w:r>
        <w:rPr>
          <w:rFonts w:ascii="Lato" w:hAnsi="Lato" w:cstheme="minorHAnsi"/>
          <w:bCs/>
          <w:sz w:val="20"/>
          <w:szCs w:val="20"/>
        </w:rPr>
        <w:t>tzw. „</w:t>
      </w:r>
      <w:r w:rsidRPr="003C47A7">
        <w:rPr>
          <w:rFonts w:ascii="Lato" w:hAnsi="Lato" w:cstheme="minorHAnsi"/>
          <w:bCs/>
          <w:sz w:val="20"/>
          <w:szCs w:val="20"/>
        </w:rPr>
        <w:t>legalnego</w:t>
      </w:r>
      <w:r>
        <w:rPr>
          <w:rFonts w:ascii="Lato" w:hAnsi="Lato" w:cstheme="minorHAnsi"/>
          <w:bCs/>
          <w:sz w:val="20"/>
          <w:szCs w:val="20"/>
        </w:rPr>
        <w:t>”</w:t>
      </w:r>
      <w:r w:rsidRPr="003C47A7">
        <w:rPr>
          <w:rFonts w:ascii="Lato" w:hAnsi="Lato" w:cstheme="minorHAnsi"/>
          <w:bCs/>
          <w:sz w:val="20"/>
          <w:szCs w:val="20"/>
        </w:rPr>
        <w:t xml:space="preserve"> dokonania istotnego odstąpienia oraz w art. 50 ust. 1 pkt 4 i art. 51 ust. 1 pkt 3 ustawy Pb określającym procedurę w przypadku dokonania </w:t>
      </w:r>
      <w:r>
        <w:rPr>
          <w:rFonts w:ascii="Lato" w:hAnsi="Lato" w:cstheme="minorHAnsi"/>
          <w:bCs/>
          <w:sz w:val="20"/>
          <w:szCs w:val="20"/>
        </w:rPr>
        <w:t>tzw. „</w:t>
      </w:r>
      <w:r w:rsidRPr="003C47A7">
        <w:rPr>
          <w:rFonts w:ascii="Lato" w:hAnsi="Lato" w:cstheme="minorHAnsi"/>
          <w:bCs/>
          <w:sz w:val="20"/>
          <w:szCs w:val="20"/>
        </w:rPr>
        <w:t>nielegalnego</w:t>
      </w:r>
      <w:r>
        <w:rPr>
          <w:rFonts w:ascii="Lato" w:hAnsi="Lato" w:cstheme="minorHAnsi"/>
          <w:bCs/>
          <w:sz w:val="20"/>
          <w:szCs w:val="20"/>
        </w:rPr>
        <w:t>”</w:t>
      </w:r>
      <w:r w:rsidRPr="003C47A7">
        <w:rPr>
          <w:rFonts w:ascii="Lato" w:hAnsi="Lato" w:cstheme="minorHAnsi"/>
          <w:bCs/>
          <w:sz w:val="20"/>
          <w:szCs w:val="20"/>
        </w:rPr>
        <w:t xml:space="preserve"> istotnego odstąpienia.</w:t>
      </w:r>
    </w:p>
    <w:p w14:paraId="031E2880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>Z</w:t>
      </w:r>
      <w:r w:rsidRPr="003C47A7">
        <w:rPr>
          <w:rFonts w:ascii="Lato" w:hAnsi="Lato" w:cstheme="minorHAnsi"/>
          <w:bCs/>
          <w:sz w:val="20"/>
          <w:szCs w:val="20"/>
        </w:rPr>
        <w:t>godnie z art. 36a ust.</w:t>
      </w:r>
      <w:r w:rsidRPr="003C47A7">
        <w:rPr>
          <w:rFonts w:ascii="Lato" w:hAnsi="Lato" w:cstheme="minorHAnsi"/>
          <w:bCs/>
          <w:sz w:val="20"/>
          <w:szCs w:val="20"/>
        </w:rPr>
        <w:t xml:space="preserve"> </w:t>
      </w:r>
      <w:r w:rsidRPr="003C47A7">
        <w:rPr>
          <w:rFonts w:ascii="Lato" w:hAnsi="Lato" w:cstheme="minorHAnsi"/>
          <w:bCs/>
          <w:sz w:val="20"/>
          <w:szCs w:val="20"/>
        </w:rPr>
        <w:t xml:space="preserve">1 ustawy </w:t>
      </w:r>
      <w:bookmarkStart w:id="2" w:name="mip73654785"/>
      <w:bookmarkEnd w:id="2"/>
      <w:r w:rsidRPr="003C47A7">
        <w:rPr>
          <w:rFonts w:ascii="Lato" w:hAnsi="Lato" w:cstheme="minorHAnsi"/>
          <w:bCs/>
          <w:sz w:val="20"/>
          <w:szCs w:val="20"/>
          <w:u w:val="single"/>
        </w:rPr>
        <w:t xml:space="preserve">Pb </w:t>
      </w:r>
      <w:r w:rsidRPr="003C47A7">
        <w:rPr>
          <w:rFonts w:ascii="Lato" w:hAnsi="Lato" w:cstheme="minorHAnsi"/>
          <w:bCs/>
          <w:sz w:val="20"/>
          <w:szCs w:val="20"/>
          <w:u w:val="single"/>
        </w:rPr>
        <w:t>i</w:t>
      </w:r>
      <w:r w:rsidRPr="003C47A7">
        <w:rPr>
          <w:rFonts w:ascii="Lato" w:hAnsi="Lato"/>
          <w:bCs/>
          <w:sz w:val="20"/>
          <w:szCs w:val="20"/>
          <w:u w:val="single"/>
        </w:rPr>
        <w:t>stotne odstąpienie od zatwierdzonego projektu zagospodarowania działki lub terenu oraz projektu architektoniczno-budowlanego</w:t>
      </w:r>
      <w:r w:rsidRPr="003C47A7">
        <w:rPr>
          <w:rFonts w:ascii="Lato" w:hAnsi="Lato"/>
          <w:b/>
          <w:bCs/>
          <w:sz w:val="20"/>
          <w:szCs w:val="20"/>
          <w:u w:val="single"/>
        </w:rPr>
        <w:t xml:space="preserve"> </w:t>
      </w:r>
      <w:r w:rsidRPr="003C47A7">
        <w:rPr>
          <w:rFonts w:ascii="Lato" w:hAnsi="Lato"/>
          <w:sz w:val="20"/>
          <w:szCs w:val="20"/>
          <w:u w:val="single"/>
        </w:rPr>
        <w:t>lub innych warunków decyzji o pozwoleniu na budowę</w:t>
      </w:r>
      <w:r w:rsidRPr="003C47A7">
        <w:rPr>
          <w:rFonts w:ascii="Lato" w:hAnsi="Lato"/>
          <w:sz w:val="20"/>
          <w:szCs w:val="20"/>
        </w:rPr>
        <w:t xml:space="preserve"> jest dopuszczalne jedynie po uzyskaniu decyzji o zmianie pozwolenia na budowę wydanej przez organ administracji architektoniczno-budowlanej. </w:t>
      </w:r>
    </w:p>
    <w:p w14:paraId="370469F0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/>
          <w:sz w:val="20"/>
          <w:szCs w:val="20"/>
          <w:u w:val="single"/>
        </w:rPr>
      </w:pPr>
      <w:r w:rsidRPr="003C47A7">
        <w:rPr>
          <w:rFonts w:ascii="Lato" w:hAnsi="Lato"/>
          <w:sz w:val="20"/>
          <w:szCs w:val="20"/>
        </w:rPr>
        <w:t>Ponadto, zgodnie z art. 36a ust.</w:t>
      </w:r>
      <w:r w:rsidRPr="003C47A7">
        <w:rPr>
          <w:rFonts w:ascii="Lato" w:hAnsi="Lato"/>
          <w:sz w:val="20"/>
          <w:szCs w:val="20"/>
        </w:rPr>
        <w:t xml:space="preserve"> 1a ustawy </w:t>
      </w:r>
      <w:r w:rsidRPr="003C47A7">
        <w:rPr>
          <w:rFonts w:ascii="Lato" w:hAnsi="Lato"/>
          <w:sz w:val="20"/>
          <w:szCs w:val="20"/>
          <w:u w:val="single"/>
        </w:rPr>
        <w:t xml:space="preserve">Pb </w:t>
      </w:r>
      <w:bookmarkStart w:id="3" w:name="mip73654786"/>
      <w:bookmarkEnd w:id="3"/>
      <w:r w:rsidRPr="003C47A7">
        <w:rPr>
          <w:rFonts w:ascii="Lato" w:hAnsi="Lato"/>
          <w:sz w:val="20"/>
          <w:szCs w:val="20"/>
          <w:u w:val="single"/>
        </w:rPr>
        <w:t>istotne odstąpienie od projektu zagospodarowania działki lub terenu lub projektu architektoniczno-budowlanego</w:t>
      </w:r>
      <w:r w:rsidRPr="003C47A7">
        <w:rPr>
          <w:rFonts w:ascii="Lato" w:hAnsi="Lato"/>
          <w:sz w:val="20"/>
          <w:szCs w:val="20"/>
        </w:rPr>
        <w:t xml:space="preserve"> złożonego wraz ze zgłoszeniem budowy, o której mowa w art. 29 ust.</w:t>
      </w:r>
      <w:r w:rsidRPr="003C47A7">
        <w:rPr>
          <w:rFonts w:ascii="Lato" w:hAnsi="Lato"/>
          <w:sz w:val="20"/>
          <w:szCs w:val="20"/>
        </w:rPr>
        <w:t xml:space="preserve"> 1 pkt 1-4, lub przebudowy, o której mowa w art. 29 ust. 3 pkt 1 lit. a, oraz instalowania, o którym mowa w art. 29 ust. 3 pkt 3 lit. d, wobec którego organ administracji architektoniczno-budowlanej nie wniósł sprzeciwu, jest </w:t>
      </w:r>
      <w:r w:rsidRPr="003C47A7">
        <w:rPr>
          <w:rFonts w:ascii="Lato" w:hAnsi="Lato"/>
          <w:sz w:val="20"/>
          <w:szCs w:val="20"/>
          <w:u w:val="single"/>
        </w:rPr>
        <w:t xml:space="preserve">dopuszczalne jedynie po uzyskaniu decyzji </w:t>
      </w:r>
      <w:r w:rsidRPr="003C47A7">
        <w:rPr>
          <w:rFonts w:ascii="Lato" w:hAnsi="Lato"/>
          <w:sz w:val="20"/>
          <w:szCs w:val="20"/>
          <w:u w:val="single"/>
        </w:rPr>
        <w:br/>
        <w:t>o pozwoleniu na budowę dla całego zamierzenia budowlanego albo dokonaniu ponownego zgłoszenia.</w:t>
      </w:r>
      <w:bookmarkStart w:id="4" w:name="mip73655912"/>
      <w:bookmarkStart w:id="5" w:name="mip73654787"/>
      <w:bookmarkStart w:id="6" w:name="mip73654788"/>
      <w:bookmarkStart w:id="7" w:name="mip73654789"/>
      <w:bookmarkStart w:id="8" w:name="mip73654790"/>
      <w:bookmarkEnd w:id="4"/>
      <w:bookmarkEnd w:id="5"/>
      <w:bookmarkEnd w:id="6"/>
      <w:bookmarkEnd w:id="7"/>
      <w:bookmarkEnd w:id="8"/>
    </w:p>
    <w:p w14:paraId="3F60FD8F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/>
          <w:sz w:val="20"/>
          <w:szCs w:val="20"/>
        </w:rPr>
      </w:pPr>
      <w:r w:rsidRPr="003C47A7">
        <w:rPr>
          <w:rFonts w:ascii="Lato" w:hAnsi="Lato"/>
          <w:sz w:val="20"/>
          <w:szCs w:val="20"/>
        </w:rPr>
        <w:lastRenderedPageBreak/>
        <w:t>Zgodnie z art. 36a ust. 5 ustawy Pb istotne odstąpienie od zatwierdzonego projektu zagospodarowania działki lub terenu lub projektu architektoniczno-budowlanego lub innych warunków pozwolenia na budowę stanowi odstąpienie w zakresie:</w:t>
      </w:r>
      <w:bookmarkStart w:id="9" w:name="mip73654792"/>
      <w:bookmarkEnd w:id="9"/>
      <w:r w:rsidRPr="003C47A7">
        <w:rPr>
          <w:rFonts w:ascii="Lato" w:hAnsi="Lato"/>
          <w:sz w:val="20"/>
          <w:szCs w:val="20"/>
        </w:rPr>
        <w:br/>
        <w:t xml:space="preserve">1) projektu zagospodarowania działki lub terenu, w przypadku zwiększenia obszaru oddziaływania obiektu poza działkę, na której obiekt </w:t>
      </w:r>
      <w:bookmarkStart w:id="10" w:name="highlightHit_111"/>
      <w:bookmarkEnd w:id="10"/>
      <w:r w:rsidRPr="003C47A7">
        <w:rPr>
          <w:rStyle w:val="highlight"/>
          <w:rFonts w:ascii="Lato" w:hAnsi="Lato"/>
          <w:sz w:val="20"/>
          <w:szCs w:val="20"/>
        </w:rPr>
        <w:t>budowlany</w:t>
      </w:r>
      <w:r w:rsidRPr="003C47A7">
        <w:rPr>
          <w:rFonts w:ascii="Lato" w:hAnsi="Lato"/>
          <w:sz w:val="20"/>
          <w:szCs w:val="20"/>
        </w:rPr>
        <w:t xml:space="preserve"> został zaprojektowany, </w:t>
      </w:r>
      <w:bookmarkStart w:id="11" w:name="mip73654793"/>
      <w:bookmarkEnd w:id="11"/>
      <w:r w:rsidRPr="003C47A7">
        <w:rPr>
          <w:rFonts w:ascii="Lato" w:hAnsi="Lato"/>
          <w:sz w:val="20"/>
          <w:szCs w:val="20"/>
        </w:rPr>
        <w:br/>
        <w:t xml:space="preserve">2) charakterystycznych parametrów obiektu </w:t>
      </w:r>
      <w:bookmarkStart w:id="12" w:name="highlightHit_112"/>
      <w:bookmarkEnd w:id="12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dotyczących:</w:t>
      </w:r>
      <w:r w:rsidRPr="003C47A7">
        <w:rPr>
          <w:rFonts w:ascii="Lato" w:hAnsi="Lato"/>
          <w:sz w:val="20"/>
          <w:szCs w:val="20"/>
        </w:rPr>
        <w:br/>
        <w:t>a) powierzchni zabudowy w zakresie przekraczającym 5%,</w:t>
      </w:r>
      <w:r w:rsidRPr="003C47A7">
        <w:rPr>
          <w:rFonts w:ascii="Lato" w:hAnsi="Lato"/>
          <w:sz w:val="20"/>
          <w:szCs w:val="20"/>
        </w:rPr>
        <w:br/>
        <w:t>b) wysokości, długości lub szerokości w zakresie przekraczającym 2%,</w:t>
      </w:r>
      <w:r w:rsidRPr="003C47A7">
        <w:rPr>
          <w:rFonts w:ascii="Lato" w:hAnsi="Lato"/>
          <w:sz w:val="20"/>
          <w:szCs w:val="20"/>
        </w:rPr>
        <w:br/>
        <w:t>c) liczby kondygnacji,</w:t>
      </w:r>
      <w:bookmarkStart w:id="13" w:name="mip73654794"/>
      <w:bookmarkEnd w:id="13"/>
      <w:r w:rsidRPr="003C47A7">
        <w:rPr>
          <w:rFonts w:ascii="Lato" w:hAnsi="Lato"/>
          <w:sz w:val="20"/>
          <w:szCs w:val="20"/>
        </w:rPr>
        <w:br/>
        <w:t xml:space="preserve">3) warunków niezbędnych do korzystania z obiektu </w:t>
      </w:r>
      <w:bookmarkStart w:id="14" w:name="highlightHit_113"/>
      <w:bookmarkEnd w:id="14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przez osoby niepełnosprawne, o których mowa w art. 1 Konwencji o </w:t>
      </w:r>
      <w:bookmarkStart w:id="15" w:name="highlightHit_114"/>
      <w:bookmarkEnd w:id="15"/>
      <w:r w:rsidRPr="003C47A7">
        <w:rPr>
          <w:rStyle w:val="highlight"/>
          <w:rFonts w:ascii="Lato" w:hAnsi="Lato"/>
          <w:sz w:val="20"/>
          <w:szCs w:val="20"/>
        </w:rPr>
        <w:t>prawach</w:t>
      </w:r>
      <w:r w:rsidRPr="003C47A7">
        <w:rPr>
          <w:rFonts w:ascii="Lato" w:hAnsi="Lato"/>
          <w:sz w:val="20"/>
          <w:szCs w:val="20"/>
        </w:rPr>
        <w:t xml:space="preserve"> osób niepełnosprawnych, sporządzonej w Nowym Jorku dnia 13 grudnia 2006 r., w tym osoby starsze,</w:t>
      </w:r>
      <w:bookmarkStart w:id="16" w:name="mip73654795"/>
      <w:bookmarkEnd w:id="16"/>
      <w:r w:rsidRPr="003C47A7">
        <w:rPr>
          <w:rFonts w:ascii="Lato" w:hAnsi="Lato"/>
          <w:sz w:val="20"/>
          <w:szCs w:val="20"/>
        </w:rPr>
        <w:br/>
        <w:t xml:space="preserve">4) zmiany zamierzonego sposobu użytkowania obiektu </w:t>
      </w:r>
      <w:bookmarkStart w:id="17" w:name="highlightHit_115"/>
      <w:bookmarkEnd w:id="17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lub jego części,</w:t>
      </w:r>
      <w:r w:rsidRPr="003C47A7">
        <w:rPr>
          <w:rFonts w:ascii="Lato" w:hAnsi="Lato"/>
          <w:sz w:val="20"/>
          <w:szCs w:val="20"/>
        </w:rPr>
        <w:br/>
      </w:r>
      <w:bookmarkStart w:id="18" w:name="mip73654796"/>
      <w:bookmarkEnd w:id="18"/>
      <w:r w:rsidRPr="003C47A7">
        <w:rPr>
          <w:rFonts w:ascii="Lato" w:hAnsi="Lato"/>
          <w:sz w:val="20"/>
          <w:szCs w:val="20"/>
        </w:rPr>
        <w:t xml:space="preserve">5) ustaleń miejscowego planu zagospodarowania przestrzennego, innych aktów </w:t>
      </w:r>
      <w:bookmarkStart w:id="19" w:name="highlightHit_116"/>
      <w:bookmarkEnd w:id="19"/>
      <w:r w:rsidRPr="003C47A7">
        <w:rPr>
          <w:rStyle w:val="highlight"/>
          <w:rFonts w:ascii="Lato" w:hAnsi="Lato"/>
          <w:sz w:val="20"/>
          <w:szCs w:val="20"/>
        </w:rPr>
        <w:t>prawa</w:t>
      </w:r>
      <w:r w:rsidRPr="003C47A7">
        <w:rPr>
          <w:rFonts w:ascii="Lato" w:hAnsi="Lato"/>
          <w:sz w:val="20"/>
          <w:szCs w:val="20"/>
        </w:rPr>
        <w:t xml:space="preserve"> miejscowego lub decyzji o warunkach zabudowy i zagospodarowania terenu,</w:t>
      </w:r>
      <w:bookmarkStart w:id="20" w:name="mip73654797"/>
      <w:bookmarkEnd w:id="20"/>
      <w:r w:rsidRPr="003C47A7">
        <w:rPr>
          <w:rFonts w:ascii="Lato" w:hAnsi="Lato"/>
          <w:sz w:val="20"/>
          <w:szCs w:val="20"/>
        </w:rPr>
        <w:br/>
        <w:t xml:space="preserve">6) wymagającym uzyskania lub zmiany decyzji, pozwoleń lub uzgodnień, które </w:t>
      </w:r>
      <w:r w:rsidRPr="003C47A7">
        <w:rPr>
          <w:rFonts w:ascii="Lato" w:hAnsi="Lato"/>
          <w:sz w:val="20"/>
          <w:szCs w:val="20"/>
        </w:rPr>
        <w:br/>
        <w:t xml:space="preserve">są wymagane do uzyskania decyzji o pozwoleniu na budowę lub do dokonania zgłoszenia: </w:t>
      </w:r>
      <w:r w:rsidRPr="003C47A7">
        <w:rPr>
          <w:rFonts w:ascii="Lato" w:hAnsi="Lato"/>
          <w:sz w:val="20"/>
          <w:szCs w:val="20"/>
        </w:rPr>
        <w:br/>
        <w:t>a) budowy, o której mowa w art. 29 ust. 1 pkt 1-4, lub</w:t>
      </w:r>
      <w:r w:rsidRPr="003C47A7">
        <w:rPr>
          <w:rFonts w:ascii="Lato" w:hAnsi="Lato"/>
          <w:sz w:val="20"/>
          <w:szCs w:val="20"/>
        </w:rPr>
        <w:br/>
        <w:t>b) przebudowy, o której mowa w art. 29 ust. 3 pkt 1 lit. a, oraz instalowania, o którym mowa w art. 29 ust. 3 pkt 3 lit. d,</w:t>
      </w:r>
      <w:bookmarkStart w:id="21" w:name="mip73655597"/>
      <w:bookmarkEnd w:id="21"/>
      <w:r w:rsidRPr="003C47A7">
        <w:rPr>
          <w:rFonts w:ascii="Lato" w:hAnsi="Lato"/>
          <w:sz w:val="20"/>
          <w:szCs w:val="20"/>
        </w:rPr>
        <w:br/>
        <w:t xml:space="preserve">7) zmiany źródła ciepła do ogrzewania lub przygotowania ciepłej wody użytkowej, </w:t>
      </w:r>
      <w:r w:rsidRPr="003C47A7">
        <w:rPr>
          <w:rFonts w:ascii="Lato" w:hAnsi="Lato"/>
          <w:sz w:val="20"/>
          <w:szCs w:val="20"/>
        </w:rPr>
        <w:br/>
        <w:t xml:space="preserve">ze źródła zasilanego paliwem ciekłym, gazowym, odnawialnym źródłem energii lub </w:t>
      </w:r>
      <w:r w:rsidRPr="003C47A7">
        <w:rPr>
          <w:rFonts w:ascii="Lato" w:hAnsi="Lato"/>
          <w:sz w:val="20"/>
          <w:szCs w:val="20"/>
        </w:rPr>
        <w:br/>
        <w:t>z sieci ciepłowniczej, na źródło opalane paliwem stałym.</w:t>
      </w:r>
    </w:p>
    <w:p w14:paraId="06EC3630" w14:textId="77777777" w:rsidR="00000000" w:rsidRPr="003C47A7" w:rsidRDefault="00000000" w:rsidP="003C47A7">
      <w:pPr>
        <w:spacing w:after="120" w:line="240" w:lineRule="exact"/>
        <w:rPr>
          <w:rFonts w:ascii="Lato" w:hAnsi="Lato"/>
          <w:sz w:val="20"/>
          <w:szCs w:val="20"/>
        </w:rPr>
      </w:pPr>
      <w:bookmarkStart w:id="22" w:name="mip73654798"/>
      <w:bookmarkStart w:id="23" w:name="mip73654799"/>
      <w:bookmarkEnd w:id="22"/>
      <w:bookmarkEnd w:id="23"/>
      <w:r w:rsidRPr="003C47A7">
        <w:rPr>
          <w:rFonts w:ascii="Lato" w:hAnsi="Lato"/>
          <w:sz w:val="20"/>
          <w:szCs w:val="20"/>
        </w:rPr>
        <w:t>Z kolei</w:t>
      </w:r>
      <w:r w:rsidRPr="003C47A7">
        <w:rPr>
          <w:rFonts w:ascii="Lato" w:hAnsi="Lato"/>
          <w:sz w:val="20"/>
          <w:szCs w:val="20"/>
        </w:rPr>
        <w:t xml:space="preserve">, zgodnie z art. 50 ust. 1 pkt 4 ustawy Pb w przypadkach innych niż określone </w:t>
      </w:r>
      <w:r w:rsidRPr="003C47A7">
        <w:rPr>
          <w:rFonts w:ascii="Lato" w:hAnsi="Lato"/>
          <w:sz w:val="20"/>
          <w:szCs w:val="20"/>
        </w:rPr>
        <w:br/>
        <w:t xml:space="preserve">w art. 48 ust. 1 lub w art. 49f organ nadzoru budowlanego wstrzymuje postanowieniem prowadzenie robót budowlanych wykonywanych w sposób istotnie odbiegający </w:t>
      </w:r>
      <w:r w:rsidRPr="003C47A7">
        <w:rPr>
          <w:rFonts w:ascii="Lato" w:hAnsi="Lato"/>
          <w:sz w:val="20"/>
          <w:szCs w:val="20"/>
        </w:rPr>
        <w:br/>
        <w:t xml:space="preserve">od ustaleń i warunków określonych w decyzji o pozwoleniu na budowę, projekcie zagospodarowania działki lub terenu, projekcie architektoniczno-budowlanym lub </w:t>
      </w:r>
      <w:r w:rsidRPr="003C47A7">
        <w:rPr>
          <w:rFonts w:ascii="Lato" w:hAnsi="Lato"/>
          <w:sz w:val="20"/>
          <w:szCs w:val="20"/>
        </w:rPr>
        <w:br/>
        <w:t xml:space="preserve">w przepisach. </w:t>
      </w:r>
      <w:bookmarkStart w:id="24" w:name="mip73654914"/>
      <w:bookmarkEnd w:id="24"/>
      <w:r w:rsidRPr="003C47A7">
        <w:rPr>
          <w:rFonts w:ascii="Lato" w:hAnsi="Lato"/>
          <w:sz w:val="20"/>
          <w:szCs w:val="20"/>
        </w:rPr>
        <w:t xml:space="preserve">Przed upływem 2 miesięcy od dnia wydania postanowienia, o którym mowa w art. 50 </w:t>
      </w:r>
      <w:r w:rsidRPr="003C47A7">
        <w:rPr>
          <w:rFonts w:ascii="Lato" w:hAnsi="Lato"/>
          <w:sz w:val="20"/>
          <w:szCs w:val="20"/>
        </w:rPr>
        <w:t xml:space="preserve"> ust. 1, organ nadzoru </w:t>
      </w:r>
      <w:bookmarkStart w:id="25" w:name="highlightHit_144"/>
      <w:bookmarkEnd w:id="25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w drodze decyzji</w:t>
      </w:r>
      <w:bookmarkStart w:id="26" w:name="mip73654916"/>
      <w:bookmarkEnd w:id="26"/>
      <w:r w:rsidRPr="003C47A7">
        <w:rPr>
          <w:rFonts w:ascii="Lato" w:hAnsi="Lato"/>
          <w:sz w:val="20"/>
          <w:szCs w:val="20"/>
        </w:rPr>
        <w:t xml:space="preserve"> w przypadku istotnego odstąpienia od zatwierdzonego projektu zagospodarowania działki lub terenu, projektu architektoniczno-</w:t>
      </w:r>
      <w:bookmarkStart w:id="27" w:name="highlightHit_153"/>
      <w:bookmarkEnd w:id="27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lub innych warunków decyzji o pozwoleniu na budowę </w:t>
      </w:r>
      <w:r>
        <w:rPr>
          <w:rFonts w:ascii="Lato" w:hAnsi="Lato"/>
          <w:sz w:val="20"/>
          <w:szCs w:val="20"/>
        </w:rPr>
        <w:br/>
      </w:r>
      <w:r w:rsidRPr="003C47A7">
        <w:rPr>
          <w:rFonts w:ascii="Lato" w:hAnsi="Lato"/>
          <w:sz w:val="20"/>
          <w:szCs w:val="20"/>
        </w:rPr>
        <w:t>- nakłada, określając termin wykonania, obowiązek sporządzenia i przedstawienia projektu zagospodarowania działki lub terenu lub projektu architektoniczno-</w:t>
      </w:r>
      <w:bookmarkStart w:id="28" w:name="highlightHit_154"/>
      <w:bookmarkEnd w:id="28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zamiennego uwzględniającego zmiany wynikające z dotychczas wykonanych robót </w:t>
      </w:r>
      <w:bookmarkStart w:id="29" w:name="highlightHit_155"/>
      <w:bookmarkEnd w:id="29"/>
      <w:r w:rsidRPr="003C47A7">
        <w:rPr>
          <w:rStyle w:val="highlight"/>
          <w:rFonts w:ascii="Lato" w:hAnsi="Lato"/>
          <w:sz w:val="20"/>
          <w:szCs w:val="20"/>
        </w:rPr>
        <w:t>budowlanych</w:t>
      </w:r>
      <w:r w:rsidRPr="003C47A7">
        <w:rPr>
          <w:rFonts w:ascii="Lato" w:hAnsi="Lato"/>
          <w:sz w:val="20"/>
          <w:szCs w:val="20"/>
        </w:rPr>
        <w:t xml:space="preserve"> oraz - w razie potrzeby - wykonania określonych czynności lub robót </w:t>
      </w:r>
      <w:bookmarkStart w:id="30" w:name="highlightHit_156"/>
      <w:bookmarkEnd w:id="30"/>
      <w:r w:rsidRPr="003C47A7">
        <w:rPr>
          <w:rStyle w:val="highlight"/>
          <w:rFonts w:ascii="Lato" w:hAnsi="Lato"/>
          <w:sz w:val="20"/>
          <w:szCs w:val="20"/>
        </w:rPr>
        <w:t>budowlanych</w:t>
      </w:r>
      <w:r w:rsidRPr="003C47A7">
        <w:rPr>
          <w:rFonts w:ascii="Lato" w:hAnsi="Lato"/>
          <w:sz w:val="20"/>
          <w:szCs w:val="20"/>
        </w:rPr>
        <w:t xml:space="preserve"> w celu doprowadzenia wykonywanych robót </w:t>
      </w:r>
      <w:bookmarkStart w:id="31" w:name="highlightHit_157"/>
      <w:bookmarkEnd w:id="31"/>
      <w:r w:rsidRPr="003C47A7">
        <w:rPr>
          <w:rStyle w:val="highlight"/>
          <w:rFonts w:ascii="Lato" w:hAnsi="Lato"/>
          <w:sz w:val="20"/>
          <w:szCs w:val="20"/>
        </w:rPr>
        <w:t>budowlanych</w:t>
      </w:r>
      <w:r w:rsidRPr="003C47A7">
        <w:rPr>
          <w:rFonts w:ascii="Lato" w:hAnsi="Lato"/>
          <w:sz w:val="20"/>
          <w:szCs w:val="20"/>
        </w:rPr>
        <w:t xml:space="preserve"> do stanu zgodnego z </w:t>
      </w:r>
      <w:bookmarkStart w:id="32" w:name="highlightHit_158"/>
      <w:bookmarkEnd w:id="32"/>
      <w:r w:rsidRPr="003C47A7">
        <w:rPr>
          <w:rStyle w:val="highlight"/>
          <w:rFonts w:ascii="Lato" w:hAnsi="Lato"/>
          <w:sz w:val="20"/>
          <w:szCs w:val="20"/>
        </w:rPr>
        <w:t>prawem</w:t>
      </w:r>
      <w:r w:rsidRPr="003C47A7">
        <w:rPr>
          <w:rFonts w:ascii="Lato" w:hAnsi="Lato"/>
          <w:sz w:val="20"/>
          <w:szCs w:val="20"/>
        </w:rPr>
        <w:t>; przepisy dotyczące projektu zagospodarowania działki lub terenu oraz projektu architektoniczno-</w:t>
      </w:r>
      <w:bookmarkStart w:id="33" w:name="highlightHit_159"/>
      <w:bookmarkEnd w:id="33"/>
      <w:r w:rsidRPr="003C47A7">
        <w:rPr>
          <w:rStyle w:val="highlight"/>
          <w:rFonts w:ascii="Lato" w:hAnsi="Lato"/>
          <w:sz w:val="20"/>
          <w:szCs w:val="20"/>
        </w:rPr>
        <w:t>budowlanego</w:t>
      </w:r>
      <w:r w:rsidRPr="003C47A7">
        <w:rPr>
          <w:rFonts w:ascii="Lato" w:hAnsi="Lato"/>
          <w:sz w:val="20"/>
          <w:szCs w:val="20"/>
        </w:rPr>
        <w:t xml:space="preserve"> stosuje się odpowiednio do zakresu tych zmian (zgodnie z art. 51 ust. 1 pkt 3 ustawy Pb). </w:t>
      </w:r>
    </w:p>
    <w:p w14:paraId="2EE77DBF" w14:textId="77777777" w:rsidR="00000000" w:rsidRPr="003C47A7" w:rsidRDefault="00000000" w:rsidP="003C47A7">
      <w:pPr>
        <w:spacing w:after="120" w:line="240" w:lineRule="exact"/>
        <w:rPr>
          <w:rFonts w:ascii="Lato" w:hAnsi="Lato" w:cstheme="minorHAnsi"/>
          <w:sz w:val="20"/>
          <w:szCs w:val="20"/>
        </w:rPr>
      </w:pPr>
      <w:r w:rsidRPr="003C47A7">
        <w:rPr>
          <w:rFonts w:ascii="Lato" w:hAnsi="Lato"/>
          <w:sz w:val="20"/>
          <w:szCs w:val="20"/>
        </w:rPr>
        <w:t>N</w:t>
      </w:r>
      <w:r w:rsidRPr="003C47A7">
        <w:rPr>
          <w:rFonts w:ascii="Lato" w:hAnsi="Lato"/>
          <w:sz w:val="20"/>
          <w:szCs w:val="20"/>
        </w:rPr>
        <w:t xml:space="preserve">ależy więc </w:t>
      </w:r>
      <w:r w:rsidRPr="003C47A7">
        <w:rPr>
          <w:rFonts w:ascii="Lato" w:hAnsi="Lato"/>
          <w:sz w:val="20"/>
          <w:szCs w:val="20"/>
        </w:rPr>
        <w:t xml:space="preserve">stwierdzić, że </w:t>
      </w:r>
      <w:r w:rsidRPr="003C47A7">
        <w:rPr>
          <w:rFonts w:ascii="Lato" w:hAnsi="Lato" w:cstheme="minorHAnsi"/>
          <w:sz w:val="20"/>
          <w:szCs w:val="20"/>
          <w:u w:val="single"/>
        </w:rPr>
        <w:t>pojęcie „istotnego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 odstąpienia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” jest nierozerwalnie związane </w:t>
      </w:r>
      <w:r>
        <w:rPr>
          <w:rFonts w:ascii="Lato" w:hAnsi="Lato" w:cstheme="minorHAnsi"/>
          <w:sz w:val="20"/>
          <w:szCs w:val="20"/>
          <w:u w:val="single"/>
        </w:rPr>
        <w:br/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z </w:t>
      </w:r>
      <w:r w:rsidRPr="003C47A7">
        <w:rPr>
          <w:rFonts w:ascii="Lato" w:hAnsi="Lato" w:cstheme="minorHAnsi"/>
          <w:sz w:val="20"/>
          <w:szCs w:val="20"/>
          <w:u w:val="single"/>
        </w:rPr>
        <w:t>projektem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 zagospodarowania działki lub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3C47A7">
        <w:rPr>
          <w:rFonts w:ascii="Lato" w:hAnsi="Lato" w:cstheme="minorHAnsi"/>
          <w:sz w:val="20"/>
          <w:szCs w:val="20"/>
          <w:u w:val="single"/>
        </w:rPr>
        <w:t>terenu oraz projektem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 architektoniczno-budowlanym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, </w:t>
      </w:r>
      <w:r w:rsidRPr="003C47A7">
        <w:rPr>
          <w:rFonts w:ascii="Lato" w:hAnsi="Lato" w:cstheme="minorHAnsi"/>
          <w:sz w:val="20"/>
          <w:szCs w:val="20"/>
          <w:u w:val="single"/>
        </w:rPr>
        <w:t>które  są zatwierdzane w decyzji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3C47A7">
        <w:rPr>
          <w:rFonts w:ascii="Lato" w:hAnsi="Lato" w:cstheme="minorHAnsi"/>
          <w:sz w:val="20"/>
          <w:szCs w:val="20"/>
          <w:u w:val="single"/>
        </w:rPr>
        <w:t xml:space="preserve">o pozwoleniu na budowę lub stanowią przedmiot tzw. „zgłoszeń z projektem” dla obiektów enumeratywnie wymienionych </w:t>
      </w:r>
      <w:r w:rsidRPr="003C47A7">
        <w:rPr>
          <w:rFonts w:ascii="Lato" w:hAnsi="Lato" w:cstheme="minorHAnsi"/>
          <w:sz w:val="20"/>
          <w:szCs w:val="20"/>
          <w:u w:val="single"/>
        </w:rPr>
        <w:br/>
        <w:t>w art. 36a ust. 1a ustawy Pb</w:t>
      </w:r>
      <w:r w:rsidRPr="003C47A7">
        <w:rPr>
          <w:rFonts w:ascii="Lato" w:hAnsi="Lato" w:cstheme="minorHAnsi"/>
          <w:sz w:val="20"/>
          <w:szCs w:val="20"/>
        </w:rPr>
        <w:t xml:space="preserve">, tj. zgłoszenia budowy, </w:t>
      </w:r>
      <w:r w:rsidRPr="003C47A7">
        <w:rPr>
          <w:rFonts w:ascii="Lato" w:hAnsi="Lato"/>
          <w:sz w:val="20"/>
          <w:szCs w:val="20"/>
        </w:rPr>
        <w:t>o której mowa w art. 29 ust. 1 pkt 1-4, lub przebudowy, o której mowa w art. 29 ust. 3 pkt 1 lit. a, oraz instalowania, o którym mowa w art. 29 ust. 3 pkt 3 lit. d,</w:t>
      </w:r>
      <w:r w:rsidRPr="003C47A7">
        <w:rPr>
          <w:rFonts w:ascii="Lato" w:hAnsi="Lato" w:cstheme="minorHAnsi"/>
          <w:sz w:val="20"/>
          <w:szCs w:val="20"/>
        </w:rPr>
        <w:t>, nie zaś</w:t>
      </w:r>
      <w:r w:rsidRPr="003C47A7">
        <w:rPr>
          <w:rFonts w:ascii="Lato" w:hAnsi="Lato" w:cstheme="minorHAnsi"/>
          <w:sz w:val="20"/>
          <w:szCs w:val="20"/>
        </w:rPr>
        <w:t xml:space="preserve"> tzw. „</w:t>
      </w:r>
      <w:r w:rsidRPr="003C47A7">
        <w:rPr>
          <w:rFonts w:ascii="Lato" w:hAnsi="Lato" w:cstheme="minorHAnsi"/>
          <w:sz w:val="20"/>
          <w:szCs w:val="20"/>
        </w:rPr>
        <w:t>zgłoszenia zwykłego”</w:t>
      </w:r>
      <w:r w:rsidRPr="003C47A7">
        <w:rPr>
          <w:rFonts w:ascii="Lato" w:hAnsi="Lato" w:cstheme="minorHAnsi"/>
          <w:sz w:val="20"/>
          <w:szCs w:val="20"/>
        </w:rPr>
        <w:t xml:space="preserve"> do którego</w:t>
      </w:r>
      <w:r w:rsidRPr="003C47A7">
        <w:rPr>
          <w:rFonts w:ascii="Lato" w:hAnsi="Lato" w:cstheme="minorHAnsi"/>
          <w:sz w:val="20"/>
          <w:szCs w:val="20"/>
        </w:rPr>
        <w:t xml:space="preserve">, zgodnie </w:t>
      </w:r>
      <w:r>
        <w:rPr>
          <w:rFonts w:ascii="Lato" w:hAnsi="Lato" w:cstheme="minorHAnsi"/>
          <w:sz w:val="20"/>
          <w:szCs w:val="20"/>
        </w:rPr>
        <w:br/>
      </w:r>
      <w:r w:rsidRPr="003C47A7">
        <w:rPr>
          <w:rFonts w:ascii="Lato" w:hAnsi="Lato" w:cstheme="minorHAnsi"/>
          <w:sz w:val="20"/>
          <w:szCs w:val="20"/>
        </w:rPr>
        <w:t>z art. 30 ust. 2a pkt 2 należy dołączyć w szczególności wyłącznie odpowiednie szkice lub rysunki - w zależności od potrzeb.</w:t>
      </w:r>
    </w:p>
    <w:p w14:paraId="01CFC59B" w14:textId="77777777" w:rsidR="00000000" w:rsidRPr="003C47A7" w:rsidRDefault="00000000" w:rsidP="003C47A7">
      <w:pPr>
        <w:spacing w:after="120" w:line="240" w:lineRule="exact"/>
        <w:rPr>
          <w:rFonts w:ascii="Lato" w:hAnsi="Lato"/>
          <w:sz w:val="20"/>
          <w:szCs w:val="20"/>
        </w:rPr>
      </w:pPr>
      <w:r w:rsidRPr="003C47A7">
        <w:rPr>
          <w:rFonts w:ascii="Lato" w:hAnsi="Lato" w:cstheme="minorHAnsi"/>
          <w:sz w:val="20"/>
          <w:szCs w:val="20"/>
        </w:rPr>
        <w:lastRenderedPageBreak/>
        <w:t>Tym samym</w:t>
      </w:r>
      <w:r w:rsidRPr="003C47A7">
        <w:rPr>
          <w:rFonts w:ascii="Lato" w:hAnsi="Lato" w:cstheme="minorHAnsi"/>
          <w:sz w:val="20"/>
          <w:szCs w:val="20"/>
        </w:rPr>
        <w:t xml:space="preserve">, w przypadku budowy obiektu budowlanego wymagającego </w:t>
      </w:r>
      <w:r w:rsidRPr="003C47A7">
        <w:rPr>
          <w:rFonts w:ascii="Lato" w:hAnsi="Lato" w:cstheme="minorHAnsi"/>
          <w:sz w:val="20"/>
          <w:szCs w:val="20"/>
        </w:rPr>
        <w:t>wyłącznie zgłoszenia (art. 29 ust. 1</w:t>
      </w:r>
      <w:r w:rsidRPr="003C47A7">
        <w:rPr>
          <w:rFonts w:ascii="Lato" w:hAnsi="Lato" w:cstheme="minorHAnsi"/>
          <w:sz w:val="20"/>
          <w:szCs w:val="20"/>
        </w:rPr>
        <w:t xml:space="preserve"> ustawy Pb</w:t>
      </w:r>
      <w:r w:rsidRPr="003C47A7">
        <w:rPr>
          <w:rFonts w:ascii="Lato" w:hAnsi="Lato" w:cstheme="minorHAnsi"/>
          <w:sz w:val="20"/>
          <w:szCs w:val="20"/>
        </w:rPr>
        <w:t xml:space="preserve">), do którego nie ma obowiązku </w:t>
      </w:r>
      <w:r w:rsidRPr="003C47A7">
        <w:rPr>
          <w:rFonts w:ascii="Lato" w:hAnsi="Lato" w:cstheme="minorHAnsi"/>
          <w:sz w:val="20"/>
          <w:szCs w:val="20"/>
        </w:rPr>
        <w:t>dołączenia projektu zagospodarowania działki</w:t>
      </w:r>
      <w:r w:rsidRPr="003C47A7">
        <w:rPr>
          <w:rFonts w:ascii="Lato" w:hAnsi="Lato" w:cstheme="minorHAnsi"/>
          <w:sz w:val="20"/>
          <w:szCs w:val="20"/>
        </w:rPr>
        <w:t xml:space="preserve"> lub terenu oraz projektu architektoniczno-budowlanego </w:t>
      </w:r>
      <w:r w:rsidRPr="003C47A7">
        <w:rPr>
          <w:rFonts w:ascii="Lato" w:hAnsi="Lato" w:cstheme="minorHAnsi"/>
          <w:sz w:val="20"/>
          <w:szCs w:val="20"/>
        </w:rPr>
        <w:t>(np.  budowa budynku rekreacji indywidualnej, o którym mowa w art. 29 ust. 1 pkt 16 ustawy Pb</w:t>
      </w:r>
      <w:r w:rsidRPr="003C47A7">
        <w:rPr>
          <w:rFonts w:ascii="Lato" w:hAnsi="Lato" w:cstheme="minorHAnsi"/>
          <w:sz w:val="20"/>
          <w:szCs w:val="20"/>
        </w:rPr>
        <w:t>), procedury dotyczące „istotnego</w:t>
      </w:r>
      <w:r w:rsidRPr="003C47A7">
        <w:rPr>
          <w:rFonts w:ascii="Lato" w:hAnsi="Lato" w:cstheme="minorHAnsi"/>
          <w:sz w:val="20"/>
          <w:szCs w:val="20"/>
        </w:rPr>
        <w:t xml:space="preserve"> odstąpienia” nie mają i nie mogą mieć zastosowania. Do takich inwestycji nie stosuje się pojęć „istotnego odstąpienia” i „nieistotnego odstąpienia” oraz wskazanych powyżej przepisów. </w:t>
      </w:r>
    </w:p>
    <w:p w14:paraId="1ADC8E26" w14:textId="77777777" w:rsidR="00000000" w:rsidRPr="003C47A7" w:rsidRDefault="00000000" w:rsidP="003C47A7">
      <w:pPr>
        <w:spacing w:after="120" w:line="240" w:lineRule="exact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 xml:space="preserve">Warto również wskazać, że </w:t>
      </w:r>
      <w:r w:rsidRPr="003C47A7">
        <w:rPr>
          <w:rFonts w:ascii="Lato" w:hAnsi="Lato" w:cstheme="minorHAnsi"/>
          <w:bCs/>
          <w:sz w:val="20"/>
          <w:szCs w:val="20"/>
        </w:rPr>
        <w:t xml:space="preserve">przepis </w:t>
      </w:r>
      <w:r w:rsidRPr="003C47A7">
        <w:rPr>
          <w:rFonts w:ascii="Lato" w:hAnsi="Lato" w:cstheme="minorHAnsi"/>
          <w:bCs/>
          <w:sz w:val="20"/>
          <w:szCs w:val="20"/>
        </w:rPr>
        <w:t>art. 29 ust. 1 pkt 16 ustawy Pb na podstawie</w:t>
      </w:r>
      <w:r w:rsidRPr="003C47A7">
        <w:rPr>
          <w:rFonts w:ascii="Lato" w:hAnsi="Lato" w:cstheme="minorHAnsi"/>
          <w:bCs/>
          <w:sz w:val="20"/>
          <w:szCs w:val="20"/>
        </w:rPr>
        <w:t xml:space="preserve"> którego, nie wymaga pozwolenia na budowę natomiast wymaga zgłoszenia, o którym mowa </w:t>
      </w:r>
      <w:r>
        <w:rPr>
          <w:rFonts w:ascii="Lato" w:hAnsi="Lato" w:cstheme="minorHAnsi"/>
          <w:bCs/>
          <w:sz w:val="20"/>
          <w:szCs w:val="20"/>
        </w:rPr>
        <w:br/>
      </w:r>
      <w:r w:rsidRPr="003C47A7">
        <w:rPr>
          <w:rFonts w:ascii="Lato" w:hAnsi="Lato" w:cstheme="minorHAnsi"/>
          <w:bCs/>
          <w:sz w:val="20"/>
          <w:szCs w:val="20"/>
        </w:rPr>
        <w:t xml:space="preserve">w art. 30, </w:t>
      </w:r>
      <w:r w:rsidRPr="003C47A7">
        <w:rPr>
          <w:rFonts w:ascii="Lato" w:hAnsi="Lato" w:cstheme="minorHAnsi"/>
          <w:bCs/>
          <w:sz w:val="20"/>
          <w:szCs w:val="20"/>
        </w:rPr>
        <w:t xml:space="preserve">budowa 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 xml:space="preserve">wolno stojących parterowych budynków rekreacji indywidualnej rozumianych jako budynki przeznaczone do okresowego wypoczynku, o powierzchni zabudowy: 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br/>
        <w:t>a) do 35 m</w:t>
      </w:r>
      <w:r w:rsidRPr="003C47A7">
        <w:rPr>
          <w:rFonts w:ascii="Lato" w:eastAsia="Times New Roman" w:hAnsi="Lato" w:cs="Times New Roman"/>
          <w:sz w:val="20"/>
          <w:szCs w:val="20"/>
          <w:vertAlign w:val="superscript"/>
          <w:lang w:eastAsia="pl-PL"/>
        </w:rPr>
        <w:t>2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 xml:space="preserve">, 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br/>
        <w:t>b) powyżej 35 m</w:t>
      </w:r>
      <w:r w:rsidRPr="003C47A7">
        <w:rPr>
          <w:rFonts w:ascii="Lato" w:eastAsia="Times New Roman" w:hAnsi="Lato" w:cs="Times New Roman"/>
          <w:sz w:val="20"/>
          <w:szCs w:val="20"/>
          <w:vertAlign w:val="superscript"/>
          <w:lang w:eastAsia="pl-PL"/>
        </w:rPr>
        <w:t>2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>, ale nie więcej niż 70 m</w:t>
      </w:r>
      <w:r w:rsidRPr="003C47A7">
        <w:rPr>
          <w:rFonts w:ascii="Lato" w:eastAsia="Times New Roman" w:hAnsi="Lato" w:cs="Times New Roman"/>
          <w:sz w:val="20"/>
          <w:szCs w:val="20"/>
          <w:vertAlign w:val="superscript"/>
          <w:lang w:eastAsia="pl-PL"/>
        </w:rPr>
        <w:t>2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 xml:space="preserve">, przy rozpiętości elementów konstrukcyjnych do 6 m i wysięgu wsporników do 2 m 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br/>
        <w:t xml:space="preserve">- przy czym liczba tych budynków na działce nie może być większa niż jeden na każde 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br/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>500 m</w:t>
      </w:r>
      <w:r w:rsidRPr="003C47A7">
        <w:rPr>
          <w:rFonts w:ascii="Lato" w:eastAsia="Times New Roman" w:hAnsi="Lato" w:cs="Times New Roman"/>
          <w:sz w:val="20"/>
          <w:szCs w:val="20"/>
          <w:vertAlign w:val="superscript"/>
          <w:lang w:eastAsia="pl-PL"/>
        </w:rPr>
        <w:t>2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 xml:space="preserve"> powierzchni działk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>i,</w:t>
      </w:r>
      <w:r w:rsidRPr="003C47A7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Pr="003C47A7">
        <w:rPr>
          <w:rFonts w:ascii="Lato" w:hAnsi="Lato" w:cstheme="minorHAnsi"/>
          <w:bCs/>
          <w:sz w:val="20"/>
          <w:szCs w:val="20"/>
          <w:u w:val="single"/>
        </w:rPr>
        <w:t xml:space="preserve">nie przewiduje wymogu określonej wysokości </w:t>
      </w:r>
      <w:r w:rsidRPr="003C47A7">
        <w:rPr>
          <w:rFonts w:ascii="Lato" w:hAnsi="Lato" w:cstheme="minorHAnsi"/>
          <w:bCs/>
          <w:sz w:val="20"/>
          <w:szCs w:val="20"/>
          <w:u w:val="single"/>
        </w:rPr>
        <w:t>takiego budynku</w:t>
      </w:r>
      <w:r w:rsidRPr="003C47A7">
        <w:rPr>
          <w:rFonts w:ascii="Lato" w:hAnsi="Lato" w:cstheme="minorHAnsi"/>
          <w:bCs/>
          <w:sz w:val="20"/>
          <w:szCs w:val="20"/>
          <w:u w:val="single"/>
        </w:rPr>
        <w:t>.</w:t>
      </w:r>
      <w:r w:rsidRPr="003C47A7">
        <w:rPr>
          <w:rFonts w:ascii="Lato" w:hAnsi="Lato" w:cstheme="minorHAnsi"/>
          <w:bCs/>
          <w:sz w:val="20"/>
          <w:szCs w:val="20"/>
        </w:rPr>
        <w:t xml:space="preserve">  </w:t>
      </w:r>
    </w:p>
    <w:p w14:paraId="1A45FC2F" w14:textId="77777777" w:rsidR="00000000" w:rsidRPr="003C47A7" w:rsidRDefault="00000000" w:rsidP="003C47A7">
      <w:pPr>
        <w:spacing w:after="120" w:line="240" w:lineRule="exact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 xml:space="preserve">Niemniej jednak należy mieć na uwadze, że zgodnie z art. 4 ust. 1 i 2 ustawy </w:t>
      </w:r>
      <w:r w:rsidRPr="003C47A7">
        <w:rPr>
          <w:rFonts w:ascii="Lato" w:hAnsi="Lato" w:cstheme="minorHAnsi"/>
          <w:bCs/>
          <w:sz w:val="20"/>
          <w:szCs w:val="20"/>
        </w:rPr>
        <w:br/>
        <w:t xml:space="preserve">z dnia 27 marca 2003 r. o planowaniu i zagospodarowaniu przestrzennym </w:t>
      </w:r>
      <w:r w:rsidRPr="003C47A7">
        <w:rPr>
          <w:rFonts w:ascii="Lato" w:hAnsi="Lato" w:cstheme="minorHAnsi"/>
          <w:bCs/>
          <w:sz w:val="20"/>
          <w:szCs w:val="20"/>
        </w:rPr>
        <w:br/>
        <w:t xml:space="preserve">(Dz. U. z 2023 r. poz. 977), dalej „upzp”, ustalenie przeznaczenia terenu, rozmieszczenie inwestycji celu publicznego oraz </w:t>
      </w:r>
      <w:r w:rsidRPr="003C47A7">
        <w:rPr>
          <w:rFonts w:ascii="Lato" w:hAnsi="Lato" w:cstheme="minorHAnsi"/>
          <w:bCs/>
          <w:sz w:val="20"/>
          <w:szCs w:val="20"/>
          <w:u w:val="single"/>
        </w:rPr>
        <w:t>określenie sposobów zagospodarowania i warunków zabudowy terenu następuje w miejscowym planie zagospodarowania przestrzennego</w:t>
      </w:r>
      <w:r w:rsidRPr="003C47A7">
        <w:rPr>
          <w:rFonts w:ascii="Lato" w:hAnsi="Lato" w:cstheme="minorHAnsi"/>
          <w:bCs/>
          <w:sz w:val="20"/>
          <w:szCs w:val="20"/>
        </w:rPr>
        <w:t xml:space="preserve">. </w:t>
      </w:r>
      <w:r>
        <w:rPr>
          <w:rFonts w:ascii="Lato" w:hAnsi="Lato" w:cstheme="minorHAnsi"/>
          <w:bCs/>
          <w:sz w:val="20"/>
          <w:szCs w:val="20"/>
        </w:rPr>
        <w:br/>
      </w:r>
      <w:r w:rsidRPr="003C47A7">
        <w:rPr>
          <w:rFonts w:ascii="Lato" w:hAnsi="Lato" w:cstheme="minorHAnsi"/>
          <w:bCs/>
          <w:sz w:val="20"/>
          <w:szCs w:val="20"/>
        </w:rPr>
        <w:t xml:space="preserve">W przypadku braku miejscowego planu zagospodarowania przestrzennego określenie sposobów zagospodarowania i warunków zabudowy terenu następuje w drodze decyzji </w:t>
      </w:r>
      <w:r>
        <w:rPr>
          <w:rFonts w:ascii="Lato" w:hAnsi="Lato" w:cstheme="minorHAnsi"/>
          <w:bCs/>
          <w:sz w:val="20"/>
          <w:szCs w:val="20"/>
        </w:rPr>
        <w:br/>
      </w:r>
      <w:r w:rsidRPr="003C47A7">
        <w:rPr>
          <w:rFonts w:ascii="Lato" w:hAnsi="Lato" w:cstheme="minorHAnsi"/>
          <w:bCs/>
          <w:sz w:val="20"/>
          <w:szCs w:val="20"/>
        </w:rPr>
        <w:t>o warunkach zabudowy i zagospodarowania terenu, przy czym:</w:t>
      </w:r>
      <w:r w:rsidRPr="003C47A7">
        <w:rPr>
          <w:rFonts w:ascii="Lato" w:hAnsi="Lato" w:cstheme="minorHAnsi"/>
          <w:bCs/>
          <w:sz w:val="20"/>
          <w:szCs w:val="20"/>
        </w:rPr>
        <w:br/>
        <w:t>1) lokalizację inwestycji celu publicznego ustala się w drodze decyzji o lokalizacji inwestycji celu publicznego;</w:t>
      </w:r>
      <w:r w:rsidRPr="003C47A7">
        <w:rPr>
          <w:rFonts w:ascii="Lato" w:hAnsi="Lato" w:cstheme="minorHAnsi"/>
          <w:bCs/>
          <w:sz w:val="20"/>
          <w:szCs w:val="20"/>
        </w:rPr>
        <w:br/>
        <w:t xml:space="preserve">2) sposób zagospodarowania terenu i warunki zabudowy dla innych inwestycji ustala się </w:t>
      </w:r>
      <w:r w:rsidRPr="003C47A7">
        <w:rPr>
          <w:rFonts w:ascii="Lato" w:hAnsi="Lato" w:cstheme="minorHAnsi"/>
          <w:bCs/>
          <w:sz w:val="20"/>
          <w:szCs w:val="20"/>
        </w:rPr>
        <w:br/>
        <w:t>w drodze decyzji o warunkach zabudowy.</w:t>
      </w:r>
    </w:p>
    <w:p w14:paraId="09E86048" w14:textId="77777777" w:rsidR="00000000" w:rsidRPr="003C47A7" w:rsidRDefault="00000000" w:rsidP="00AD069A">
      <w:pPr>
        <w:spacing w:after="120" w:line="240" w:lineRule="exact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theme="minorHAnsi"/>
          <w:bCs/>
          <w:sz w:val="20"/>
          <w:szCs w:val="20"/>
        </w:rPr>
        <w:t xml:space="preserve">Dlatego też </w:t>
      </w:r>
      <w:r w:rsidRPr="003C47A7">
        <w:rPr>
          <w:rFonts w:ascii="Lato" w:hAnsi="Lato" w:cstheme="minorHAnsi"/>
          <w:bCs/>
          <w:sz w:val="20"/>
          <w:szCs w:val="20"/>
        </w:rPr>
        <w:t xml:space="preserve">przepisy planistyczne </w:t>
      </w:r>
      <w:r w:rsidRPr="003C47A7">
        <w:rPr>
          <w:rFonts w:ascii="Lato" w:hAnsi="Lato" w:cstheme="minorHAnsi"/>
          <w:bCs/>
          <w:sz w:val="20"/>
          <w:szCs w:val="20"/>
        </w:rPr>
        <w:t>mogą ograniczać</w:t>
      </w:r>
      <w:r w:rsidRPr="003C47A7">
        <w:rPr>
          <w:rFonts w:ascii="Lato" w:hAnsi="Lato" w:cstheme="minorHAnsi"/>
          <w:bCs/>
          <w:sz w:val="20"/>
          <w:szCs w:val="20"/>
        </w:rPr>
        <w:t xml:space="preserve"> </w:t>
      </w:r>
      <w:r w:rsidRPr="003C47A7">
        <w:rPr>
          <w:rFonts w:ascii="Lato" w:hAnsi="Lato" w:cstheme="minorHAnsi"/>
          <w:bCs/>
          <w:sz w:val="20"/>
          <w:szCs w:val="20"/>
        </w:rPr>
        <w:t>wysokość zabudowy</w:t>
      </w:r>
      <w:r w:rsidRPr="003C47A7">
        <w:rPr>
          <w:rFonts w:ascii="Lato" w:hAnsi="Lato" w:cstheme="minorHAnsi"/>
          <w:bCs/>
          <w:sz w:val="20"/>
          <w:szCs w:val="20"/>
        </w:rPr>
        <w:t xml:space="preserve">, </w:t>
      </w:r>
      <w:r w:rsidRPr="003C47A7">
        <w:rPr>
          <w:rFonts w:ascii="Lato" w:hAnsi="Lato" w:cstheme="minorHAnsi"/>
          <w:bCs/>
          <w:sz w:val="20"/>
          <w:szCs w:val="20"/>
        </w:rPr>
        <w:t>co</w:t>
      </w:r>
      <w:r w:rsidRPr="003C47A7">
        <w:rPr>
          <w:rFonts w:ascii="Lato" w:hAnsi="Lato" w:cstheme="minorHAnsi"/>
          <w:bCs/>
          <w:sz w:val="20"/>
          <w:szCs w:val="20"/>
        </w:rPr>
        <w:t xml:space="preserve"> </w:t>
      </w:r>
      <w:r w:rsidRPr="003C47A7">
        <w:rPr>
          <w:rFonts w:ascii="Lato" w:hAnsi="Lato" w:cstheme="minorHAnsi"/>
          <w:bCs/>
          <w:sz w:val="20"/>
          <w:szCs w:val="20"/>
        </w:rPr>
        <w:t xml:space="preserve">skutkuje koniecznością budowy </w:t>
      </w:r>
      <w:r w:rsidRPr="003C47A7">
        <w:rPr>
          <w:rFonts w:ascii="Lato" w:hAnsi="Lato" w:cstheme="minorHAnsi"/>
          <w:bCs/>
          <w:sz w:val="20"/>
          <w:szCs w:val="20"/>
        </w:rPr>
        <w:t>obiektów budowlanych o określonej wysokości</w:t>
      </w:r>
      <w:r w:rsidRPr="003C47A7">
        <w:rPr>
          <w:rFonts w:ascii="Lato" w:hAnsi="Lato" w:cstheme="minorHAnsi"/>
          <w:bCs/>
          <w:sz w:val="20"/>
          <w:szCs w:val="20"/>
        </w:rPr>
        <w:t xml:space="preserve">, w sposób zgodny </w:t>
      </w:r>
      <w:r w:rsidRPr="003C47A7">
        <w:rPr>
          <w:rFonts w:ascii="Lato" w:hAnsi="Lato" w:cstheme="minorHAnsi"/>
          <w:bCs/>
          <w:sz w:val="20"/>
          <w:szCs w:val="20"/>
        </w:rPr>
        <w:br/>
      </w:r>
      <w:r w:rsidRPr="003C47A7">
        <w:rPr>
          <w:rFonts w:ascii="Lato" w:hAnsi="Lato" w:cstheme="minorHAnsi"/>
          <w:bCs/>
          <w:sz w:val="20"/>
          <w:szCs w:val="20"/>
        </w:rPr>
        <w:t>z tymi przepisami</w:t>
      </w:r>
      <w:r w:rsidRPr="003C47A7">
        <w:rPr>
          <w:rFonts w:ascii="Lato" w:hAnsi="Lato" w:cstheme="minorHAnsi"/>
          <w:bCs/>
          <w:sz w:val="20"/>
          <w:szCs w:val="20"/>
        </w:rPr>
        <w:t>.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AD069A">
        <w:rPr>
          <w:rFonts w:ascii="Lato" w:hAnsi="Lato" w:cstheme="minorHAnsi"/>
          <w:bCs/>
          <w:sz w:val="20"/>
          <w:szCs w:val="20"/>
        </w:rPr>
        <w:t>Jednakże ocena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AD069A">
        <w:rPr>
          <w:rFonts w:ascii="Lato" w:hAnsi="Lato" w:cstheme="minorHAnsi"/>
          <w:bCs/>
          <w:sz w:val="20"/>
          <w:szCs w:val="20"/>
        </w:rPr>
        <w:t xml:space="preserve">w tym zakresie należy do </w:t>
      </w:r>
      <w:r>
        <w:rPr>
          <w:rFonts w:ascii="Lato" w:hAnsi="Lato" w:cstheme="minorHAnsi"/>
          <w:bCs/>
          <w:sz w:val="20"/>
          <w:szCs w:val="20"/>
        </w:rPr>
        <w:t xml:space="preserve">właściwych </w:t>
      </w:r>
      <w:r w:rsidRPr="00AD069A">
        <w:rPr>
          <w:rFonts w:ascii="Lato" w:hAnsi="Lato" w:cstheme="minorHAnsi"/>
          <w:bCs/>
          <w:sz w:val="20"/>
          <w:szCs w:val="20"/>
        </w:rPr>
        <w:t>organów prowadzących konkretne postępowanie.</w:t>
      </w:r>
    </w:p>
    <w:p w14:paraId="32C26F64" w14:textId="77777777" w:rsidR="00000000" w:rsidRPr="003C47A7" w:rsidRDefault="00000000" w:rsidP="003C47A7">
      <w:pPr>
        <w:spacing w:after="120" w:line="240" w:lineRule="exact"/>
        <w:rPr>
          <w:rFonts w:ascii="Lato" w:hAnsi="Lato" w:cstheme="minorHAnsi"/>
          <w:bCs/>
          <w:sz w:val="20"/>
          <w:szCs w:val="20"/>
        </w:rPr>
      </w:pPr>
      <w:r w:rsidRPr="003C47A7">
        <w:rPr>
          <w:rFonts w:ascii="Lato" w:hAnsi="Lato" w:cs="Times New Roman"/>
          <w:sz w:val="20"/>
          <w:szCs w:val="20"/>
        </w:rPr>
        <w:t xml:space="preserve">W świetle powyższych wyjaśnień, </w:t>
      </w:r>
      <w:r>
        <w:rPr>
          <w:rFonts w:ascii="Lato" w:hAnsi="Lato" w:cs="Times New Roman"/>
          <w:sz w:val="20"/>
          <w:szCs w:val="20"/>
        </w:rPr>
        <w:t xml:space="preserve">należy uznać, że obecnie obowiązujące regulacje dotyczące przypadków </w:t>
      </w:r>
      <w:r>
        <w:rPr>
          <w:rFonts w:ascii="Lato" w:hAnsi="Lato" w:cs="Times New Roman"/>
          <w:sz w:val="20"/>
          <w:szCs w:val="20"/>
        </w:rPr>
        <w:t xml:space="preserve">tzw. </w:t>
      </w:r>
      <w:r>
        <w:rPr>
          <w:rFonts w:ascii="Lato" w:hAnsi="Lato" w:cs="Times New Roman"/>
          <w:sz w:val="20"/>
          <w:szCs w:val="20"/>
        </w:rPr>
        <w:t>istotn</w:t>
      </w:r>
      <w:r>
        <w:rPr>
          <w:rFonts w:ascii="Lato" w:hAnsi="Lato" w:cs="Times New Roman"/>
          <w:sz w:val="20"/>
          <w:szCs w:val="20"/>
        </w:rPr>
        <w:t>ych</w:t>
      </w:r>
      <w:r>
        <w:rPr>
          <w:rFonts w:ascii="Lato" w:hAnsi="Lato" w:cs="Times New Roman"/>
          <w:sz w:val="20"/>
          <w:szCs w:val="20"/>
        </w:rPr>
        <w:t xml:space="preserve"> i nieistotn</w:t>
      </w:r>
      <w:r>
        <w:rPr>
          <w:rFonts w:ascii="Lato" w:hAnsi="Lato" w:cs="Times New Roman"/>
          <w:sz w:val="20"/>
          <w:szCs w:val="20"/>
        </w:rPr>
        <w:t>ych</w:t>
      </w:r>
      <w:r>
        <w:rPr>
          <w:rFonts w:ascii="Lato" w:hAnsi="Lato" w:cs="Times New Roman"/>
          <w:sz w:val="20"/>
          <w:szCs w:val="20"/>
        </w:rPr>
        <w:t xml:space="preserve"> odstąpie</w:t>
      </w:r>
      <w:r>
        <w:rPr>
          <w:rFonts w:ascii="Lato" w:hAnsi="Lato" w:cs="Times New Roman"/>
          <w:sz w:val="20"/>
          <w:szCs w:val="20"/>
        </w:rPr>
        <w:t>ń</w:t>
      </w:r>
      <w:r>
        <w:rPr>
          <w:rFonts w:ascii="Lato" w:hAnsi="Lato" w:cs="Times New Roman"/>
          <w:sz w:val="20"/>
          <w:szCs w:val="20"/>
        </w:rPr>
        <w:t xml:space="preserve"> są spójne i kompleksowe. W związku z czym </w:t>
      </w:r>
      <w:r w:rsidRPr="003C47A7">
        <w:rPr>
          <w:rFonts w:ascii="Lato" w:hAnsi="Lato" w:cs="Times New Roman"/>
          <w:sz w:val="20"/>
          <w:szCs w:val="20"/>
        </w:rPr>
        <w:t xml:space="preserve">brak jest </w:t>
      </w:r>
      <w:r>
        <w:rPr>
          <w:rFonts w:ascii="Lato" w:hAnsi="Lato" w:cs="Times New Roman"/>
          <w:sz w:val="20"/>
          <w:szCs w:val="20"/>
        </w:rPr>
        <w:t>uzasadnienia</w:t>
      </w:r>
      <w:r w:rsidRPr="003C47A7">
        <w:rPr>
          <w:rFonts w:ascii="Lato" w:hAnsi="Lato" w:cs="Times New Roman"/>
          <w:sz w:val="20"/>
          <w:szCs w:val="20"/>
        </w:rPr>
        <w:t xml:space="preserve"> do uwzględnienia przez</w:t>
      </w:r>
      <w:r w:rsidRPr="003C47A7">
        <w:rPr>
          <w:rFonts w:ascii="Lato" w:hAnsi="Lato" w:cstheme="minorHAnsi"/>
          <w:bCs/>
          <w:sz w:val="20"/>
          <w:szCs w:val="20"/>
        </w:rPr>
        <w:t xml:space="preserve"> </w:t>
      </w:r>
      <w:r w:rsidRPr="003C47A7">
        <w:rPr>
          <w:rFonts w:ascii="Lato" w:hAnsi="Lato" w:cs="Times New Roman"/>
          <w:sz w:val="20"/>
          <w:szCs w:val="20"/>
        </w:rPr>
        <w:t xml:space="preserve">Ministra Rozwoju </w:t>
      </w:r>
      <w:r>
        <w:rPr>
          <w:rFonts w:ascii="Lato" w:hAnsi="Lato" w:cs="Times New Roman"/>
          <w:sz w:val="20"/>
          <w:szCs w:val="20"/>
        </w:rPr>
        <w:br/>
      </w:r>
      <w:r w:rsidRPr="003C47A7">
        <w:rPr>
          <w:rFonts w:ascii="Lato" w:hAnsi="Lato" w:cs="Times New Roman"/>
          <w:sz w:val="20"/>
          <w:szCs w:val="20"/>
        </w:rPr>
        <w:t xml:space="preserve">i Technologii </w:t>
      </w:r>
      <w:r>
        <w:rPr>
          <w:rFonts w:ascii="Lato" w:hAnsi="Lato" w:cs="Times New Roman"/>
          <w:sz w:val="20"/>
          <w:szCs w:val="20"/>
        </w:rPr>
        <w:t xml:space="preserve">postulatów zawartych w </w:t>
      </w:r>
      <w:r w:rsidRPr="003C47A7">
        <w:rPr>
          <w:rFonts w:ascii="Lato" w:hAnsi="Lato" w:cs="Times New Roman"/>
          <w:sz w:val="20"/>
          <w:szCs w:val="20"/>
        </w:rPr>
        <w:t>rozpatrywanej petycji.</w:t>
      </w:r>
    </w:p>
    <w:p w14:paraId="683822DF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3C47A7">
        <w:rPr>
          <w:rFonts w:ascii="Lato" w:hAnsi="Lato" w:cs="Times New Roman"/>
          <w:b/>
          <w:bCs/>
          <w:sz w:val="20"/>
          <w:szCs w:val="20"/>
        </w:rPr>
        <w:t>Pouczenie</w:t>
      </w:r>
    </w:p>
    <w:p w14:paraId="4C9EB328" w14:textId="77777777" w:rsidR="00000000" w:rsidRPr="003C47A7" w:rsidRDefault="00000000" w:rsidP="003C47A7">
      <w:pPr>
        <w:tabs>
          <w:tab w:val="center" w:pos="1470"/>
          <w:tab w:val="left" w:pos="5387"/>
        </w:tabs>
        <w:spacing w:after="120" w:line="240" w:lineRule="exact"/>
        <w:outlineLvl w:val="0"/>
        <w:rPr>
          <w:rFonts w:ascii="Lato" w:hAnsi="Lato" w:cs="Times New Roman"/>
          <w:sz w:val="20"/>
          <w:szCs w:val="20"/>
        </w:rPr>
      </w:pPr>
      <w:r w:rsidRPr="003C47A7">
        <w:rPr>
          <w:rFonts w:ascii="Lato" w:hAnsi="Lato" w:cs="Times New Roman"/>
          <w:sz w:val="20"/>
          <w:szCs w:val="20"/>
        </w:rPr>
        <w:t>Zgodnie z art. 13 ust. 2 ustawy o petycjach sposób załatwienia petycji nie może być przedmiotem skargi.</w:t>
      </w:r>
    </w:p>
    <w:p w14:paraId="7F4BDFD1" w14:textId="77777777" w:rsidR="00000000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z </w:t>
      </w:r>
      <w:r w:rsidRPr="0093525C">
        <w:rPr>
          <w:rFonts w:ascii="Lato" w:hAnsi="Lato"/>
          <w:b/>
          <w:bCs/>
          <w:sz w:val="20"/>
        </w:rPr>
        <w:t>wyrazami szacunku</w:t>
      </w:r>
    </w:p>
    <w:p w14:paraId="1CD65069" w14:textId="77777777" w:rsidR="00000000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4" w:name="ezdPracownikNazwa"/>
      <w:r w:rsidRPr="00565D32">
        <w:rPr>
          <w:rFonts w:ascii="Lato" w:hAnsi="Lato"/>
          <w:sz w:val="20"/>
        </w:rPr>
        <w:t>Bartłomiej Stecki</w:t>
      </w:r>
      <w:bookmarkEnd w:id="34"/>
    </w:p>
    <w:p w14:paraId="64D78CCE" w14:textId="77777777" w:rsidR="00000000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5" w:name="ezdPracownikStanowisko"/>
      <w:r w:rsidRPr="00565D32">
        <w:rPr>
          <w:rFonts w:ascii="Lato" w:hAnsi="Lato"/>
          <w:sz w:val="20"/>
        </w:rPr>
        <w:t>zastępca dyrektora departamentu</w:t>
      </w:r>
      <w:bookmarkEnd w:id="35"/>
    </w:p>
    <w:p w14:paraId="3C41B1AC" w14:textId="77777777" w:rsidR="00000000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6" w:name="ezdPracownikAtrybut3"/>
      <w:r w:rsidRPr="00565D32">
        <w:rPr>
          <w:rFonts w:ascii="Lato" w:hAnsi="Lato"/>
          <w:sz w:val="20"/>
        </w:rPr>
        <w:t>/ kwalifikowany podpis elektroniczny /</w:t>
      </w:r>
      <w:bookmarkEnd w:id="36"/>
    </w:p>
    <w:p w14:paraId="3F49F079" w14:textId="77777777" w:rsidR="00000000" w:rsidRDefault="00000000" w:rsidP="003C47A7">
      <w:pPr>
        <w:tabs>
          <w:tab w:val="center" w:pos="1470"/>
          <w:tab w:val="left" w:pos="5387"/>
        </w:tabs>
        <w:spacing w:after="0" w:line="240" w:lineRule="exact"/>
        <w:outlineLvl w:val="0"/>
        <w:rPr>
          <w:rFonts w:ascii="Lato" w:hAnsi="Lato" w:cs="Times New Roman"/>
          <w:b/>
          <w:bCs/>
          <w:sz w:val="20"/>
          <w:szCs w:val="20"/>
        </w:rPr>
      </w:pPr>
    </w:p>
    <w:p w14:paraId="129B1565" w14:textId="77777777" w:rsidR="00000000" w:rsidRDefault="00000000" w:rsidP="003C47A7">
      <w:pPr>
        <w:tabs>
          <w:tab w:val="center" w:pos="1470"/>
          <w:tab w:val="left" w:pos="5387"/>
        </w:tabs>
        <w:spacing w:after="0" w:line="240" w:lineRule="exact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244077">
        <w:rPr>
          <w:rFonts w:ascii="Lato" w:hAnsi="Lato" w:cs="Times New Roman"/>
          <w:b/>
          <w:bCs/>
          <w:sz w:val="20"/>
          <w:szCs w:val="20"/>
        </w:rPr>
        <w:lastRenderedPageBreak/>
        <w:t>Informacja o przetwarzaniu danych osobowych.</w:t>
      </w:r>
    </w:p>
    <w:p w14:paraId="62908973" w14:textId="77777777" w:rsidR="00000000" w:rsidRPr="00022D56" w:rsidRDefault="00000000" w:rsidP="003C47A7">
      <w:pPr>
        <w:spacing w:after="0" w:line="240" w:lineRule="exact"/>
        <w:rPr>
          <w:rFonts w:ascii="Lato" w:hAnsi="Lato" w:cs="Calibri"/>
          <w:sz w:val="20"/>
          <w:szCs w:val="20"/>
        </w:rPr>
      </w:pPr>
      <w:r w:rsidRPr="00022D56">
        <w:rPr>
          <w:rFonts w:ascii="Lato" w:hAnsi="Lato" w:cs="Calibri"/>
          <w:sz w:val="20"/>
          <w:szCs w:val="20"/>
        </w:rPr>
        <w:t xml:space="preserve">Zgodnie </w:t>
      </w:r>
      <w:r w:rsidRPr="003C47A7">
        <w:rPr>
          <w:rFonts w:ascii="Lato" w:hAnsi="Lato" w:cs="Calibri"/>
          <w:sz w:val="20"/>
          <w:szCs w:val="20"/>
        </w:rPr>
        <w:t>z art. 14</w:t>
      </w:r>
      <w:r w:rsidRPr="00022D56">
        <w:rPr>
          <w:rFonts w:ascii="Lato" w:hAnsi="Lato" w:cs="Calibri"/>
          <w:sz w:val="20"/>
          <w:szCs w:val="20"/>
        </w:rPr>
        <w:t xml:space="preserve"> Rozporządzenia Parlamentu Europejskiego i Rady (UE) 2016/679 </w:t>
      </w:r>
      <w:r w:rsidRPr="00022D56">
        <w:rPr>
          <w:rFonts w:ascii="Lato" w:hAnsi="Lato" w:cs="Calibri"/>
          <w:sz w:val="20"/>
          <w:szCs w:val="20"/>
        </w:rPr>
        <w:br/>
        <w:t>z dnia 27 kwietnia 2016 r. w sprawie ochrony osób fizycznych w związku z przetwarzaniem danych osobowych i w sprawie swobodnego przepływu takich danych oraz uchylenia dyrektywy 95/46/WE (Dz. U. UE 119 z 4 maja 2016, str. 1 z późn. zm.), zwanego dalej „RODO”, informuję, że:</w:t>
      </w:r>
    </w:p>
    <w:p w14:paraId="5DF5DEBC" w14:textId="77777777" w:rsidR="00000000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 xml:space="preserve">1. Administratorem Pani/Pana danych osobowych jest Minister Rozwoju i Technologii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z siedzibą w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Warszawie, przy Placu Trzech Krzyży 3/5, 00-507 Warszawa, e-mail: kancelaria@mrit.gov.pl, tel.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+48 222 500 123, adres skrytki na ePUAP: /MRPiT/SkrytkaESP, natomiast wykonującym obowiązki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 xml:space="preserve">administratora jest Dyrektor Departamentu </w:t>
      </w:r>
      <w:r>
        <w:rPr>
          <w:rFonts w:ascii="Lato" w:hAnsi="Lato" w:cstheme="minorHAnsi"/>
          <w:sz w:val="20"/>
          <w:szCs w:val="20"/>
        </w:rPr>
        <w:t>Architektury, Budownictwa i Geodezji</w:t>
      </w:r>
      <w:r w:rsidRPr="00074015">
        <w:rPr>
          <w:rFonts w:ascii="Lato" w:hAnsi="Lato" w:cstheme="minorHAnsi"/>
          <w:sz w:val="20"/>
          <w:szCs w:val="20"/>
        </w:rPr>
        <w:t>.</w:t>
      </w:r>
    </w:p>
    <w:p w14:paraId="3C6EC9F5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>2. Dane kontaktowe do Inspektora Ochrony Danych: Inspektor Ochrony Danych, Ministerstwo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 xml:space="preserve">Rozwoju i Technologii, Plac Trzech Krzyży 3/5, 00-507 Warszawa, adres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e-mail: iod@mrit.gov.pl.</w:t>
      </w:r>
    </w:p>
    <w:p w14:paraId="014698EB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 xml:space="preserve">3. Pani/Pana dane osobowe będą przetwarzane na podstawie art. 6 ust. 1 lit. c RODO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tj. wypełnienia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obowiązku prawnego ciążącego na administratorze na podstawie przepisów ustawy z dnia 11 lipca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2014 r. o petycjach (Dz. U. z 2018 r. poz. 870), w celu rozpatrzenia petycji.</w:t>
      </w:r>
    </w:p>
    <w:p w14:paraId="0C652BD7" w14:textId="77777777" w:rsidR="00000000" w:rsidRPr="003C47A7" w:rsidRDefault="00000000" w:rsidP="003C47A7">
      <w:pPr>
        <w:spacing w:after="0" w:line="240" w:lineRule="exact"/>
        <w:rPr>
          <w:rFonts w:ascii="Lato" w:hAnsi="Lato" w:cs="Calibr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4.</w:t>
      </w:r>
      <w:r w:rsidRPr="008E2EAD">
        <w:rPr>
          <w:rFonts w:ascii="Lato" w:hAnsi="Lato" w:cs="Calibri"/>
          <w:sz w:val="20"/>
          <w:szCs w:val="20"/>
        </w:rPr>
        <w:t xml:space="preserve"> </w:t>
      </w:r>
      <w:r w:rsidRPr="00022D56">
        <w:rPr>
          <w:rFonts w:ascii="Lato" w:hAnsi="Lato" w:cs="Calibri"/>
          <w:sz w:val="20"/>
          <w:szCs w:val="20"/>
        </w:rPr>
        <w:t>Pani/</w:t>
      </w:r>
      <w:r w:rsidRPr="00022D56">
        <w:rPr>
          <w:rFonts w:ascii="Lato" w:hAnsi="Lato" w:cs="Arial"/>
          <w:sz w:val="20"/>
          <w:szCs w:val="20"/>
          <w:lang w:eastAsia="en-GB"/>
        </w:rPr>
        <w:t xml:space="preserve">Pana dane osobowe zostały przekazane przez </w:t>
      </w:r>
      <w:r>
        <w:rPr>
          <w:rFonts w:ascii="Lato" w:hAnsi="Lato" w:cstheme="minorHAnsi"/>
          <w:bCs/>
          <w:sz w:val="20"/>
          <w:szCs w:val="20"/>
        </w:rPr>
        <w:t xml:space="preserve">Ministerstwo Infrastruktury </w:t>
      </w:r>
      <w:r>
        <w:rPr>
          <w:rFonts w:ascii="Lato" w:hAnsi="Lato" w:cstheme="minorHAnsi"/>
          <w:bCs/>
          <w:sz w:val="20"/>
          <w:szCs w:val="20"/>
        </w:rPr>
        <w:br/>
        <w:t>i Kancelarię Prezesa Rady Ministrów</w:t>
      </w:r>
      <w:r w:rsidRPr="00022D56">
        <w:rPr>
          <w:rFonts w:ascii="Lato" w:hAnsi="Lato" w:cs="Arial"/>
          <w:sz w:val="20"/>
          <w:szCs w:val="20"/>
          <w:lang w:eastAsia="en-GB"/>
        </w:rPr>
        <w:t>, które przekazał</w:t>
      </w:r>
      <w:r>
        <w:rPr>
          <w:rFonts w:ascii="Lato" w:hAnsi="Lato" w:cs="Arial"/>
          <w:sz w:val="20"/>
          <w:szCs w:val="20"/>
          <w:lang w:eastAsia="en-GB"/>
        </w:rPr>
        <w:t xml:space="preserve">y </w:t>
      </w:r>
      <w:r w:rsidRPr="00022D56">
        <w:rPr>
          <w:rFonts w:ascii="Lato" w:hAnsi="Lato" w:cs="Arial"/>
          <w:sz w:val="20"/>
          <w:szCs w:val="20"/>
          <w:lang w:eastAsia="en-GB"/>
        </w:rPr>
        <w:t xml:space="preserve">Ministrowi Rozwoju i Technologii </w:t>
      </w:r>
      <w:r>
        <w:rPr>
          <w:rFonts w:ascii="Lato" w:hAnsi="Lato" w:cs="Arial"/>
          <w:sz w:val="20"/>
          <w:szCs w:val="20"/>
          <w:lang w:eastAsia="en-GB"/>
        </w:rPr>
        <w:t>Pani/</w:t>
      </w:r>
      <w:r w:rsidRPr="00022D56">
        <w:rPr>
          <w:rFonts w:ascii="Lato" w:hAnsi="Lato" w:cs="Arial"/>
          <w:sz w:val="20"/>
          <w:szCs w:val="20"/>
          <w:lang w:eastAsia="en-GB"/>
        </w:rPr>
        <w:t>Pana p</w:t>
      </w:r>
      <w:r>
        <w:rPr>
          <w:rFonts w:ascii="Lato" w:hAnsi="Lato" w:cs="Arial"/>
          <w:sz w:val="20"/>
          <w:szCs w:val="20"/>
          <w:lang w:eastAsia="en-GB"/>
        </w:rPr>
        <w:t>etycję</w:t>
      </w:r>
      <w:r w:rsidRPr="00022D56">
        <w:rPr>
          <w:rFonts w:ascii="Lato" w:hAnsi="Lato" w:cs="Arial"/>
          <w:sz w:val="20"/>
          <w:szCs w:val="20"/>
          <w:lang w:eastAsia="en-GB"/>
        </w:rPr>
        <w:t xml:space="preserve"> zgodnie z właściwością. Zakres pozyskanych danych osobowych wynika z treści przekazanej korespondencji i obejmuje</w:t>
      </w:r>
      <w:r w:rsidRPr="003C47A7">
        <w:rPr>
          <w:rFonts w:ascii="Lato" w:hAnsi="Lato" w:cs="Arial"/>
          <w:color w:val="000000" w:themeColor="text1"/>
          <w:sz w:val="20"/>
          <w:szCs w:val="20"/>
          <w:lang w:eastAsia="en-GB"/>
        </w:rPr>
        <w:t>:  imię</w:t>
      </w:r>
      <w:r>
        <w:rPr>
          <w:rFonts w:ascii="Lato" w:hAnsi="Lato" w:cs="Arial"/>
          <w:color w:val="000000" w:themeColor="text1"/>
          <w:sz w:val="20"/>
          <w:szCs w:val="20"/>
          <w:lang w:eastAsia="en-GB"/>
        </w:rPr>
        <w:t xml:space="preserve"> i</w:t>
      </w:r>
      <w:r w:rsidRPr="003C47A7">
        <w:rPr>
          <w:rFonts w:ascii="Lato" w:hAnsi="Lato" w:cs="Arial"/>
          <w:color w:val="000000" w:themeColor="text1"/>
          <w:sz w:val="20"/>
          <w:szCs w:val="20"/>
          <w:lang w:eastAsia="en-GB"/>
        </w:rPr>
        <w:t xml:space="preserve"> nazwisko, adres e-mail</w:t>
      </w:r>
      <w:r>
        <w:rPr>
          <w:rFonts w:ascii="Lato" w:hAnsi="Lato" w:cs="Arial"/>
          <w:color w:val="000000" w:themeColor="text1"/>
          <w:sz w:val="20"/>
          <w:szCs w:val="20"/>
          <w:lang w:eastAsia="en-GB"/>
        </w:rPr>
        <w:t>, adres korespondencyjny, numer telefonu i numer pesel</w:t>
      </w:r>
      <w:r w:rsidRPr="003C47A7">
        <w:rPr>
          <w:rFonts w:ascii="Lato" w:hAnsi="Lato" w:cs="Arial"/>
          <w:color w:val="000000" w:themeColor="text1"/>
          <w:sz w:val="20"/>
          <w:szCs w:val="20"/>
          <w:lang w:eastAsia="en-GB"/>
        </w:rPr>
        <w:t>.</w:t>
      </w:r>
    </w:p>
    <w:p w14:paraId="204FA0FD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5</w:t>
      </w:r>
      <w:r w:rsidRPr="00074015">
        <w:rPr>
          <w:rFonts w:ascii="Lato" w:hAnsi="Lato" w:cstheme="minorHAnsi"/>
          <w:sz w:val="20"/>
          <w:szCs w:val="20"/>
        </w:rPr>
        <w:t>. Odbiorcami Pani/Pana danych osobowych mogą być:</w:t>
      </w:r>
    </w:p>
    <w:p w14:paraId="29DFCCA3" w14:textId="77777777" w:rsidR="00000000" w:rsidRPr="00074015" w:rsidRDefault="00000000" w:rsidP="003C47A7">
      <w:pPr>
        <w:pStyle w:val="Akapitzlist"/>
        <w:numPr>
          <w:ilvl w:val="0"/>
          <w:numId w:val="3"/>
        </w:num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14:paraId="09BA4653" w14:textId="77777777" w:rsidR="00000000" w:rsidRPr="00074015" w:rsidRDefault="00000000" w:rsidP="003C47A7">
      <w:pPr>
        <w:pStyle w:val="Akapitzlist"/>
        <w:numPr>
          <w:ilvl w:val="0"/>
          <w:numId w:val="3"/>
        </w:num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 xml:space="preserve">inne podmioty, które na podstawie stosownych umów podpisanych z MRiT przetwarzają dane osobowe, dla których Administratorem jest Minister Rozwoju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i Technologii.</w:t>
      </w:r>
    </w:p>
    <w:p w14:paraId="4A28835B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6</w:t>
      </w:r>
      <w:r w:rsidRPr="00074015">
        <w:rPr>
          <w:rFonts w:ascii="Lato" w:hAnsi="Lato" w:cstheme="minorHAnsi"/>
          <w:sz w:val="20"/>
          <w:szCs w:val="20"/>
        </w:rPr>
        <w:t>. Pani/Pana dane osobowe będą przechowywane przez okres niezbędny do realizacji celu ich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przetwarzania, nie krócej niż okres wskazany w przepisach ustawy z dnia 14 lipca 1983 r. 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narodowym zasobie archiwalnym i archiwach (Dz. U. z 2020 r. poz. 164</w:t>
      </w:r>
      <w:r>
        <w:rPr>
          <w:rFonts w:ascii="Lato" w:hAnsi="Lato" w:cstheme="minorHAnsi"/>
          <w:sz w:val="20"/>
          <w:szCs w:val="20"/>
        </w:rPr>
        <w:t>, ze zm.</w:t>
      </w:r>
      <w:r w:rsidRPr="00074015">
        <w:rPr>
          <w:rFonts w:ascii="Lato" w:hAnsi="Lato" w:cstheme="minorHAnsi"/>
          <w:sz w:val="20"/>
          <w:szCs w:val="20"/>
        </w:rPr>
        <w:t>).</w:t>
      </w:r>
    </w:p>
    <w:p w14:paraId="0F4407CD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7</w:t>
      </w:r>
      <w:r w:rsidRPr="00074015">
        <w:rPr>
          <w:rFonts w:ascii="Lato" w:hAnsi="Lato" w:cstheme="minorHAnsi"/>
          <w:sz w:val="20"/>
          <w:szCs w:val="20"/>
        </w:rPr>
        <w:t>. W związku z przetwarzaniem Pani/Pana danych osobowych przysługują Pani/Panu następujące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prawa:</w:t>
      </w:r>
    </w:p>
    <w:p w14:paraId="3FEBF513" w14:textId="77777777" w:rsidR="00000000" w:rsidRPr="00074015" w:rsidRDefault="00000000" w:rsidP="003C47A7">
      <w:pPr>
        <w:pStyle w:val="Akapitzlist"/>
        <w:numPr>
          <w:ilvl w:val="0"/>
          <w:numId w:val="4"/>
        </w:num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 xml:space="preserve">prawo dostępu do swoich danych oraz otrzymania ich kopii zgodnie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z art. 15 RODO;</w:t>
      </w:r>
    </w:p>
    <w:p w14:paraId="5A25BD2E" w14:textId="77777777" w:rsidR="00000000" w:rsidRPr="00074015" w:rsidRDefault="00000000" w:rsidP="003C47A7">
      <w:pPr>
        <w:pStyle w:val="Akapitzlist"/>
        <w:numPr>
          <w:ilvl w:val="0"/>
          <w:numId w:val="4"/>
        </w:num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>prawo do sprostowania (poprawiania) swoich danych, jeśli są błędne lub nieaktualne,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zgodnie z art. 16 RODO;</w:t>
      </w:r>
    </w:p>
    <w:p w14:paraId="74D78166" w14:textId="77777777" w:rsidR="00000000" w:rsidRPr="00074015" w:rsidRDefault="00000000" w:rsidP="003C47A7">
      <w:pPr>
        <w:pStyle w:val="Akapitzlist"/>
        <w:numPr>
          <w:ilvl w:val="0"/>
          <w:numId w:val="4"/>
        </w:num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>prawo do ograniczenia przetwarzania danych zgodnie z art. 18 RODO.</w:t>
      </w:r>
    </w:p>
    <w:p w14:paraId="0A8C1148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8</w:t>
      </w:r>
      <w:r w:rsidRPr="00074015">
        <w:rPr>
          <w:rFonts w:ascii="Lato" w:hAnsi="Lato" w:cstheme="minorHAnsi"/>
          <w:sz w:val="20"/>
          <w:szCs w:val="20"/>
        </w:rPr>
        <w:t xml:space="preserve">. Pani/Pana dane nie podlegają zautomatyzowanemu podejmowaniu decyzji,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w tym również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profilowaniu.</w:t>
      </w:r>
    </w:p>
    <w:p w14:paraId="3A7FA7EF" w14:textId="77777777" w:rsidR="00000000" w:rsidRPr="00074015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9</w:t>
      </w:r>
      <w:r w:rsidRPr="00074015">
        <w:rPr>
          <w:rFonts w:ascii="Lato" w:hAnsi="Lato" w:cstheme="minorHAnsi"/>
          <w:sz w:val="20"/>
          <w:szCs w:val="20"/>
        </w:rPr>
        <w:t xml:space="preserve">. Pani/Pana dane osobowe nie będą przekazywane do państwa trzeciego,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ani do organizacji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międzynarodowych.</w:t>
      </w:r>
    </w:p>
    <w:p w14:paraId="4E5A5F2E" w14:textId="77777777" w:rsidR="00000000" w:rsidRDefault="00000000" w:rsidP="003C47A7">
      <w:pPr>
        <w:spacing w:after="0" w:line="240" w:lineRule="exact"/>
        <w:rPr>
          <w:rFonts w:ascii="Lato" w:hAnsi="Lato" w:cstheme="minorHAnsi"/>
          <w:sz w:val="20"/>
          <w:szCs w:val="20"/>
        </w:rPr>
      </w:pPr>
      <w:r w:rsidRPr="00074015">
        <w:rPr>
          <w:rFonts w:ascii="Lato" w:hAnsi="Lato" w:cstheme="minorHAnsi"/>
          <w:sz w:val="20"/>
          <w:szCs w:val="20"/>
        </w:rPr>
        <w:t xml:space="preserve">10. W przypadku powzięcia informacji o niezgodnym z prawem przetwarzaniu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w Ministerstwie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Rozwoju i Technologii Pani/Pana danych osobowych, przysługuje Pani/Panu prawo wniesienia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>skargi do organu nadzorczego właściwego w sprawach ochrony danych osobowych, tj. Prezesa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074015">
        <w:rPr>
          <w:rFonts w:ascii="Lato" w:hAnsi="Lato" w:cstheme="minorHAnsi"/>
          <w:sz w:val="20"/>
          <w:szCs w:val="20"/>
        </w:rPr>
        <w:t xml:space="preserve">Urzędu Ochrony Danych Osobowych, </w:t>
      </w:r>
      <w:r>
        <w:rPr>
          <w:rFonts w:ascii="Lato" w:hAnsi="Lato" w:cstheme="minorHAnsi"/>
          <w:sz w:val="20"/>
          <w:szCs w:val="20"/>
        </w:rPr>
        <w:br/>
      </w:r>
      <w:r w:rsidRPr="00074015">
        <w:rPr>
          <w:rFonts w:ascii="Lato" w:hAnsi="Lato" w:cstheme="minorHAnsi"/>
          <w:sz w:val="20"/>
          <w:szCs w:val="20"/>
        </w:rPr>
        <w:t>ul. Stawki 2, 00-193 Warszawa.</w:t>
      </w:r>
      <w:r>
        <w:rPr>
          <w:rFonts w:ascii="Lato" w:hAnsi="Lato" w:cstheme="minorHAnsi"/>
          <w:sz w:val="20"/>
          <w:szCs w:val="20"/>
        </w:rPr>
        <w:t xml:space="preserve"> </w:t>
      </w:r>
    </w:p>
    <w:p w14:paraId="7C023C00" w14:textId="77777777" w:rsidR="00000000" w:rsidRPr="00CB349D" w:rsidRDefault="00000000" w:rsidP="003C47A7">
      <w:pPr>
        <w:tabs>
          <w:tab w:val="center" w:pos="1470"/>
          <w:tab w:val="left" w:pos="5387"/>
        </w:tabs>
        <w:spacing w:after="0" w:line="240" w:lineRule="auto"/>
        <w:outlineLvl w:val="0"/>
        <w:rPr>
          <w:rFonts w:ascii="Lato" w:hAnsi="Lato" w:cs="Times New Roman"/>
          <w:sz w:val="20"/>
          <w:szCs w:val="20"/>
        </w:rPr>
      </w:pPr>
    </w:p>
    <w:sectPr w:rsidR="00CB349D" w:rsidRPr="00CB349D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216F" w14:textId="77777777" w:rsidR="00CA17ED" w:rsidRDefault="00CA17ED">
      <w:pPr>
        <w:spacing w:after="0" w:line="240" w:lineRule="auto"/>
      </w:pPr>
      <w:r>
        <w:separator/>
      </w:r>
    </w:p>
  </w:endnote>
  <w:endnote w:type="continuationSeparator" w:id="0">
    <w:p w14:paraId="62DE0670" w14:textId="77777777" w:rsidR="00CA17ED" w:rsidRDefault="00CA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E76E23-B17B-453B-BB27-695E036D774F}"/>
    <w:embedBold r:id="rId2" w:fontKey="{DBDE45E8-06D7-4EE5-B48B-061E94E0BB85}"/>
    <w:embedItalic r:id="rId3" w:fontKey="{1E701229-4F42-45FC-96AA-719E17220958}"/>
    <w:embedBoldItalic r:id="rId4" w:fontKey="{3EA22975-7201-42EB-A875-4F05394E298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59D3FF2B-7375-4E2D-8993-D5F855A03AAA}"/>
    <w:embedBold r:id="rId6" w:fontKey="{C2E821D6-D073-47FE-83CA-F72548F3E88F}"/>
    <w:embedItalic r:id="rId7" w:fontKey="{65570D8C-9F86-49CE-BB3F-0D0FEFF99B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82A81FF-C003-4B8F-8483-6BB2893AE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C3C16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AEAA4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FC91F" wp14:editId="62F37F9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A8871AA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F7D69AB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38642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AE53F1" wp14:editId="55D723C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0B25E55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5D999E0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161C8" w14:textId="77777777" w:rsidR="00CA17ED" w:rsidRDefault="00CA17ED">
      <w:pPr>
        <w:spacing w:after="0" w:line="240" w:lineRule="auto"/>
      </w:pPr>
      <w:r>
        <w:separator/>
      </w:r>
    </w:p>
  </w:footnote>
  <w:footnote w:type="continuationSeparator" w:id="0">
    <w:p w14:paraId="0DC8CB34" w14:textId="77777777" w:rsidR="00CA17ED" w:rsidRDefault="00CA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F612D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3E3CC" w14:textId="77777777" w:rsidR="00000000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566C6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7332E1" wp14:editId="0873A5DA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2129890384" name="Obraz 2129890384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54F46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3F0CA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30EAA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3C4B7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BFA97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5BAC1B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7DCDD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0087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E867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65E5C1E"/>
    <w:multiLevelType w:val="hybridMultilevel"/>
    <w:tmpl w:val="3EB07B0E"/>
    <w:lvl w:ilvl="0" w:tplc="025E0BE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EA1FA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43C9E9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7584A81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D0FCD30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568613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4922C8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B722094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394377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DA069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6FC35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C66C78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D0EC4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6AF4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0E681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B029C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D4E70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52249F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8FF3A30"/>
    <w:multiLevelType w:val="hybridMultilevel"/>
    <w:tmpl w:val="0A0E0AC0"/>
    <w:lvl w:ilvl="0" w:tplc="A494592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E4E020A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D14B46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ECAAAC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5E2A15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37A42C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EBA233D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12C113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3ACEC0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466480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4502283">
    <w:abstractNumId w:val="0"/>
  </w:num>
  <w:num w:numId="3" w16cid:durableId="1001003174">
    <w:abstractNumId w:val="3"/>
  </w:num>
  <w:num w:numId="4" w16cid:durableId="1406608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BFB"/>
    <w:rsid w:val="00217BFB"/>
    <w:rsid w:val="00697903"/>
    <w:rsid w:val="00933B98"/>
    <w:rsid w:val="00CA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50585"/>
  <w15:docId w15:val="{32F852BC-482F-4A29-829D-97944603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6E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6E9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6E98"/>
    <w:rPr>
      <w:vertAlign w:val="superscript"/>
    </w:rPr>
  </w:style>
  <w:style w:type="character" w:customStyle="1" w:styleId="highlight">
    <w:name w:val="highlight"/>
    <w:basedOn w:val="Domylnaczcionkaakapitu"/>
    <w:rsid w:val="00C26579"/>
  </w:style>
  <w:style w:type="paragraph" w:styleId="Akapitzlist">
    <w:name w:val="List Paragraph"/>
    <w:basedOn w:val="Normalny"/>
    <w:qFormat/>
    <w:rsid w:val="009A133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C4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4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47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1850</Words>
  <Characters>11106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Jurzyńska Judyta</cp:lastModifiedBy>
  <cp:revision>2</cp:revision>
  <cp:lastPrinted>2022-09-08T13:34:00Z</cp:lastPrinted>
  <dcterms:created xsi:type="dcterms:W3CDTF">2024-07-15T11:31:00Z</dcterms:created>
  <dcterms:modified xsi:type="dcterms:W3CDTF">2024-07-15T11:31:00Z</dcterms:modified>
</cp:coreProperties>
</file>