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CA605" w14:textId="277EF295" w:rsidR="00806350" w:rsidRPr="00806350" w:rsidRDefault="00806350" w:rsidP="00BE01F2">
      <w:pPr>
        <w:pStyle w:val="OZNPROJEKTUwskazaniedatylubwersjiprojektu"/>
        <w:keepNext/>
      </w:pPr>
      <w:r>
        <w:t>Projekt</w:t>
      </w:r>
      <w:r w:rsidR="00BE01F2">
        <w:t xml:space="preserve"> z </w:t>
      </w:r>
      <w:r w:rsidR="0033750C">
        <w:t xml:space="preserve">dnia </w:t>
      </w:r>
      <w:r w:rsidR="009C1E08">
        <w:t>15</w:t>
      </w:r>
      <w:r w:rsidR="009F408A">
        <w:t xml:space="preserve"> </w:t>
      </w:r>
      <w:r w:rsidR="004E6675">
        <w:t>grudnia</w:t>
      </w:r>
      <w:r>
        <w:t xml:space="preserve"> 202</w:t>
      </w:r>
      <w:r w:rsidR="00BE01F2">
        <w:t>0 </w:t>
      </w:r>
      <w:r>
        <w:t>r.</w:t>
      </w:r>
    </w:p>
    <w:p w14:paraId="40C9D766" w14:textId="09E10239" w:rsidR="00806350" w:rsidRPr="00806350" w:rsidRDefault="00806350" w:rsidP="00806350">
      <w:pPr>
        <w:pStyle w:val="OZNRODZAKTUtznustawalubrozporzdzenieiorganwydajcy"/>
      </w:pPr>
      <w:r w:rsidRPr="00806350">
        <w:t>UCHWAŁA NR</w:t>
      </w:r>
      <w:r w:rsidR="00BE01F2">
        <w:t>…</w:t>
      </w:r>
    </w:p>
    <w:p w14:paraId="1A59313C" w14:textId="77777777" w:rsidR="00806350" w:rsidRPr="00806350" w:rsidRDefault="00806350" w:rsidP="00806350">
      <w:pPr>
        <w:pStyle w:val="OZNRODZAKTUtznustawalubrozporzdzenieiorganwydajcy"/>
      </w:pPr>
      <w:r w:rsidRPr="00806350">
        <w:t>RADY MINISTRÓW</w:t>
      </w:r>
    </w:p>
    <w:p w14:paraId="6AC281B8" w14:textId="2B47D0FC" w:rsidR="00806350" w:rsidRPr="00806350" w:rsidRDefault="00806350" w:rsidP="00806350">
      <w:pPr>
        <w:pStyle w:val="DATAAKTUdatauchwalenialubwydaniaaktu"/>
      </w:pPr>
      <w:r w:rsidRPr="00806350">
        <w:t xml:space="preserve">z dnia </w:t>
      </w:r>
      <w:r>
        <w:t xml:space="preserve">                    202</w:t>
      </w:r>
      <w:r w:rsidR="00BE01F2">
        <w:t>0 </w:t>
      </w:r>
      <w:r w:rsidR="00FC4D7C">
        <w:t>r.</w:t>
      </w:r>
    </w:p>
    <w:p w14:paraId="42F74F27" w14:textId="0A0AF76D" w:rsidR="00806350" w:rsidRPr="00806350" w:rsidRDefault="00806350" w:rsidP="00BE01F2">
      <w:pPr>
        <w:pStyle w:val="TYTUAKTUprzedmiotregulacjiustawylubrozporzdzenia"/>
      </w:pPr>
      <w:r w:rsidRPr="00806350">
        <w:t>w sprawie Programu otwierania danych na lata 202</w:t>
      </w:r>
      <w:r w:rsidR="00BE01F2" w:rsidRPr="00806350">
        <w:t>1</w:t>
      </w:r>
      <w:r w:rsidR="00BE01F2">
        <w:t> </w:t>
      </w:r>
      <w:r w:rsidRPr="00806350">
        <w:t>– 2027</w:t>
      </w:r>
    </w:p>
    <w:p w14:paraId="24A466CF" w14:textId="3D64B2F8" w:rsidR="00806350" w:rsidRDefault="00806350" w:rsidP="00806350">
      <w:pPr>
        <w:pStyle w:val="NIEARTTEKSTtekstnieartykuowanynppodstprawnarozplubpreambua"/>
      </w:pPr>
      <w:r w:rsidRPr="00806350">
        <w:t>Na podstawie</w:t>
      </w:r>
      <w:r w:rsidR="00BE01F2">
        <w:t xml:space="preserve"> art. </w:t>
      </w:r>
      <w:r w:rsidRPr="00806350">
        <w:t xml:space="preserve">9e </w:t>
      </w:r>
      <w:r w:rsidR="00D72DE1">
        <w:t xml:space="preserve">ust. 3 </w:t>
      </w:r>
      <w:r w:rsidRPr="00806350">
        <w:t>ustawy</w:t>
      </w:r>
      <w:r w:rsidR="00BE01F2" w:rsidRPr="00806350">
        <w:t xml:space="preserve"> z</w:t>
      </w:r>
      <w:r w:rsidR="00BE01F2">
        <w:t> </w:t>
      </w:r>
      <w:r w:rsidRPr="00806350">
        <w:t xml:space="preserve">dnia </w:t>
      </w:r>
      <w:r w:rsidR="00BE01F2" w:rsidRPr="00806350">
        <w:t>6</w:t>
      </w:r>
      <w:r w:rsidR="00BE01F2">
        <w:t> </w:t>
      </w:r>
      <w:r w:rsidRPr="00806350">
        <w:t>września 200</w:t>
      </w:r>
      <w:r w:rsidR="00BE01F2" w:rsidRPr="00806350">
        <w:t>1</w:t>
      </w:r>
      <w:r w:rsidR="00BE01F2">
        <w:t> </w:t>
      </w:r>
      <w:r w:rsidRPr="00806350">
        <w:t>r.</w:t>
      </w:r>
      <w:r w:rsidR="00BE01F2" w:rsidRPr="00806350">
        <w:t xml:space="preserve"> o</w:t>
      </w:r>
      <w:r w:rsidR="00BE01F2">
        <w:t> </w:t>
      </w:r>
      <w:r w:rsidRPr="00806350">
        <w:t>dostępie do informacji publicznej (</w:t>
      </w:r>
      <w:r w:rsidR="00BE01F2">
        <w:t>Dz. U.</w:t>
      </w:r>
      <w:r w:rsidR="00BE01F2" w:rsidRPr="00806350">
        <w:t xml:space="preserve"> z</w:t>
      </w:r>
      <w:r w:rsidR="00BE01F2">
        <w:t> </w:t>
      </w:r>
      <w:r w:rsidR="009C1E08">
        <w:t>2020</w:t>
      </w:r>
      <w:r w:rsidR="00BE01F2">
        <w:t> </w:t>
      </w:r>
      <w:r w:rsidRPr="00806350">
        <w:t>r.</w:t>
      </w:r>
      <w:r w:rsidR="00BE01F2">
        <w:t xml:space="preserve"> poz. </w:t>
      </w:r>
      <w:r w:rsidR="009C1E08">
        <w:t>2176</w:t>
      </w:r>
      <w:r w:rsidRPr="00806350">
        <w:t>) Rada Ministrów uchwala, co następuje:</w:t>
      </w:r>
    </w:p>
    <w:p w14:paraId="369242D2" w14:textId="6D136A57" w:rsidR="00806350" w:rsidRPr="00806350" w:rsidRDefault="00806350" w:rsidP="00806350">
      <w:pPr>
        <w:pStyle w:val="ARTartustawynprozporzdzenia"/>
      </w:pPr>
      <w:r w:rsidRPr="00BE01F2">
        <w:rPr>
          <w:rStyle w:val="Ppogrubienie"/>
        </w:rPr>
        <w:t>§</w:t>
      </w:r>
      <w:r w:rsidRPr="00BE01F2">
        <w:rPr>
          <w:rStyle w:val="Ppogrubienie"/>
        </w:rPr>
        <w:tab/>
        <w:t>1.</w:t>
      </w:r>
      <w:r w:rsidRPr="00806350">
        <w:t xml:space="preserve"> Przyjmuje się Program otwierania danych na lata 202</w:t>
      </w:r>
      <w:r w:rsidR="00BE01F2" w:rsidRPr="00806350">
        <w:t>1</w:t>
      </w:r>
      <w:r w:rsidR="00BE01F2">
        <w:t> </w:t>
      </w:r>
      <w:r w:rsidRPr="00806350">
        <w:t xml:space="preserve">– 2027, zwany dalej </w:t>
      </w:r>
      <w:r w:rsidR="00BE01F2">
        <w:t>„</w:t>
      </w:r>
      <w:r w:rsidR="008F4F33">
        <w:t>Pro</w:t>
      </w:r>
      <w:r w:rsidRPr="00806350">
        <w:t>gramem</w:t>
      </w:r>
      <w:r w:rsidR="00BE01F2">
        <w:t>”</w:t>
      </w:r>
      <w:r w:rsidRPr="00806350">
        <w:t>, stanowiący załącznik do uchwały.</w:t>
      </w:r>
    </w:p>
    <w:p w14:paraId="241A4982" w14:textId="5F4FFF17" w:rsidR="00806350" w:rsidRPr="00806350" w:rsidRDefault="00806350" w:rsidP="008F4F33">
      <w:pPr>
        <w:pStyle w:val="ARTartustawynprozporzdzenia"/>
      </w:pPr>
      <w:r w:rsidRPr="00BE01F2">
        <w:rPr>
          <w:rStyle w:val="Ppogrubienie"/>
        </w:rPr>
        <w:t>§</w:t>
      </w:r>
      <w:r w:rsidRPr="00BE01F2">
        <w:rPr>
          <w:rStyle w:val="Ppogrubienie"/>
        </w:rPr>
        <w:tab/>
        <w:t>2.</w:t>
      </w:r>
      <w:r w:rsidRPr="00806350">
        <w:t xml:space="preserve"> 1. Program realizują członkowie Rady Ministrów oraz Prezes Głównego Urzędu Statystycznego.</w:t>
      </w:r>
    </w:p>
    <w:p w14:paraId="76AD359C" w14:textId="1E27D8EF" w:rsidR="00806350" w:rsidRPr="00806350" w:rsidRDefault="00806350" w:rsidP="008F4F33">
      <w:pPr>
        <w:pStyle w:val="USTustnpkodeksu"/>
      </w:pPr>
      <w:r w:rsidRPr="00806350">
        <w:t xml:space="preserve">2. </w:t>
      </w:r>
      <w:r w:rsidR="00032CAA">
        <w:t>M</w:t>
      </w:r>
      <w:r w:rsidR="00032CAA" w:rsidRPr="00806350">
        <w:t>inister właściwy do spraw informatyzacji koordynuje i</w:t>
      </w:r>
      <w:r w:rsidR="00032CAA">
        <w:t> </w:t>
      </w:r>
      <w:r w:rsidR="00032CAA" w:rsidRPr="00806350">
        <w:t xml:space="preserve">monitoruje </w:t>
      </w:r>
      <w:r w:rsidR="00032CAA">
        <w:t>r</w:t>
      </w:r>
      <w:r w:rsidRPr="00806350">
        <w:t>ealizację Programu.</w:t>
      </w:r>
    </w:p>
    <w:p w14:paraId="4DF2AAD9" w14:textId="2B4921A6" w:rsidR="00494F8C" w:rsidRDefault="00806350" w:rsidP="00806350">
      <w:pPr>
        <w:pStyle w:val="ARTartustawynprozporzdzenia"/>
      </w:pPr>
      <w:r w:rsidRPr="00806350">
        <w:t xml:space="preserve">3. </w:t>
      </w:r>
      <w:r w:rsidR="00494F8C">
        <w:t>C</w:t>
      </w:r>
      <w:r w:rsidRPr="00806350">
        <w:t>złonk</w:t>
      </w:r>
      <w:r w:rsidR="00494F8C">
        <w:t xml:space="preserve">owie </w:t>
      </w:r>
      <w:r w:rsidRPr="00806350">
        <w:t>Rady Ministrów</w:t>
      </w:r>
      <w:r w:rsidR="00970CAD">
        <w:t xml:space="preserve"> </w:t>
      </w:r>
      <w:r w:rsidR="00970CAD" w:rsidRPr="00806350">
        <w:t>oraz Prezes Głównego Urzędu Statystycznego</w:t>
      </w:r>
      <w:r w:rsidR="00494F8C" w:rsidRPr="00494F8C">
        <w:t xml:space="preserve"> </w:t>
      </w:r>
      <w:r w:rsidR="00494F8C">
        <w:t>r</w:t>
      </w:r>
      <w:r w:rsidR="00494F8C" w:rsidRPr="00806350">
        <w:t>ealizując Program</w:t>
      </w:r>
      <w:r w:rsidR="00494F8C" w:rsidRPr="00494F8C">
        <w:t xml:space="preserve"> </w:t>
      </w:r>
      <w:r w:rsidR="00494F8C">
        <w:t>współpracują</w:t>
      </w:r>
      <w:r w:rsidR="00494F8C" w:rsidRPr="00806350">
        <w:t xml:space="preserve"> z</w:t>
      </w:r>
      <w:r w:rsidR="00494F8C" w:rsidRPr="00494F8C">
        <w:t xml:space="preserve"> </w:t>
      </w:r>
      <w:r w:rsidR="00494F8C">
        <w:t>ministrem właściwym do spraw informatyzacji.</w:t>
      </w:r>
      <w:r w:rsidRPr="00806350">
        <w:t xml:space="preserve"> </w:t>
      </w:r>
    </w:p>
    <w:p w14:paraId="73104ACC" w14:textId="71913234" w:rsidR="00806350" w:rsidRPr="00806350" w:rsidRDefault="00806350" w:rsidP="00806350">
      <w:pPr>
        <w:pStyle w:val="ARTartustawynprozporzdzenia"/>
      </w:pPr>
      <w:r w:rsidRPr="00BE01F2">
        <w:rPr>
          <w:rStyle w:val="Ppogrubienie"/>
        </w:rPr>
        <w:t>§</w:t>
      </w:r>
      <w:r w:rsidR="008F4F33" w:rsidRPr="00BE01F2">
        <w:rPr>
          <w:rStyle w:val="Ppogrubienie"/>
        </w:rPr>
        <w:t> </w:t>
      </w:r>
      <w:r w:rsidRPr="00BE01F2">
        <w:rPr>
          <w:rStyle w:val="Ppogrubienie"/>
        </w:rPr>
        <w:t>3.</w:t>
      </w:r>
      <w:r w:rsidRPr="00806350">
        <w:t xml:space="preserve"> </w:t>
      </w:r>
      <w:r w:rsidR="008F4F33">
        <w:t>1.</w:t>
      </w:r>
      <w:r w:rsidR="00FA31DF">
        <w:t xml:space="preserve"> </w:t>
      </w:r>
      <w:r w:rsidRPr="00806350">
        <w:t>Minister właściwy do spraw informatyzacji przedstawia Radzie Ministrów,</w:t>
      </w:r>
      <w:r w:rsidR="00BE01F2" w:rsidRPr="00806350">
        <w:t xml:space="preserve"> w</w:t>
      </w:r>
      <w:r w:rsidR="00BE01F2">
        <w:t> </w:t>
      </w:r>
      <w:r w:rsidRPr="00806350">
        <w:t>terminie do dnia 3</w:t>
      </w:r>
      <w:r w:rsidR="00BE01F2" w:rsidRPr="00806350">
        <w:t>1</w:t>
      </w:r>
      <w:r w:rsidR="00BE01F2">
        <w:t> </w:t>
      </w:r>
      <w:r w:rsidRPr="00806350">
        <w:t>lipca danego roku, informację</w:t>
      </w:r>
      <w:r w:rsidR="00BE01F2" w:rsidRPr="00806350">
        <w:t xml:space="preserve"> o</w:t>
      </w:r>
      <w:r w:rsidR="00BE01F2">
        <w:t> </w:t>
      </w:r>
      <w:r w:rsidRPr="00806350">
        <w:t>realizacji Programu.</w:t>
      </w:r>
    </w:p>
    <w:p w14:paraId="204B0FAA" w14:textId="003C8B27" w:rsidR="00FA31DF" w:rsidRPr="00806350" w:rsidRDefault="00FA31DF" w:rsidP="00494F8C">
      <w:pPr>
        <w:pStyle w:val="USTustnpkodeksu"/>
      </w:pPr>
      <w:r>
        <w:t>2.</w:t>
      </w:r>
      <w:r w:rsidR="00806350" w:rsidRPr="00806350">
        <w:t xml:space="preserve"> Pierwszą informację</w:t>
      </w:r>
      <w:r w:rsidR="00BE01F2" w:rsidRPr="00806350">
        <w:t xml:space="preserve"> o</w:t>
      </w:r>
      <w:r w:rsidR="00BE01F2">
        <w:t> </w:t>
      </w:r>
      <w:r w:rsidR="00806350" w:rsidRPr="00806350">
        <w:t>realizacji Programu minister właściwy d</w:t>
      </w:r>
      <w:r w:rsidR="00806350">
        <w:t>o spraw informaty</w:t>
      </w:r>
      <w:r w:rsidR="00806350" w:rsidRPr="00806350">
        <w:t>zacji przedstawi Radzie Ministrów</w:t>
      </w:r>
      <w:r w:rsidR="00BE01F2" w:rsidRPr="00806350">
        <w:t xml:space="preserve"> w</w:t>
      </w:r>
      <w:r w:rsidR="00BE01F2">
        <w:t> </w:t>
      </w:r>
      <w:r w:rsidR="00806350" w:rsidRPr="00806350">
        <w:t xml:space="preserve">terminie do </w:t>
      </w:r>
      <w:r w:rsidR="002E1B04">
        <w:t xml:space="preserve">dnia </w:t>
      </w:r>
      <w:r w:rsidR="00806350" w:rsidRPr="00806350">
        <w:t>3</w:t>
      </w:r>
      <w:r w:rsidR="00BE01F2" w:rsidRPr="00806350">
        <w:t>0</w:t>
      </w:r>
      <w:r w:rsidR="00BE01F2">
        <w:t> </w:t>
      </w:r>
      <w:r w:rsidR="00806350" w:rsidRPr="00806350">
        <w:t>listopada 202</w:t>
      </w:r>
      <w:r w:rsidR="00BE01F2" w:rsidRPr="00806350">
        <w:t>1</w:t>
      </w:r>
      <w:r w:rsidR="00BE01F2">
        <w:t> </w:t>
      </w:r>
      <w:r w:rsidR="00806350" w:rsidRPr="00806350">
        <w:t>r.</w:t>
      </w:r>
    </w:p>
    <w:p w14:paraId="03D74BE7" w14:textId="49950324" w:rsidR="00806350" w:rsidRPr="00806350" w:rsidRDefault="00806350" w:rsidP="00BE01F2">
      <w:pPr>
        <w:pStyle w:val="ARTartustawynprozporzdzenia"/>
        <w:keepNext/>
      </w:pPr>
      <w:r w:rsidRPr="00BE01F2">
        <w:rPr>
          <w:rStyle w:val="Ppogrubienie"/>
        </w:rPr>
        <w:t>§</w:t>
      </w:r>
      <w:r w:rsidR="008F4F33" w:rsidRPr="00BE01F2">
        <w:rPr>
          <w:rStyle w:val="Ppogrubienie"/>
        </w:rPr>
        <w:t> </w:t>
      </w:r>
      <w:r w:rsidR="00494F8C">
        <w:rPr>
          <w:rStyle w:val="Ppogrubienie"/>
        </w:rPr>
        <w:t>4</w:t>
      </w:r>
      <w:r w:rsidRPr="00BE01F2">
        <w:rPr>
          <w:rStyle w:val="Ppogrubienie"/>
        </w:rPr>
        <w:t>.</w:t>
      </w:r>
      <w:r w:rsidRPr="00806350">
        <w:t xml:space="preserve"> Uchwała wchodzi</w:t>
      </w:r>
      <w:r w:rsidR="00BE01F2" w:rsidRPr="00806350">
        <w:t xml:space="preserve"> w</w:t>
      </w:r>
      <w:r w:rsidR="00BE01F2">
        <w:t> </w:t>
      </w:r>
      <w:r w:rsidRPr="00806350">
        <w:t>życie</w:t>
      </w:r>
      <w:r w:rsidR="00BE01F2" w:rsidRPr="00806350">
        <w:t xml:space="preserve"> </w:t>
      </w:r>
      <w:r w:rsidR="00BE01F2" w:rsidRPr="00A81F36">
        <w:t>z</w:t>
      </w:r>
      <w:r w:rsidR="00BE01F2">
        <w:t> </w:t>
      </w:r>
      <w:r w:rsidR="00A81F36" w:rsidRPr="00A81F36">
        <w:t xml:space="preserve">dniem </w:t>
      </w:r>
      <w:r w:rsidR="00BE01F2" w:rsidRPr="00A81F36">
        <w:t>1</w:t>
      </w:r>
      <w:r w:rsidR="00BE01F2">
        <w:t> </w:t>
      </w:r>
      <w:r w:rsidR="00A81F36" w:rsidRPr="00A81F36">
        <w:t>stycznia 202</w:t>
      </w:r>
      <w:r w:rsidR="00BE01F2" w:rsidRPr="00A81F36">
        <w:t>1</w:t>
      </w:r>
      <w:r w:rsidR="00BE01F2">
        <w:t> </w:t>
      </w:r>
      <w:r w:rsidR="00A81F36" w:rsidRPr="00A81F36">
        <w:t>r.</w:t>
      </w:r>
    </w:p>
    <w:p w14:paraId="0E9A8EB5" w14:textId="77777777" w:rsidR="00806350" w:rsidRDefault="00806350" w:rsidP="00BE01F2">
      <w:pPr>
        <w:pStyle w:val="NAZORGWYDnazwaorganuwydajcegoprojektowanyakt"/>
      </w:pPr>
      <w:r>
        <w:t>Prezes Rady Ministrów</w:t>
      </w:r>
    </w:p>
    <w:p w14:paraId="5A616688" w14:textId="1673B517" w:rsidR="00BE01F2" w:rsidRDefault="00806350" w:rsidP="00806350">
      <w:pPr>
        <w:pStyle w:val="NAZORGWYDnazwaorganuwydajcegoprojektowanyakt"/>
      </w:pPr>
      <w:r>
        <w:t>Mateusz</w:t>
      </w:r>
      <w:r w:rsidRPr="00806350">
        <w:t xml:space="preserve"> Morawiecki</w:t>
      </w:r>
    </w:p>
    <w:p w14:paraId="5F6F68D1" w14:textId="77777777" w:rsidR="00D55E33" w:rsidRDefault="00D55E33">
      <w:pPr>
        <w:widowControl/>
        <w:autoSpaceDE/>
        <w:autoSpaceDN/>
        <w:adjustRightInd/>
      </w:pPr>
    </w:p>
    <w:p w14:paraId="0EBF93E1" w14:textId="77777777" w:rsidR="00D55E33" w:rsidRDefault="00D55E33">
      <w:pPr>
        <w:widowControl/>
        <w:autoSpaceDE/>
        <w:autoSpaceDN/>
        <w:adjustRightInd/>
      </w:pPr>
    </w:p>
    <w:p w14:paraId="334F622E" w14:textId="77777777" w:rsidR="00D55E33" w:rsidRPr="00D55E33" w:rsidRDefault="00D55E33" w:rsidP="00D55E33">
      <w:pPr>
        <w:pStyle w:val="OZNPARAFYADNOTACJE"/>
      </w:pPr>
      <w:r w:rsidRPr="00D55E33">
        <w:t>ZA ZGODNOŚĆ POD WZGLĘDEM PRAWNYM,</w:t>
      </w:r>
    </w:p>
    <w:p w14:paraId="077656FB" w14:textId="77777777" w:rsidR="00D55E33" w:rsidRPr="00D55E33" w:rsidRDefault="00D55E33" w:rsidP="00D55E33">
      <w:pPr>
        <w:pStyle w:val="OZNPARAFYADNOTACJE"/>
      </w:pPr>
      <w:r w:rsidRPr="00D55E33">
        <w:t>REDAKCYJNYM I LEGISLACYJNYM</w:t>
      </w:r>
    </w:p>
    <w:p w14:paraId="61F38D9C" w14:textId="77777777" w:rsidR="00D55E33" w:rsidRPr="00D55E33" w:rsidRDefault="00D55E33" w:rsidP="00D55E33">
      <w:pPr>
        <w:pStyle w:val="OZNPARAFYADNOTACJE"/>
        <w:rPr>
          <w:rStyle w:val="Ppogrubienie"/>
        </w:rPr>
      </w:pPr>
      <w:r w:rsidRPr="00D55E33">
        <w:rPr>
          <w:rStyle w:val="Ppogrubienie"/>
        </w:rPr>
        <w:t>Aleksandra Wrochna</w:t>
      </w:r>
    </w:p>
    <w:p w14:paraId="578C7CE0" w14:textId="77777777" w:rsidR="00D55E33" w:rsidRPr="00D55E33" w:rsidRDefault="00D55E33" w:rsidP="00D55E33">
      <w:pPr>
        <w:pStyle w:val="OZNPARAFYADNOTACJE"/>
        <w:rPr>
          <w:rStyle w:val="Ppogrubienie"/>
        </w:rPr>
      </w:pPr>
      <w:r w:rsidRPr="00D55E33">
        <w:rPr>
          <w:rStyle w:val="Ppogrubienie"/>
        </w:rPr>
        <w:t>Zastępca Dyrektora Departamentu Prawnego</w:t>
      </w:r>
    </w:p>
    <w:p w14:paraId="439F8A19" w14:textId="77777777" w:rsidR="00D55E33" w:rsidRPr="00D55E33" w:rsidRDefault="00D55E33" w:rsidP="00D55E33">
      <w:pPr>
        <w:pStyle w:val="OZNPARAFYADNOTACJE"/>
        <w:rPr>
          <w:rStyle w:val="Ppogrubienie"/>
        </w:rPr>
      </w:pPr>
      <w:r w:rsidRPr="00D55E33">
        <w:rPr>
          <w:rStyle w:val="Ppogrubienie"/>
        </w:rPr>
        <w:t xml:space="preserve">w Kancelarii Prezesa Rady Ministrów </w:t>
      </w:r>
    </w:p>
    <w:p w14:paraId="5A81AA10" w14:textId="77777777" w:rsidR="00D55E33" w:rsidRPr="00D55E33" w:rsidRDefault="00D55E33" w:rsidP="00D55E33">
      <w:pPr>
        <w:pStyle w:val="OZNPARAFYADNOTACJE"/>
      </w:pPr>
      <w:r w:rsidRPr="00D55E33">
        <w:t>/- podpisano elektronicznie/</w:t>
      </w:r>
    </w:p>
    <w:p w14:paraId="6FF6F55D" w14:textId="5ED79016" w:rsidR="00BE01F2" w:rsidRDefault="00BE01F2">
      <w:pPr>
        <w:widowControl/>
        <w:autoSpaceDE/>
        <w:autoSpaceDN/>
        <w:adjustRightInd/>
        <w:rPr>
          <w:rFonts w:ascii="Times" w:eastAsia="Times New Roman" w:hAnsi="Times" w:cs="Times New Roman"/>
          <w:b/>
          <w:bCs/>
          <w:caps/>
          <w:kern w:val="24"/>
          <w:szCs w:val="24"/>
        </w:rPr>
      </w:pPr>
      <w:bookmarkStart w:id="0" w:name="_GoBack"/>
      <w:bookmarkEnd w:id="0"/>
      <w:r>
        <w:br w:type="page"/>
      </w:r>
    </w:p>
    <w:p w14:paraId="658A4BFE" w14:textId="7A6249E6" w:rsidR="00806350" w:rsidRPr="00806350" w:rsidRDefault="00806350" w:rsidP="00BE01F2">
      <w:pPr>
        <w:pStyle w:val="TYTTABELItytutabeli"/>
      </w:pPr>
      <w:r w:rsidRPr="00806350">
        <w:lastRenderedPageBreak/>
        <w:t>UZASADNIENIE</w:t>
      </w:r>
    </w:p>
    <w:p w14:paraId="0592399A" w14:textId="09C3FF3D" w:rsidR="00806350" w:rsidRPr="00806350" w:rsidRDefault="00806350" w:rsidP="00356FAE">
      <w:pPr>
        <w:pStyle w:val="NIEARTTEKSTtekstnieartykuowanynppodstprawnarozplubpreambua"/>
      </w:pPr>
      <w:r w:rsidRPr="00806350">
        <w:t xml:space="preserve">Celem projektowanej uchwały Rady Ministrów jest ustanowienie </w:t>
      </w:r>
      <w:r w:rsidR="00BE01F2">
        <w:t>„</w:t>
      </w:r>
      <w:r w:rsidRPr="00806350">
        <w:t>Programu otwierania danych</w:t>
      </w:r>
      <w:r w:rsidR="00CA37D2" w:rsidRPr="00CA37D2">
        <w:t xml:space="preserve"> na lata 202</w:t>
      </w:r>
      <w:r w:rsidR="00BE01F2" w:rsidRPr="00CA37D2">
        <w:t>1</w:t>
      </w:r>
      <w:r w:rsidR="00BE01F2">
        <w:t> </w:t>
      </w:r>
      <w:r w:rsidR="00CA37D2" w:rsidRPr="00CA37D2">
        <w:t>– 202</w:t>
      </w:r>
      <w:r w:rsidR="00BE01F2" w:rsidRPr="00CA37D2">
        <w:t>7</w:t>
      </w:r>
      <w:r w:rsidR="00351B5F">
        <w:t>”</w:t>
      </w:r>
      <w:r w:rsidR="00CA37D2">
        <w:t xml:space="preserve">, zwanego dalej </w:t>
      </w:r>
      <w:r w:rsidR="00BE01F2">
        <w:t>„</w:t>
      </w:r>
      <w:r w:rsidR="00E821ED">
        <w:t>Programem</w:t>
      </w:r>
      <w:r w:rsidR="00BE01F2">
        <w:t>”</w:t>
      </w:r>
      <w:r w:rsidRPr="00806350">
        <w:t>. Ustanowienie Programu ma na celu:</w:t>
      </w:r>
    </w:p>
    <w:p w14:paraId="55B872C1" w14:textId="7726DF9B" w:rsidR="00806350" w:rsidRPr="00806350" w:rsidRDefault="00806350" w:rsidP="00356FAE">
      <w:pPr>
        <w:pStyle w:val="NIEARTTEKSTtekstnieartykuowanynppodstprawnarozplubpreambua"/>
      </w:pPr>
      <w:r w:rsidRPr="00806350">
        <w:t>1</w:t>
      </w:r>
      <w:r w:rsidR="00CA37D2">
        <w:t>)</w:t>
      </w:r>
      <w:r w:rsidR="008F4F33">
        <w:tab/>
      </w:r>
      <w:r w:rsidRPr="00806350">
        <w:t>zwiększanie podaży</w:t>
      </w:r>
      <w:r w:rsidR="00BE01F2" w:rsidRPr="00806350">
        <w:t xml:space="preserve"> i</w:t>
      </w:r>
      <w:r w:rsidR="00BE01F2">
        <w:t> </w:t>
      </w:r>
      <w:r w:rsidRPr="00806350">
        <w:t xml:space="preserve">poprawa jakości danych dostępnych </w:t>
      </w:r>
      <w:r w:rsidR="007800BB">
        <w:t>w</w:t>
      </w:r>
      <w:r w:rsidRPr="00806350">
        <w:t xml:space="preserve"> portalu dane.gov.pl dla każdego użytkownika</w:t>
      </w:r>
      <w:r w:rsidR="00BE01F2" w:rsidRPr="00806350">
        <w:t xml:space="preserve"> w</w:t>
      </w:r>
      <w:r w:rsidR="00BE01F2">
        <w:t> </w:t>
      </w:r>
      <w:r w:rsidRPr="00806350">
        <w:t>celu ponownego wykorzystywania</w:t>
      </w:r>
      <w:r w:rsidR="00CA37D2">
        <w:t>;</w:t>
      </w:r>
    </w:p>
    <w:p w14:paraId="20173D97" w14:textId="51BA846F" w:rsidR="00806350" w:rsidRPr="00806350" w:rsidRDefault="00806350" w:rsidP="00356FAE">
      <w:pPr>
        <w:pStyle w:val="NIEARTTEKSTtekstnieartykuowanynppodstprawnarozplubpreambua"/>
      </w:pPr>
      <w:r w:rsidRPr="00806350">
        <w:t>2</w:t>
      </w:r>
      <w:r w:rsidR="00CA37D2">
        <w:t>)</w:t>
      </w:r>
      <w:r w:rsidR="008F4F33">
        <w:tab/>
      </w:r>
      <w:r w:rsidRPr="00806350">
        <w:t>stworzenie środowiska,</w:t>
      </w:r>
      <w:r w:rsidR="00BE01F2" w:rsidRPr="00806350">
        <w:t xml:space="preserve"> w</w:t>
      </w:r>
      <w:r w:rsidR="00BE01F2">
        <w:t> </w:t>
      </w:r>
      <w:r w:rsidRPr="00806350">
        <w:t>którym korzyści gospodarcze</w:t>
      </w:r>
      <w:r w:rsidR="00BE01F2" w:rsidRPr="00806350">
        <w:t xml:space="preserve"> i</w:t>
      </w:r>
      <w:r w:rsidR="00BE01F2">
        <w:t> </w:t>
      </w:r>
      <w:r w:rsidRPr="00806350">
        <w:t>społeczne wynikające</w:t>
      </w:r>
      <w:r w:rsidR="00BE01F2" w:rsidRPr="00806350">
        <w:t xml:space="preserve"> z</w:t>
      </w:r>
      <w:r w:rsidR="00BE01F2">
        <w:t> </w:t>
      </w:r>
      <w:r w:rsidRPr="00806350">
        <w:t>otwartych danych, są dostrzegane</w:t>
      </w:r>
      <w:r w:rsidR="00BE01F2" w:rsidRPr="00806350">
        <w:t xml:space="preserve"> i</w:t>
      </w:r>
      <w:r w:rsidR="00BE01F2">
        <w:t> </w:t>
      </w:r>
      <w:r w:rsidRPr="00806350">
        <w:t>przekładają się na budowę nowych usług, produktów, tworzenia modeli biznesowych</w:t>
      </w:r>
      <w:r w:rsidR="00BE01F2" w:rsidRPr="00806350">
        <w:t xml:space="preserve"> i</w:t>
      </w:r>
      <w:r w:rsidR="00BE01F2">
        <w:t> </w:t>
      </w:r>
      <w:r w:rsidRPr="00806350">
        <w:t>nowych miejsc pracy oraz wspierają podejmowanie decyzji strategicznych</w:t>
      </w:r>
      <w:r w:rsidR="00CA37D2">
        <w:t>;</w:t>
      </w:r>
      <w:r w:rsidRPr="00806350">
        <w:t xml:space="preserve"> </w:t>
      </w:r>
    </w:p>
    <w:p w14:paraId="36A29DC7" w14:textId="59F2ECBB" w:rsidR="00806350" w:rsidRPr="00806350" w:rsidRDefault="00806350" w:rsidP="00356FAE">
      <w:pPr>
        <w:pStyle w:val="NIEARTTEKSTtekstnieartykuowanynppodstprawnarozplubpreambua"/>
      </w:pPr>
      <w:r w:rsidRPr="00806350">
        <w:t>3</w:t>
      </w:r>
      <w:r w:rsidR="00CA37D2">
        <w:t>)</w:t>
      </w:r>
      <w:r w:rsidR="008F4F33">
        <w:tab/>
      </w:r>
      <w:r w:rsidRPr="00806350">
        <w:t>wejście do grupy liderów</w:t>
      </w:r>
      <w:r w:rsidR="00BE01F2" w:rsidRPr="00806350">
        <w:t xml:space="preserve"> w</w:t>
      </w:r>
      <w:r w:rsidR="00BE01F2">
        <w:t> </w:t>
      </w:r>
      <w:r w:rsidRPr="00806350">
        <w:t>Europie</w:t>
      </w:r>
      <w:r w:rsidR="00BE01F2" w:rsidRPr="00806350">
        <w:t xml:space="preserve"> w</w:t>
      </w:r>
      <w:r w:rsidR="00BE01F2">
        <w:t> </w:t>
      </w:r>
      <w:r w:rsidRPr="00806350">
        <w:t>zakresie jak najpełniejszego wykorzystania potencjału otwartych danych.</w:t>
      </w:r>
    </w:p>
    <w:p w14:paraId="178B9F8E" w14:textId="386403B8" w:rsidR="00806350" w:rsidRDefault="00806350" w:rsidP="00356FAE">
      <w:pPr>
        <w:pStyle w:val="NIEARTTEKSTtekstnieartykuowanynppodstprawnarozplubpreambua"/>
      </w:pPr>
      <w:r w:rsidRPr="00806350">
        <w:t>Realizacja zaplanowanych</w:t>
      </w:r>
      <w:r w:rsidR="00BE01F2" w:rsidRPr="00806350">
        <w:t xml:space="preserve"> w</w:t>
      </w:r>
      <w:r w:rsidR="00BE01F2">
        <w:t> </w:t>
      </w:r>
      <w:r w:rsidRPr="00806350">
        <w:t>dokumencie działań przełoży się na szersze ponowne wykorzystywanie danych, którego podstawowe zasady wyznacza ustawa</w:t>
      </w:r>
      <w:r w:rsidR="00BE01F2" w:rsidRPr="00806350">
        <w:t xml:space="preserve"> z</w:t>
      </w:r>
      <w:r w:rsidR="00BE01F2">
        <w:t> </w:t>
      </w:r>
      <w:r w:rsidRPr="00806350">
        <w:t>dnia 2</w:t>
      </w:r>
      <w:r w:rsidR="00BE01F2" w:rsidRPr="00806350">
        <w:t>5</w:t>
      </w:r>
      <w:r w:rsidR="00BE01F2">
        <w:t> </w:t>
      </w:r>
      <w:r w:rsidRPr="00806350">
        <w:t>lutego 201</w:t>
      </w:r>
      <w:r w:rsidR="00BE01F2" w:rsidRPr="00806350">
        <w:t>6</w:t>
      </w:r>
      <w:r w:rsidR="00BE01F2">
        <w:t> </w:t>
      </w:r>
      <w:r w:rsidRPr="00806350">
        <w:t>r.</w:t>
      </w:r>
      <w:r w:rsidR="00BE01F2" w:rsidRPr="00806350">
        <w:t xml:space="preserve"> o</w:t>
      </w:r>
      <w:r w:rsidR="00BE01F2">
        <w:t> </w:t>
      </w:r>
      <w:r w:rsidRPr="00806350">
        <w:t>ponownym wykorzystywaniu informacji sektora publicznego (</w:t>
      </w:r>
      <w:r w:rsidR="00BE01F2">
        <w:t xml:space="preserve">Dz. U. </w:t>
      </w:r>
      <w:r w:rsidR="00072A7A">
        <w:t xml:space="preserve">z 2019 r. </w:t>
      </w:r>
      <w:r w:rsidR="00BE01F2">
        <w:t>poz. </w:t>
      </w:r>
      <w:r w:rsidRPr="00806350">
        <w:t>1446) oraz nowa dyrektywa Parlamentu Europejskiego</w:t>
      </w:r>
      <w:r w:rsidR="00BE01F2" w:rsidRPr="00806350">
        <w:t xml:space="preserve"> i</w:t>
      </w:r>
      <w:r w:rsidR="00BE01F2">
        <w:t> </w:t>
      </w:r>
      <w:r w:rsidRPr="00806350">
        <w:t>Rady 2019/102</w:t>
      </w:r>
      <w:r w:rsidR="00BE01F2" w:rsidRPr="00806350">
        <w:t>4</w:t>
      </w:r>
      <w:r w:rsidR="00BE01F2">
        <w:t> </w:t>
      </w:r>
      <w:r w:rsidR="00BE01F2" w:rsidRPr="00806350">
        <w:t>z</w:t>
      </w:r>
      <w:r w:rsidR="00BE01F2">
        <w:t> </w:t>
      </w:r>
      <w:r w:rsidRPr="00806350">
        <w:t>dnia 2</w:t>
      </w:r>
      <w:r w:rsidR="00BE01F2" w:rsidRPr="00806350">
        <w:t>0</w:t>
      </w:r>
      <w:r w:rsidR="00BE01F2">
        <w:t> </w:t>
      </w:r>
      <w:r w:rsidRPr="00806350">
        <w:t>czerwca 201</w:t>
      </w:r>
      <w:r w:rsidR="00BE01F2" w:rsidRPr="00806350">
        <w:t>9</w:t>
      </w:r>
      <w:r w:rsidR="00BE01F2">
        <w:t> </w:t>
      </w:r>
      <w:r w:rsidRPr="00806350">
        <w:t>r.</w:t>
      </w:r>
      <w:r w:rsidR="00BE01F2" w:rsidRPr="00806350">
        <w:t xml:space="preserve"> w</w:t>
      </w:r>
      <w:r w:rsidR="00BE01F2">
        <w:t> </w:t>
      </w:r>
      <w:r w:rsidRPr="00806350">
        <w:t>sprawie otwartych danych</w:t>
      </w:r>
      <w:r w:rsidR="00BE01F2" w:rsidRPr="00806350">
        <w:t xml:space="preserve"> i</w:t>
      </w:r>
      <w:r w:rsidR="00BE01F2">
        <w:t> </w:t>
      </w:r>
      <w:r w:rsidRPr="00806350">
        <w:t>ponownego wykorzystywania informacji sektora publicznego</w:t>
      </w:r>
      <w:r w:rsidR="003A460E" w:rsidRPr="003A460E">
        <w:t xml:space="preserve"> </w:t>
      </w:r>
      <w:r w:rsidR="003A460E">
        <w:t>(</w:t>
      </w:r>
      <w:r w:rsidR="003A460E" w:rsidRPr="003A460E">
        <w:t>Dz. Urz. UE L 17</w:t>
      </w:r>
      <w:r w:rsidR="00BE01F2" w:rsidRPr="003A460E">
        <w:t>2</w:t>
      </w:r>
      <w:r w:rsidR="00BE01F2">
        <w:t> </w:t>
      </w:r>
      <w:r w:rsidR="00BE01F2" w:rsidRPr="003A460E">
        <w:t>z</w:t>
      </w:r>
      <w:r w:rsidR="00BE01F2">
        <w:t> </w:t>
      </w:r>
      <w:r w:rsidR="003A460E" w:rsidRPr="003A460E">
        <w:t>dnia 26.06.201</w:t>
      </w:r>
      <w:r w:rsidR="00BE01F2" w:rsidRPr="003A460E">
        <w:t>9</w:t>
      </w:r>
      <w:r w:rsidR="00BE01F2">
        <w:t> </w:t>
      </w:r>
      <w:r w:rsidR="003A460E" w:rsidRPr="003A460E">
        <w:t>r., s 56</w:t>
      </w:r>
      <w:r w:rsidR="003A460E">
        <w:t>)</w:t>
      </w:r>
      <w:r w:rsidRPr="00806350">
        <w:t>.</w:t>
      </w:r>
    </w:p>
    <w:p w14:paraId="65F20B57" w14:textId="0C1F5D1F" w:rsidR="0036702A" w:rsidRPr="0036702A" w:rsidRDefault="0036702A" w:rsidP="0036702A">
      <w:pPr>
        <w:pStyle w:val="ARTartustawynprozporzdzenia"/>
      </w:pPr>
      <w:r w:rsidRPr="0036702A">
        <w:t xml:space="preserve">W Polsce od lat podejmowane są inicjatywy sprzyjające otwieraniu i wykorzystywaniu danych. Strategiczny dokument poświęcony otwieraniu danych publicznych - Program otwierania danych publicznych utraci swoją moc w grudniu 2020 r. Z uwagi na konieczność zachowania ciągłości działań i kontynuowanie realizowanej polityki otwartości danych dostosowanej do rozwoju technologii informacyjno-komunikacyjnych </w:t>
      </w:r>
      <w:r w:rsidR="00275C04">
        <w:t>projektuje</w:t>
      </w:r>
      <w:r w:rsidRPr="0036702A">
        <w:t xml:space="preserve"> się niniejszy Program Otwierania Danych na lata 2021-2027.</w:t>
      </w:r>
    </w:p>
    <w:p w14:paraId="30E4840A" w14:textId="77777777" w:rsidR="0036702A" w:rsidRPr="0036702A" w:rsidRDefault="0036702A" w:rsidP="0036702A">
      <w:pPr>
        <w:pStyle w:val="ARTartustawynprozporzdzenia"/>
      </w:pPr>
      <w:r>
        <w:t>P</w:t>
      </w:r>
      <w:r w:rsidRPr="0036702A">
        <w:t xml:space="preserve">rojektowany Program stanowi kontynuację realizowanej dotychczas polityki otwierania danych w oparciu o Program Otwierania Danych Publicznych na lata 2016-2020 z poszerzonym zakresem zagadnień, m.in. o: </w:t>
      </w:r>
    </w:p>
    <w:p w14:paraId="49AA3293" w14:textId="77777777" w:rsidR="0036702A" w:rsidRPr="0036702A" w:rsidRDefault="0036702A" w:rsidP="00275C04">
      <w:pPr>
        <w:pStyle w:val="ARTartustawynprozporzdzenia"/>
        <w:ind w:firstLine="0"/>
      </w:pPr>
      <w:r>
        <w:t xml:space="preserve">- </w:t>
      </w:r>
      <w:r w:rsidRPr="0036702A">
        <w:t>udostępnianie danych przez API (w tym danych o wysokiej wartości, danych dynamicznych),</w:t>
      </w:r>
    </w:p>
    <w:p w14:paraId="1ED04866" w14:textId="77777777" w:rsidR="00275C04" w:rsidRDefault="0036702A" w:rsidP="00275C04">
      <w:r>
        <w:t xml:space="preserve">- </w:t>
      </w:r>
      <w:r w:rsidR="00275C04" w:rsidRPr="00275C04">
        <w:t xml:space="preserve">współpracę z różnymi interesariuszami danych, </w:t>
      </w:r>
    </w:p>
    <w:p w14:paraId="526A6F3D" w14:textId="4EE33ABB" w:rsidR="00275C04" w:rsidRPr="00275C04" w:rsidRDefault="00275C04" w:rsidP="00275C04">
      <w:r>
        <w:t xml:space="preserve">- </w:t>
      </w:r>
      <w:r w:rsidRPr="00275C04">
        <w:t>wymianę danych pomiędzy administracją oraz administracją i przedstawicielami biznesu,</w:t>
      </w:r>
    </w:p>
    <w:p w14:paraId="6D463721" w14:textId="77777777" w:rsidR="0036702A" w:rsidRPr="0036702A" w:rsidRDefault="0036702A" w:rsidP="00275C04">
      <w:pPr>
        <w:pStyle w:val="ARTartustawynprozporzdzenia"/>
        <w:ind w:firstLine="0"/>
      </w:pPr>
      <w:r>
        <w:t xml:space="preserve">- </w:t>
      </w:r>
      <w:r w:rsidRPr="0036702A">
        <w:t>integracja portali lokalnych/miejskich z portalem dane.gov.pl. (harvesterowanie metadanych),</w:t>
      </w:r>
    </w:p>
    <w:p w14:paraId="3A6458A9" w14:textId="77777777" w:rsidR="0099148C" w:rsidRDefault="0099148C" w:rsidP="0099148C">
      <w:pPr>
        <w:pStyle w:val="NIEARTTEKSTtekstnieartykuowanynppodstprawnarozplubpreambua"/>
        <w:ind w:firstLine="0"/>
      </w:pPr>
      <w:r>
        <w:t>- </w:t>
      </w:r>
      <w:r w:rsidR="0036702A" w:rsidRPr="0036702A">
        <w:t>działania edukacyjne dotyczące zarządzania danymi.</w:t>
      </w:r>
    </w:p>
    <w:p w14:paraId="6274D044" w14:textId="36AA2828" w:rsidR="00806350" w:rsidRPr="00806350" w:rsidRDefault="00806350" w:rsidP="0099148C">
      <w:pPr>
        <w:pStyle w:val="NIEARTTEKSTtekstnieartykuowanynppodstprawnarozplubpreambua"/>
        <w:ind w:firstLine="0"/>
      </w:pPr>
      <w:r w:rsidRPr="00806350">
        <w:t>Program jest dokumentem, który</w:t>
      </w:r>
      <w:r w:rsidR="00BE01F2" w:rsidRPr="00806350">
        <w:t xml:space="preserve"> w</w:t>
      </w:r>
      <w:r w:rsidR="00BE01F2">
        <w:t> </w:t>
      </w:r>
      <w:r w:rsidRPr="00806350">
        <w:t>sposób kompleksowy wskazuje na cele polityki otwierania danych wraz</w:t>
      </w:r>
      <w:r w:rsidR="00BE01F2" w:rsidRPr="00806350">
        <w:t xml:space="preserve"> z</w:t>
      </w:r>
      <w:r w:rsidR="00BE01F2">
        <w:t> </w:t>
      </w:r>
      <w:r w:rsidRPr="00806350">
        <w:t>przedstawieniem konkretnych działań powiązanych</w:t>
      </w:r>
      <w:r w:rsidR="00BE01F2" w:rsidRPr="00806350">
        <w:t xml:space="preserve"> z</w:t>
      </w:r>
      <w:r w:rsidR="00BE01F2">
        <w:t> </w:t>
      </w:r>
      <w:r w:rsidRPr="00806350">
        <w:t>wyznaczonymi kierunkami. Dokument zawiera sześć celów szczegółowych, do których należą:</w:t>
      </w:r>
    </w:p>
    <w:p w14:paraId="3666BE0F" w14:textId="0813E168" w:rsidR="00806350" w:rsidRPr="00806350" w:rsidRDefault="00806350" w:rsidP="00356FAE">
      <w:pPr>
        <w:pStyle w:val="NIEARTTEKSTtekstnieartykuowanynppodstprawnarozplubpreambua"/>
      </w:pPr>
      <w:r w:rsidRPr="00806350">
        <w:t>1</w:t>
      </w:r>
      <w:r w:rsidR="00CA37D2">
        <w:t>)</w:t>
      </w:r>
      <w:r w:rsidR="008F4F33">
        <w:tab/>
      </w:r>
      <w:r w:rsidR="002131A7">
        <w:t>p</w:t>
      </w:r>
      <w:r w:rsidRPr="00806350">
        <w:t>oprawa interoperacyjności</w:t>
      </w:r>
      <w:r w:rsidR="00BE01F2" w:rsidRPr="00806350">
        <w:t xml:space="preserve"> i</w:t>
      </w:r>
      <w:r w:rsidR="00BE01F2">
        <w:t> </w:t>
      </w:r>
      <w:r w:rsidRPr="00806350">
        <w:t>jakości danych</w:t>
      </w:r>
      <w:r w:rsidR="00CA37D2">
        <w:t>;</w:t>
      </w:r>
    </w:p>
    <w:p w14:paraId="1E961ADF" w14:textId="1170F884" w:rsidR="00806350" w:rsidRPr="00806350" w:rsidRDefault="00806350" w:rsidP="00356FAE">
      <w:pPr>
        <w:pStyle w:val="NIEARTTEKSTtekstnieartykuowanynppodstprawnarozplubpreambua"/>
      </w:pPr>
      <w:r w:rsidRPr="00806350">
        <w:lastRenderedPageBreak/>
        <w:t>2</w:t>
      </w:r>
      <w:r w:rsidR="00CA37D2">
        <w:t>)</w:t>
      </w:r>
      <w:r w:rsidR="008F4F33">
        <w:tab/>
      </w:r>
      <w:r w:rsidR="002131A7">
        <w:t>w</w:t>
      </w:r>
      <w:r w:rsidRPr="00806350">
        <w:t>zrost wykorzystywania</w:t>
      </w:r>
      <w:r w:rsidR="00BE01F2" w:rsidRPr="00806350">
        <w:t xml:space="preserve"> i</w:t>
      </w:r>
      <w:r w:rsidR="00BE01F2">
        <w:t> </w:t>
      </w:r>
      <w:r w:rsidRPr="00806350">
        <w:t>wymiany danych</w:t>
      </w:r>
      <w:r w:rsidR="00CA37D2">
        <w:t>;</w:t>
      </w:r>
    </w:p>
    <w:p w14:paraId="7F91932E" w14:textId="13767FED" w:rsidR="00806350" w:rsidRPr="00806350" w:rsidRDefault="00806350" w:rsidP="00356FAE">
      <w:pPr>
        <w:pStyle w:val="NIEARTTEKSTtekstnieartykuowanynppodstprawnarozplubpreambua"/>
      </w:pPr>
      <w:r w:rsidRPr="00806350">
        <w:t>3</w:t>
      </w:r>
      <w:r w:rsidR="00CA37D2">
        <w:t>)</w:t>
      </w:r>
      <w:r w:rsidR="008F4F33">
        <w:tab/>
      </w:r>
      <w:r w:rsidR="002131A7">
        <w:t>s</w:t>
      </w:r>
      <w:r w:rsidRPr="00806350">
        <w:t>tymulowanie rynku ponownego wykorzystywania zasobów kultury</w:t>
      </w:r>
      <w:r w:rsidR="00BE01F2" w:rsidRPr="00806350">
        <w:t xml:space="preserve"> i</w:t>
      </w:r>
      <w:r w:rsidR="00BE01F2">
        <w:t> </w:t>
      </w:r>
      <w:r w:rsidRPr="00806350">
        <w:t>danych naukowych</w:t>
      </w:r>
      <w:r w:rsidR="00CA37D2">
        <w:t>;</w:t>
      </w:r>
    </w:p>
    <w:p w14:paraId="0EC8586E" w14:textId="1239EB77" w:rsidR="00806350" w:rsidRPr="00806350" w:rsidRDefault="00806350" w:rsidP="00356FAE">
      <w:pPr>
        <w:pStyle w:val="NIEARTTEKSTtekstnieartykuowanynppodstprawnarozplubpreambua"/>
      </w:pPr>
      <w:r w:rsidRPr="00806350">
        <w:t>4</w:t>
      </w:r>
      <w:r w:rsidR="00CA37D2">
        <w:t>)</w:t>
      </w:r>
      <w:r w:rsidR="008F4F33">
        <w:tab/>
      </w:r>
      <w:r w:rsidR="002131A7">
        <w:t>w</w:t>
      </w:r>
      <w:r w:rsidRPr="00806350">
        <w:t xml:space="preserve">spółpraca </w:t>
      </w:r>
      <w:r w:rsidR="00BE01F2" w:rsidRPr="00806350">
        <w:t xml:space="preserve"> z</w:t>
      </w:r>
      <w:r w:rsidR="00BE01F2">
        <w:t> </w:t>
      </w:r>
      <w:r w:rsidRPr="00806350">
        <w:t>krajowymi</w:t>
      </w:r>
      <w:r w:rsidR="00BE01F2" w:rsidRPr="00806350">
        <w:t xml:space="preserve"> i</w:t>
      </w:r>
      <w:r w:rsidR="00BE01F2">
        <w:t> </w:t>
      </w:r>
      <w:r w:rsidRPr="00806350">
        <w:t>międzynarodowymi interesariuszami danych</w:t>
      </w:r>
      <w:r w:rsidR="00CA37D2">
        <w:t>;</w:t>
      </w:r>
    </w:p>
    <w:p w14:paraId="36F52C3C" w14:textId="745D1186" w:rsidR="00806350" w:rsidRPr="00806350" w:rsidRDefault="00806350" w:rsidP="00356FAE">
      <w:pPr>
        <w:pStyle w:val="NIEARTTEKSTtekstnieartykuowanynppodstprawnarozplubpreambua"/>
      </w:pPr>
      <w:r w:rsidRPr="00806350">
        <w:t>5</w:t>
      </w:r>
      <w:r w:rsidR="00CA37D2">
        <w:t>)</w:t>
      </w:r>
      <w:r w:rsidR="008F4F33">
        <w:tab/>
      </w:r>
      <w:r w:rsidR="002131A7">
        <w:t>p</w:t>
      </w:r>
      <w:r w:rsidRPr="00806350">
        <w:t>odnoszenie wiedzy</w:t>
      </w:r>
      <w:r w:rsidR="00BE01F2" w:rsidRPr="00806350">
        <w:t xml:space="preserve"> i</w:t>
      </w:r>
      <w:r w:rsidR="00BE01F2">
        <w:t> </w:t>
      </w:r>
      <w:r w:rsidRPr="00806350">
        <w:t>umiejętności pracowników administracji publicznej</w:t>
      </w:r>
      <w:r w:rsidR="00BE01F2" w:rsidRPr="00806350">
        <w:t xml:space="preserve"> w</w:t>
      </w:r>
      <w:r w:rsidR="00BE01F2">
        <w:t> </w:t>
      </w:r>
      <w:r w:rsidRPr="00806350">
        <w:t>zakresie otwierania</w:t>
      </w:r>
      <w:r w:rsidR="00BE01F2" w:rsidRPr="00806350">
        <w:t xml:space="preserve"> i</w:t>
      </w:r>
      <w:r w:rsidR="00BE01F2">
        <w:t> </w:t>
      </w:r>
      <w:r w:rsidRPr="00806350">
        <w:t>zarządzania danymi oraz zwiększanie świadomości społecznej na temat potencjału otwartych danych.</w:t>
      </w:r>
    </w:p>
    <w:p w14:paraId="76AEBD14" w14:textId="4E91F77B" w:rsidR="00806350" w:rsidRPr="00806350" w:rsidRDefault="00E821ED" w:rsidP="00356FAE">
      <w:pPr>
        <w:pStyle w:val="NIEARTTEKSTtekstnieartykuowanynppodstprawnarozplubpreambua"/>
      </w:pPr>
      <w:r>
        <w:t>R</w:t>
      </w:r>
      <w:r w:rsidR="00806350" w:rsidRPr="00806350">
        <w:t>ealizacja</w:t>
      </w:r>
      <w:r>
        <w:t xml:space="preserve"> tych celów</w:t>
      </w:r>
      <w:r w:rsidR="00806350" w:rsidRPr="00806350">
        <w:t xml:space="preserve"> przyczyni się do rozwoju ekosystemu otwartych danych, stanowiącego fundament dla powstawania innowacyjnych dóbr, usług</w:t>
      </w:r>
      <w:r w:rsidR="00BE01F2" w:rsidRPr="00806350">
        <w:t xml:space="preserve"> i</w:t>
      </w:r>
      <w:r w:rsidR="00BE01F2">
        <w:t> </w:t>
      </w:r>
      <w:r w:rsidR="00806350" w:rsidRPr="00806350">
        <w:t>produktów, pobudzających rozwój gospodarki poprzez tworzenie nowych miejsc pracy</w:t>
      </w:r>
      <w:r w:rsidR="00BE01F2" w:rsidRPr="00806350">
        <w:t xml:space="preserve"> i</w:t>
      </w:r>
      <w:r w:rsidR="00BE01F2">
        <w:t> </w:t>
      </w:r>
      <w:r w:rsidR="00806350" w:rsidRPr="00806350">
        <w:t>zachęcanie do inwestycji</w:t>
      </w:r>
      <w:r w:rsidR="00BE01F2" w:rsidRPr="00806350">
        <w:t xml:space="preserve"> w</w:t>
      </w:r>
      <w:r w:rsidR="00BE01F2">
        <w:t> </w:t>
      </w:r>
      <w:r w:rsidR="00806350" w:rsidRPr="00806350">
        <w:t>przemyśle kreatywnym. Jednocześnie otwarte dane stanowią przyjazne dla obywateli źródło wiedzy</w:t>
      </w:r>
      <w:r w:rsidR="00BE01F2" w:rsidRPr="00806350">
        <w:t xml:space="preserve"> o</w:t>
      </w:r>
      <w:r w:rsidR="00BE01F2">
        <w:t> </w:t>
      </w:r>
      <w:r w:rsidR="00806350" w:rsidRPr="00806350">
        <w:t>działaniach organów władzy</w:t>
      </w:r>
      <w:r w:rsidR="00BE01F2" w:rsidRPr="00806350">
        <w:t xml:space="preserve"> i</w:t>
      </w:r>
      <w:r w:rsidR="00BE01F2">
        <w:t> </w:t>
      </w:r>
      <w:r w:rsidR="00806350" w:rsidRPr="00806350">
        <w:t>umożliwiają kontrolę społeczną nad działalnością państwa,</w:t>
      </w:r>
      <w:r w:rsidR="00BE01F2" w:rsidRPr="00806350">
        <w:t xml:space="preserve"> a</w:t>
      </w:r>
      <w:r w:rsidR="00BE01F2">
        <w:t> </w:t>
      </w:r>
      <w:r w:rsidR="00806350" w:rsidRPr="00806350">
        <w:t>tym samym wpływają na transpar</w:t>
      </w:r>
      <w:r w:rsidR="007471CB">
        <w:t>entność działań administracji i </w:t>
      </w:r>
      <w:r w:rsidR="00806350" w:rsidRPr="00806350">
        <w:t>usprawnienie jej funkcjonowania.</w:t>
      </w:r>
    </w:p>
    <w:p w14:paraId="1D8DC1D2" w14:textId="2772BE33" w:rsidR="00115F6D" w:rsidRPr="00115F6D" w:rsidRDefault="00115F6D" w:rsidP="00115F6D">
      <w:pPr>
        <w:pStyle w:val="NIEARTTEKSTtekstnieartykuowanynppodstprawnarozplubpreambua"/>
      </w:pPr>
      <w:r w:rsidRPr="00115F6D">
        <w:t>Załącznik</w:t>
      </w:r>
      <w:r w:rsidR="00BE01F2">
        <w:t xml:space="preserve"> nr 1 </w:t>
      </w:r>
      <w:r w:rsidRPr="00115F6D">
        <w:t>do Programu stanowi Plan dział</w:t>
      </w:r>
      <w:r w:rsidR="00494F8C">
        <w:t>ań na rzecz realizacji Programu, który z</w:t>
      </w:r>
      <w:r w:rsidRPr="00115F6D">
        <w:t>awiera listę działań</w:t>
      </w:r>
      <w:r w:rsidR="00BE01F2" w:rsidRPr="00115F6D">
        <w:t xml:space="preserve"> w</w:t>
      </w:r>
      <w:r w:rsidR="00BE01F2">
        <w:t> </w:t>
      </w:r>
      <w:r w:rsidRPr="00115F6D">
        <w:t>ramach poszczególnych celów ze wskazaniem podmiotów odpowiedzialnych i terminu realizacji. Zaplanowane zadania pozwolą na kreowanie krajowej polityki otwierania danych,</w:t>
      </w:r>
      <w:r w:rsidR="00BE01F2" w:rsidRPr="00115F6D">
        <w:t xml:space="preserve"> w</w:t>
      </w:r>
      <w:r w:rsidR="00BE01F2">
        <w:t> </w:t>
      </w:r>
      <w:r w:rsidRPr="00115F6D">
        <w:t>szczególności przyczynią się do wzrostu ogólnodostępnych dla obywateli danych.</w:t>
      </w:r>
    </w:p>
    <w:p w14:paraId="2898ACD1" w14:textId="77F76D10" w:rsidR="00806350" w:rsidRPr="00806350" w:rsidRDefault="00806350" w:rsidP="00356FAE">
      <w:pPr>
        <w:pStyle w:val="NIEARTTEKSTtekstnieartykuowanynppodstprawnarozplubpreambua"/>
      </w:pPr>
      <w:r w:rsidRPr="00806350">
        <w:t>Załącznik</w:t>
      </w:r>
      <w:r w:rsidR="008C3931">
        <w:t>i</w:t>
      </w:r>
      <w:r w:rsidR="00BE01F2">
        <w:t xml:space="preserve"> nr 2</w:t>
      </w:r>
      <w:r w:rsidR="008C3931">
        <w:t>-3</w:t>
      </w:r>
      <w:r w:rsidR="00BE01F2">
        <w:t> </w:t>
      </w:r>
      <w:r w:rsidRPr="00806350">
        <w:t>do Programu dotycz</w:t>
      </w:r>
      <w:r w:rsidR="00072A7A">
        <w:t>ą</w:t>
      </w:r>
      <w:r w:rsidRPr="00806350">
        <w:t xml:space="preserve"> standardów udostępniania danych </w:t>
      </w:r>
      <w:r w:rsidR="007800BB">
        <w:t>w</w:t>
      </w:r>
      <w:r w:rsidRPr="00806350">
        <w:t xml:space="preserve"> portalu dane.gov.pl</w:t>
      </w:r>
      <w:r w:rsidR="008C3931">
        <w:t>,</w:t>
      </w:r>
      <w:r w:rsidR="008C3931" w:rsidRPr="008C3931">
        <w:t xml:space="preserve"> </w:t>
      </w:r>
      <w:r w:rsidR="008C3931">
        <w:t>wymagań</w:t>
      </w:r>
      <w:r w:rsidR="008C3931" w:rsidRPr="008C3931">
        <w:t xml:space="preserve"> techniczn</w:t>
      </w:r>
      <w:r w:rsidR="008C3931">
        <w:t>ych</w:t>
      </w:r>
      <w:r w:rsidR="008C3931" w:rsidRPr="008C3931">
        <w:t xml:space="preserve"> dla danych, w tym dla poszczególnych pięciu poziomów otwartości danych (według schematu Tima Berners</w:t>
      </w:r>
      <w:r w:rsidR="008C3931">
        <w:t xml:space="preserve">a-Lee) i formatów danych oraz minimalnych, rekomendowanych zaleceń, </w:t>
      </w:r>
      <w:r w:rsidR="0033750C">
        <w:t>dotyczących</w:t>
      </w:r>
      <w:r w:rsidR="008C3931" w:rsidRPr="008C3931">
        <w:t xml:space="preserve"> interfejsu programistycznego aplikacji dostępu do baz danych, które przechowują dane</w:t>
      </w:r>
      <w:r w:rsidRPr="00806350">
        <w:t>.</w:t>
      </w:r>
    </w:p>
    <w:p w14:paraId="6F90489E" w14:textId="46999448" w:rsidR="00806350" w:rsidRPr="00806350" w:rsidRDefault="00806350" w:rsidP="00356FAE">
      <w:pPr>
        <w:pStyle w:val="NIEARTTEKSTtekstnieartykuowanynppodstprawnarozplubpreambua"/>
      </w:pPr>
      <w:r w:rsidRPr="00806350">
        <w:t>Program jest skierowany do, organów administracji rządowej oraz Prezesa Główn</w:t>
      </w:r>
      <w:r w:rsidR="000A67D7">
        <w:t xml:space="preserve">ego Urzędu Statystycznego. </w:t>
      </w:r>
      <w:r w:rsidR="007438F3">
        <w:t xml:space="preserve">Organy i jednostki organizacyjne podległe lub nadzorowane przez członków Rady Ministrów biorą udział w realizacji Programu. </w:t>
      </w:r>
      <w:r w:rsidR="000A67D7">
        <w:t>Doku</w:t>
      </w:r>
      <w:r w:rsidRPr="00806350">
        <w:t>ment może być stosowany na zasadzie fakultatywności również przez inne podmioty, które tworzą lub przechowują dane</w:t>
      </w:r>
      <w:r w:rsidR="00291776">
        <w:t>.</w:t>
      </w:r>
      <w:r w:rsidR="00BE01F2" w:rsidRPr="00806350">
        <w:t xml:space="preserve"> </w:t>
      </w:r>
      <w:r w:rsidR="00BE01F2">
        <w:t>W </w:t>
      </w:r>
      <w:r w:rsidRPr="00806350">
        <w:t>szczególności jednostki samorządu terytorialnego, państwowe osoby prawne utworzone na podstawie odrębnych ustaw,</w:t>
      </w:r>
      <w:r w:rsidR="00BE01F2" w:rsidRPr="00806350">
        <w:t xml:space="preserve"> a</w:t>
      </w:r>
      <w:r w:rsidR="00BE01F2">
        <w:t> </w:t>
      </w:r>
      <w:r w:rsidRPr="00806350">
        <w:t>także przez podmioty prywatne</w:t>
      </w:r>
      <w:r w:rsidR="00291776">
        <w:t xml:space="preserve">, </w:t>
      </w:r>
      <w:r w:rsidR="00291776" w:rsidRPr="00291776">
        <w:t>które chciałyby otwierać swoje dane do ponownego wykorzystywania udostępniając je np.</w:t>
      </w:r>
      <w:r w:rsidR="00BE01F2" w:rsidRPr="00291776">
        <w:t xml:space="preserve"> w</w:t>
      </w:r>
      <w:r w:rsidR="00BE01F2">
        <w:t> </w:t>
      </w:r>
      <w:r w:rsidR="00291776" w:rsidRPr="00291776">
        <w:t>portalu dane.gov.pl.</w:t>
      </w:r>
    </w:p>
    <w:p w14:paraId="0D3EDB99" w14:textId="0E781AF5" w:rsidR="00806350" w:rsidRDefault="00806350" w:rsidP="00356FAE">
      <w:pPr>
        <w:pStyle w:val="NIEARTTEKSTtekstnieartykuowanynppodstprawnarozplubpreambua"/>
      </w:pPr>
      <w:r w:rsidRPr="00806350">
        <w:t>Projektowana uchwała przewiduje, że koordynatorem Programu będzie minister właściwy do spraw informatyzacji,</w:t>
      </w:r>
      <w:r w:rsidR="00BE01F2" w:rsidRPr="00806350">
        <w:t xml:space="preserve"> z</w:t>
      </w:r>
      <w:r w:rsidR="00BE01F2">
        <w:t> </w:t>
      </w:r>
      <w:r w:rsidRPr="00806350">
        <w:t>którym współpracować będą</w:t>
      </w:r>
      <w:r w:rsidR="00BE01F2" w:rsidRPr="00806350">
        <w:t xml:space="preserve"> w</w:t>
      </w:r>
      <w:r w:rsidR="00BE01F2">
        <w:t> </w:t>
      </w:r>
      <w:r w:rsidRPr="00806350">
        <w:t>ramach re</w:t>
      </w:r>
      <w:r>
        <w:t>alizacji Programu członkowie Ra</w:t>
      </w:r>
      <w:r w:rsidRPr="00806350">
        <w:t>dy Ministrów</w:t>
      </w:r>
      <w:r w:rsidR="00BE01F2" w:rsidRPr="00806350">
        <w:t xml:space="preserve"> i</w:t>
      </w:r>
      <w:r w:rsidR="00BE01F2">
        <w:t> </w:t>
      </w:r>
      <w:r w:rsidRPr="00806350">
        <w:t xml:space="preserve">Prezes </w:t>
      </w:r>
      <w:r w:rsidR="00CA37D2" w:rsidRPr="00806350">
        <w:t>G</w:t>
      </w:r>
      <w:r w:rsidR="00CA37D2">
        <w:t xml:space="preserve">łównego </w:t>
      </w:r>
      <w:r w:rsidRPr="00806350">
        <w:t>U</w:t>
      </w:r>
      <w:r w:rsidR="00CA37D2">
        <w:t xml:space="preserve">rzędu </w:t>
      </w:r>
      <w:r w:rsidRPr="00806350">
        <w:t>S</w:t>
      </w:r>
      <w:r w:rsidR="00CA37D2">
        <w:t>tatystycznego</w:t>
      </w:r>
      <w:r w:rsidRPr="00806350">
        <w:t>.</w:t>
      </w:r>
    </w:p>
    <w:p w14:paraId="2B87AFDD" w14:textId="30404AB5" w:rsidR="000E2CDF" w:rsidRDefault="00933440" w:rsidP="007438F3">
      <w:pPr>
        <w:pStyle w:val="ARTartustawynprozporzdzenia"/>
      </w:pPr>
      <w:r w:rsidRPr="00933440">
        <w:t>W obowiązującym P</w:t>
      </w:r>
      <w:r>
        <w:t xml:space="preserve">rogramie </w:t>
      </w:r>
      <w:r w:rsidRPr="00933440">
        <w:t>O</w:t>
      </w:r>
      <w:r>
        <w:t xml:space="preserve">twierania </w:t>
      </w:r>
      <w:r w:rsidRPr="00933440">
        <w:t>D</w:t>
      </w:r>
      <w:r>
        <w:t xml:space="preserve">anych </w:t>
      </w:r>
      <w:r w:rsidRPr="00933440">
        <w:t>P</w:t>
      </w:r>
      <w:r>
        <w:t>ublicznych</w:t>
      </w:r>
      <w:r w:rsidRPr="00933440">
        <w:t xml:space="preserve"> 201</w:t>
      </w:r>
      <w:r w:rsidR="00BE01F2" w:rsidRPr="00933440">
        <w:t>6</w:t>
      </w:r>
      <w:r w:rsidR="00BE01F2">
        <w:noBreakHyphen/>
      </w:r>
      <w:r w:rsidRPr="00933440">
        <w:t>202</w:t>
      </w:r>
      <w:r w:rsidR="00BE01F2">
        <w:t>0 </w:t>
      </w:r>
      <w:r w:rsidRPr="00933440">
        <w:t>istnieje obowiązek sprawozdawczy przedstawia</w:t>
      </w:r>
      <w:r>
        <w:t>nia Radzie Ministrów informacji</w:t>
      </w:r>
      <w:r w:rsidR="00BE01F2" w:rsidRPr="00933440">
        <w:t xml:space="preserve"> o</w:t>
      </w:r>
      <w:r w:rsidR="00BE01F2">
        <w:t> </w:t>
      </w:r>
      <w:r w:rsidRPr="00933440">
        <w:t>realizacji Programu r</w:t>
      </w:r>
      <w:r>
        <w:t>az</w:t>
      </w:r>
      <w:r w:rsidR="00BE01F2">
        <w:t xml:space="preserve"> w </w:t>
      </w:r>
      <w:r>
        <w:t>roku, dlatego</w:t>
      </w:r>
      <w:r w:rsidR="00BE01F2">
        <w:t xml:space="preserve"> w </w:t>
      </w:r>
      <w:r>
        <w:t>projektowanej uchwale proponuje się pozostawić tę roczną częstotliwość obowiązku sprawozdawczego.</w:t>
      </w:r>
      <w:r w:rsidR="00BE01F2">
        <w:t xml:space="preserve"> </w:t>
      </w:r>
      <w:r w:rsidR="00BE01F2" w:rsidRPr="00933440">
        <w:t>Z</w:t>
      </w:r>
      <w:r w:rsidR="00BE01F2">
        <w:t> </w:t>
      </w:r>
      <w:r w:rsidRPr="00933440">
        <w:t>dotychczasowego doświadczenia wynika, że taki system sprawozdawczy</w:t>
      </w:r>
      <w:r w:rsidR="00BE01F2" w:rsidRPr="00933440">
        <w:t xml:space="preserve"> z</w:t>
      </w:r>
      <w:r w:rsidR="00BE01F2">
        <w:t> </w:t>
      </w:r>
      <w:r w:rsidRPr="00933440">
        <w:t xml:space="preserve">realizacji Programu pozwala na </w:t>
      </w:r>
      <w:r w:rsidRPr="00933440">
        <w:lastRenderedPageBreak/>
        <w:t>sprawną</w:t>
      </w:r>
      <w:r w:rsidR="00BE01F2" w:rsidRPr="00933440">
        <w:t xml:space="preserve"> i</w:t>
      </w:r>
      <w:r w:rsidR="00BE01F2">
        <w:t> </w:t>
      </w:r>
      <w:r w:rsidRPr="00933440">
        <w:t>skuteczną realizację zadań. Roczna częstotliwość sprawozdawcza daje pogląd na stan realizowanych działań</w:t>
      </w:r>
      <w:r w:rsidR="00BE01F2" w:rsidRPr="00933440">
        <w:t xml:space="preserve"> w</w:t>
      </w:r>
      <w:r w:rsidR="00BE01F2">
        <w:t> </w:t>
      </w:r>
      <w:r w:rsidRPr="00933440">
        <w:t>poszczególnych resortach</w:t>
      </w:r>
      <w:r>
        <w:t>,</w:t>
      </w:r>
      <w:r w:rsidRPr="00933440">
        <w:t xml:space="preserve"> jak</w:t>
      </w:r>
      <w:r w:rsidR="00BE01F2" w:rsidRPr="00933440">
        <w:t xml:space="preserve"> i</w:t>
      </w:r>
      <w:r w:rsidR="00BE01F2">
        <w:t> </w:t>
      </w:r>
      <w:r w:rsidRPr="00933440">
        <w:t>umożliwia wprowadzenie ewentualnych działań naprawczych</w:t>
      </w:r>
      <w:r w:rsidR="00BE01F2" w:rsidRPr="00933440">
        <w:t xml:space="preserve"> w</w:t>
      </w:r>
      <w:r w:rsidR="00BE01F2">
        <w:t> </w:t>
      </w:r>
      <w:r w:rsidRPr="00933440">
        <w:t>przypadku braku postępów</w:t>
      </w:r>
      <w:r w:rsidR="00BE01F2" w:rsidRPr="00933440">
        <w:t xml:space="preserve"> w</w:t>
      </w:r>
      <w:r w:rsidR="00BE01F2">
        <w:t> </w:t>
      </w:r>
      <w:r w:rsidRPr="00933440">
        <w:t>otwieraniu danych publicznych</w:t>
      </w:r>
      <w:r w:rsidR="00BE01F2" w:rsidRPr="00933440">
        <w:t xml:space="preserve"> i</w:t>
      </w:r>
      <w:r w:rsidR="00BE01F2">
        <w:t> </w:t>
      </w:r>
      <w:r w:rsidRPr="00933440">
        <w:t>podnoszeniu ich jakości. System monitorowania projektu Programu zakłada, że działania</w:t>
      </w:r>
      <w:r w:rsidR="00BE01F2" w:rsidRPr="00933440">
        <w:t xml:space="preserve"> w</w:t>
      </w:r>
      <w:r w:rsidR="00BE01F2">
        <w:t> </w:t>
      </w:r>
      <w:r w:rsidRPr="00933440">
        <w:t>nim opisane będą podlegać stałej</w:t>
      </w:r>
      <w:r w:rsidR="00BE01F2" w:rsidRPr="00933440">
        <w:t xml:space="preserve"> i</w:t>
      </w:r>
      <w:r w:rsidR="00BE01F2">
        <w:t> </w:t>
      </w:r>
      <w:r w:rsidRPr="00933440">
        <w:t>usystematyzowanej ocenie</w:t>
      </w:r>
      <w:r w:rsidR="00BE01F2" w:rsidRPr="00933440">
        <w:t xml:space="preserve"> i</w:t>
      </w:r>
      <w:r w:rsidR="00BE01F2">
        <w:t> </w:t>
      </w:r>
      <w:r w:rsidRPr="00933440">
        <w:t>analizie</w:t>
      </w:r>
      <w:r w:rsidR="00BE01F2" w:rsidRPr="00933440">
        <w:t xml:space="preserve"> w</w:t>
      </w:r>
      <w:r w:rsidR="00BE01F2">
        <w:t> </w:t>
      </w:r>
      <w:r w:rsidRPr="00933440">
        <w:t>zakresie stopnia osiągania założonych wskaźników</w:t>
      </w:r>
      <w:r>
        <w:t>.</w:t>
      </w:r>
      <w:r w:rsidR="00BE01F2">
        <w:t xml:space="preserve"> W </w:t>
      </w:r>
      <w:r>
        <w:t>związku</w:t>
      </w:r>
      <w:r w:rsidR="00BE01F2">
        <w:t xml:space="preserve"> z </w:t>
      </w:r>
      <w:r>
        <w:t xml:space="preserve">powyższym </w:t>
      </w:r>
      <w:r w:rsidRPr="00933440">
        <w:t xml:space="preserve">proponuje </w:t>
      </w:r>
      <w:r>
        <w:t>się przepis projektowanego</w:t>
      </w:r>
      <w:r w:rsidR="00BE01F2">
        <w:t xml:space="preserve"> § </w:t>
      </w:r>
      <w:r>
        <w:t>3</w:t>
      </w:r>
      <w:r w:rsidRPr="00933440">
        <w:t xml:space="preserve">. </w:t>
      </w:r>
      <w:r>
        <w:t>Dodatkowo należy mieć na uwadze, że</w:t>
      </w:r>
      <w:r w:rsidR="00BE01F2">
        <w:t xml:space="preserve"> w </w:t>
      </w:r>
      <w:r>
        <w:t>projekcie ustawy</w:t>
      </w:r>
      <w:r w:rsidR="00BE01F2">
        <w:t xml:space="preserve"> o </w:t>
      </w:r>
      <w:r>
        <w:t>otwartych danych</w:t>
      </w:r>
      <w:r w:rsidR="00BE01F2">
        <w:t xml:space="preserve"> i </w:t>
      </w:r>
      <w:r w:rsidRPr="00933440">
        <w:t>ponownym wykorzystywaniu informacji sektora publicznego (UC47) znajdują się regulacje odnośnie rocznej sprawozdawczośc</w:t>
      </w:r>
      <w:r w:rsidR="00007266">
        <w:t>i ministra właściwego do spraw</w:t>
      </w:r>
      <w:r>
        <w:t xml:space="preserve"> informatyzacji</w:t>
      </w:r>
      <w:r w:rsidR="00BE01F2">
        <w:t xml:space="preserve"> w </w:t>
      </w:r>
      <w:r>
        <w:t>powyższym zakresie</w:t>
      </w:r>
      <w:r w:rsidRPr="00933440">
        <w:t>.</w:t>
      </w:r>
    </w:p>
    <w:p w14:paraId="3CEA2373" w14:textId="77777777" w:rsidR="00B85438" w:rsidRDefault="00B85438" w:rsidP="00B85438">
      <w:pPr>
        <w:pStyle w:val="NIEARTTEKSTtekstnieartykuowanynppodstprawnarozplubpreambua"/>
        <w:ind w:firstLine="0"/>
      </w:pPr>
      <w:r w:rsidRPr="00703B79">
        <w:t xml:space="preserve">Projekt nie jest objęty prawem Unii Europejskiej. </w:t>
      </w:r>
    </w:p>
    <w:p w14:paraId="35788221" w14:textId="6700F6F0" w:rsidR="00B85438" w:rsidRPr="00B85438" w:rsidRDefault="00B85438" w:rsidP="00B85438">
      <w:pPr>
        <w:pStyle w:val="ARTartustawynprozporzdzenia"/>
        <w:ind w:firstLine="0"/>
      </w:pPr>
      <w:r>
        <w:t>P</w:t>
      </w:r>
      <w:r w:rsidRPr="00B85438">
        <w:t xml:space="preserve">rojekt aktu </w:t>
      </w:r>
      <w:r>
        <w:t xml:space="preserve">nie </w:t>
      </w:r>
      <w:r w:rsidRPr="00B85438">
        <w:t>podlega notyfikacji zgodnie z</w:t>
      </w:r>
      <w:r>
        <w:t xml:space="preserve"> trybem przewidzianym w przepisach dotyczących </w:t>
      </w:r>
      <w:r w:rsidRPr="00B85438">
        <w:t>funkcjonowania krajowego systemu notyfikacji norm i aktów prawnych.</w:t>
      </w:r>
    </w:p>
    <w:p w14:paraId="0A293C0C" w14:textId="4A79D146" w:rsidR="00B85438" w:rsidRPr="00933440" w:rsidRDefault="00B85438" w:rsidP="00B85438">
      <w:pPr>
        <w:pStyle w:val="NIEARTTEKSTtekstnieartykuowanynppodstprawnarozplubpreambua"/>
        <w:ind w:firstLine="0"/>
      </w:pPr>
      <w:r w:rsidRPr="00703B79">
        <w:t xml:space="preserve">Projekt </w:t>
      </w:r>
      <w:r w:rsidR="00AA1E38">
        <w:t>uchwały</w:t>
      </w:r>
      <w:r w:rsidRPr="00703B79">
        <w:t xml:space="preserve"> nie wymaga przedstawienia właściwym instytucjom i organom Unii Europejskiej lub Europejskiemu Bankowi Centralnemu celem uzyskania opinii, dokonania konsultacji albo uzgodnienia.</w:t>
      </w:r>
    </w:p>
    <w:p w14:paraId="3F5DE020" w14:textId="3F7B2A49" w:rsidR="007471CB" w:rsidRPr="007471CB" w:rsidRDefault="008F4F33" w:rsidP="000E2CDF">
      <w:pPr>
        <w:pStyle w:val="ARTartustawynprozporzdzenia"/>
        <w:ind w:firstLine="0"/>
      </w:pPr>
      <w:r>
        <w:t>Uchwała będzie ogłoszona</w:t>
      </w:r>
      <w:r w:rsidR="00BE01F2">
        <w:t xml:space="preserve"> w </w:t>
      </w:r>
      <w:r>
        <w:t>D</w:t>
      </w:r>
      <w:r w:rsidR="007471CB">
        <w:t xml:space="preserve">zienniku </w:t>
      </w:r>
      <w:r>
        <w:t>U</w:t>
      </w:r>
      <w:r w:rsidR="007471CB" w:rsidRPr="007471CB">
        <w:t xml:space="preserve">rzędowy Rzeczypospolitej Polskiej </w:t>
      </w:r>
      <w:r w:rsidR="00BE01F2">
        <w:t>„</w:t>
      </w:r>
      <w:r w:rsidR="007471CB" w:rsidRPr="007471CB">
        <w:t>Monitor Polski</w:t>
      </w:r>
      <w:r w:rsidR="00072A7A" w:rsidRPr="00072A7A">
        <w:t>”</w:t>
      </w:r>
      <w:r w:rsidR="007471CB">
        <w:t>.</w:t>
      </w:r>
    </w:p>
    <w:p w14:paraId="75C6EBE9" w14:textId="731216B2" w:rsidR="00A35EF0" w:rsidRDefault="00806350" w:rsidP="000E2CDF">
      <w:pPr>
        <w:pStyle w:val="NIEARTTEKSTtekstnieartykuowanynppodstprawnarozplubpreambua"/>
        <w:ind w:firstLine="0"/>
      </w:pPr>
      <w:r w:rsidRPr="00806350">
        <w:t>Uchwała wejdzie</w:t>
      </w:r>
      <w:r w:rsidR="00BE01F2" w:rsidRPr="00806350">
        <w:t xml:space="preserve"> w</w:t>
      </w:r>
      <w:r w:rsidR="00BE01F2">
        <w:t> </w:t>
      </w:r>
      <w:r w:rsidRPr="00806350">
        <w:t>życie</w:t>
      </w:r>
      <w:r w:rsidR="00BE01F2">
        <w:t xml:space="preserve"> z </w:t>
      </w:r>
      <w:r w:rsidR="00291776" w:rsidRPr="00291776">
        <w:t xml:space="preserve">dniem </w:t>
      </w:r>
      <w:r w:rsidR="00BE01F2" w:rsidRPr="00291776">
        <w:t>1</w:t>
      </w:r>
      <w:r w:rsidR="00BE01F2">
        <w:t> </w:t>
      </w:r>
      <w:r w:rsidR="00291776" w:rsidRPr="00291776">
        <w:t>stycznia 202</w:t>
      </w:r>
      <w:r w:rsidR="00BE01F2" w:rsidRPr="00291776">
        <w:t>1</w:t>
      </w:r>
      <w:r w:rsidR="00BE01F2">
        <w:t> </w:t>
      </w:r>
      <w:r w:rsidR="00291776" w:rsidRPr="00291776">
        <w:t>r.</w:t>
      </w:r>
    </w:p>
    <w:p w14:paraId="38A7286A" w14:textId="77777777" w:rsidR="00486AAC" w:rsidRPr="00486AAC" w:rsidRDefault="00486AAC" w:rsidP="00486AAC">
      <w:pPr>
        <w:widowControl/>
        <w:autoSpaceDE/>
        <w:autoSpaceDN/>
        <w:adjustRightInd/>
      </w:pPr>
      <w:r>
        <w:br w:type="page"/>
      </w:r>
    </w:p>
    <w:tbl>
      <w:tblPr>
        <w:tblW w:w="109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2"/>
        <w:gridCol w:w="2723"/>
        <w:gridCol w:w="1353"/>
        <w:gridCol w:w="2333"/>
        <w:gridCol w:w="1977"/>
        <w:gridCol w:w="10"/>
      </w:tblGrid>
      <w:tr w:rsidR="00486AAC" w:rsidRPr="00486AAC" w14:paraId="46922605" w14:textId="77777777" w:rsidTr="009F408A">
        <w:trPr>
          <w:gridAfter w:val="1"/>
          <w:wAfter w:w="10" w:type="dxa"/>
          <w:trHeight w:val="1611"/>
        </w:trPr>
        <w:tc>
          <w:tcPr>
            <w:tcW w:w="6598" w:type="dxa"/>
            <w:gridSpan w:val="3"/>
          </w:tcPr>
          <w:p w14:paraId="7FC6307D" w14:textId="77777777" w:rsidR="00486AAC" w:rsidRPr="00486AAC" w:rsidRDefault="00486AAC" w:rsidP="00486AAC">
            <w:pPr>
              <w:rPr>
                <w:rStyle w:val="Ppogrubienie"/>
              </w:rPr>
            </w:pPr>
            <w:bookmarkStart w:id="1" w:name="t1"/>
            <w:r w:rsidRPr="00486AAC">
              <w:rPr>
                <w:rStyle w:val="Ppogrubienie"/>
              </w:rPr>
              <w:lastRenderedPageBreak/>
              <w:t>Nazwa projektu</w:t>
            </w:r>
          </w:p>
          <w:p w14:paraId="713F1E46" w14:textId="6A75883D" w:rsidR="00486AAC" w:rsidRPr="00486AAC" w:rsidRDefault="009F408A" w:rsidP="00486AAC">
            <w:r>
              <w:t>Uchwała</w:t>
            </w:r>
            <w:r w:rsidR="00486AAC" w:rsidRPr="00486AAC">
              <w:t xml:space="preserve"> Rady Ministrów</w:t>
            </w:r>
            <w:r w:rsidR="00BE01F2" w:rsidRPr="00486AAC">
              <w:t xml:space="preserve"> w</w:t>
            </w:r>
            <w:r w:rsidR="00BE01F2">
              <w:t> </w:t>
            </w:r>
            <w:r w:rsidR="00486AAC" w:rsidRPr="00486AAC">
              <w:t>sprawie Programu otwierania danych na lata 202</w:t>
            </w:r>
            <w:r w:rsidR="00BE01F2" w:rsidRPr="00486AAC">
              <w:t>1</w:t>
            </w:r>
            <w:r w:rsidR="00BE01F2">
              <w:noBreakHyphen/>
            </w:r>
            <w:r w:rsidR="00486AAC" w:rsidRPr="00486AAC">
              <w:t>2027</w:t>
            </w:r>
          </w:p>
          <w:p w14:paraId="1D794ECE" w14:textId="3FBCEE18" w:rsidR="00486AAC" w:rsidRPr="00486AAC" w:rsidRDefault="00486AAC" w:rsidP="00486AAC">
            <w:pPr>
              <w:rPr>
                <w:rStyle w:val="Ppogrubienie"/>
              </w:rPr>
            </w:pPr>
            <w:r w:rsidRPr="00486AAC">
              <w:rPr>
                <w:rStyle w:val="Ppogrubienie"/>
              </w:rPr>
              <w:t>Ministerstwo wiodące</w:t>
            </w:r>
            <w:r w:rsidR="00BE01F2" w:rsidRPr="00486AAC">
              <w:rPr>
                <w:rStyle w:val="Ppogrubienie"/>
              </w:rPr>
              <w:t xml:space="preserve"> i</w:t>
            </w:r>
            <w:r w:rsidR="00BE01F2">
              <w:rPr>
                <w:rStyle w:val="Ppogrubienie"/>
              </w:rPr>
              <w:t> </w:t>
            </w:r>
            <w:r w:rsidRPr="00486AAC">
              <w:rPr>
                <w:rStyle w:val="Ppogrubienie"/>
              </w:rPr>
              <w:t>ministerstwa współpracujące</w:t>
            </w:r>
          </w:p>
          <w:bookmarkEnd w:id="1"/>
          <w:p w14:paraId="581C4356" w14:textId="4118C938" w:rsidR="00486AAC" w:rsidRPr="00486AAC" w:rsidRDefault="00007266" w:rsidP="00486AAC">
            <w:r>
              <w:t>Kancelaria Prezesa Rady Ministrów</w:t>
            </w:r>
          </w:p>
          <w:p w14:paraId="4F500F49" w14:textId="17FDA540" w:rsidR="00486AAC" w:rsidRPr="00486AAC" w:rsidRDefault="00486AAC" w:rsidP="00486AAC">
            <w:pPr>
              <w:rPr>
                <w:rStyle w:val="Ppogrubienie"/>
              </w:rPr>
            </w:pPr>
            <w:r w:rsidRPr="00486AAC">
              <w:rPr>
                <w:rStyle w:val="Ppogrubienie"/>
              </w:rPr>
              <w:t>Osoba odpowiedzialna za projekt</w:t>
            </w:r>
            <w:r w:rsidR="00BE01F2" w:rsidRPr="00486AAC">
              <w:rPr>
                <w:rStyle w:val="Ppogrubienie"/>
              </w:rPr>
              <w:t xml:space="preserve"> w</w:t>
            </w:r>
            <w:r w:rsidR="00BE01F2">
              <w:rPr>
                <w:rStyle w:val="Ppogrubienie"/>
              </w:rPr>
              <w:t> </w:t>
            </w:r>
            <w:r w:rsidRPr="00486AAC">
              <w:rPr>
                <w:rStyle w:val="Ppogrubienie"/>
              </w:rPr>
              <w:t>randze Ministra, Sekretarza Stanu lub Podsekretarza Stanu</w:t>
            </w:r>
          </w:p>
          <w:p w14:paraId="2FD92944" w14:textId="03A2CCD5" w:rsidR="00C36205" w:rsidRPr="00C36205" w:rsidRDefault="005073C7" w:rsidP="00C36205">
            <w:r>
              <w:t>Marek Zagórski</w:t>
            </w:r>
            <w:r w:rsidR="00C36205" w:rsidRPr="00C36205">
              <w:t xml:space="preserve"> – Sekretarz Stanu w </w:t>
            </w:r>
            <w:r w:rsidR="00FC2CB8">
              <w:t xml:space="preserve"> Kancelarii Prezesa Rady Ministrów</w:t>
            </w:r>
          </w:p>
          <w:p w14:paraId="0D98595D" w14:textId="77777777" w:rsidR="00486AAC" w:rsidRPr="00486AAC" w:rsidRDefault="00486AAC" w:rsidP="00486AAC">
            <w:pPr>
              <w:rPr>
                <w:rStyle w:val="Ppogrubienie"/>
              </w:rPr>
            </w:pPr>
            <w:r w:rsidRPr="00486AAC">
              <w:rPr>
                <w:rStyle w:val="Ppogrubienie"/>
              </w:rPr>
              <w:t>Kontakt do opiekuna merytorycznego projektu</w:t>
            </w:r>
          </w:p>
          <w:p w14:paraId="28A8FB09" w14:textId="54BA961A" w:rsidR="00486AAC" w:rsidRPr="00486AAC" w:rsidRDefault="00486AAC" w:rsidP="00486AAC">
            <w:r w:rsidRPr="00486AAC">
              <w:t>Iwona Szelenbaum – Naczelnik Wydziału Strategii</w:t>
            </w:r>
            <w:r w:rsidR="00BE01F2" w:rsidRPr="00486AAC">
              <w:t xml:space="preserve"> i</w:t>
            </w:r>
            <w:r w:rsidR="00BE01F2">
              <w:t> </w:t>
            </w:r>
            <w:r w:rsidRPr="00486AAC">
              <w:t>Standardów Danych</w:t>
            </w:r>
            <w:r w:rsidR="00BE01F2" w:rsidRPr="00486AAC">
              <w:t xml:space="preserve"> w</w:t>
            </w:r>
            <w:r w:rsidR="00BE01F2">
              <w:t> </w:t>
            </w:r>
            <w:r w:rsidRPr="00486AAC">
              <w:t>Departamencie Zarządzania Danymi</w:t>
            </w:r>
          </w:p>
          <w:p w14:paraId="75B34F39" w14:textId="362AA16D" w:rsidR="00486AAC" w:rsidRPr="00486AAC" w:rsidRDefault="00486AAC" w:rsidP="00486AAC">
            <w:pPr>
              <w:rPr>
                <w:lang w:val="en-US"/>
              </w:rPr>
            </w:pPr>
            <w:r w:rsidRPr="00486AAC">
              <w:rPr>
                <w:lang w:val="en-US"/>
              </w:rPr>
              <w:t>Tel.: 22 24</w:t>
            </w:r>
            <w:r w:rsidR="00BE01F2" w:rsidRPr="00486AAC">
              <w:rPr>
                <w:lang w:val="en-US"/>
              </w:rPr>
              <w:t>5</w:t>
            </w:r>
            <w:r w:rsidR="00BE01F2">
              <w:rPr>
                <w:lang w:val="en-US"/>
              </w:rPr>
              <w:t> </w:t>
            </w:r>
            <w:r w:rsidRPr="00486AAC">
              <w:rPr>
                <w:lang w:val="en-US"/>
              </w:rPr>
              <w:t>5</w:t>
            </w:r>
            <w:r w:rsidR="00BE01F2" w:rsidRPr="00486AAC">
              <w:rPr>
                <w:lang w:val="en-US"/>
              </w:rPr>
              <w:t>5</w:t>
            </w:r>
            <w:r w:rsidR="00BE01F2">
              <w:rPr>
                <w:lang w:val="en-US"/>
              </w:rPr>
              <w:t> </w:t>
            </w:r>
            <w:r w:rsidRPr="00486AAC">
              <w:rPr>
                <w:lang w:val="en-US"/>
              </w:rPr>
              <w:t>51</w:t>
            </w:r>
          </w:p>
          <w:p w14:paraId="60AF048F" w14:textId="5D7D095A" w:rsidR="00486AAC" w:rsidRPr="00486AAC" w:rsidRDefault="00486AAC" w:rsidP="00486AAC">
            <w:pPr>
              <w:rPr>
                <w:lang w:val="en-US"/>
              </w:rPr>
            </w:pPr>
            <w:r w:rsidRPr="00486AAC">
              <w:rPr>
                <w:lang w:val="en-US"/>
              </w:rPr>
              <w:t xml:space="preserve">Mail: </w:t>
            </w:r>
            <w:hyperlink r:id="rId9" w:history="1">
              <w:r w:rsidRPr="00486AAC">
                <w:rPr>
                  <w:rStyle w:val="Hipercze"/>
                  <w:lang w:val="en-US"/>
                </w:rPr>
                <w:t>iwona.szelenbaum@mc.gov.pl</w:t>
              </w:r>
            </w:hyperlink>
          </w:p>
          <w:p w14:paraId="354ED2DE" w14:textId="78B94204" w:rsidR="00486AAC" w:rsidRPr="00486AAC" w:rsidRDefault="00486AAC" w:rsidP="00486AAC">
            <w:r w:rsidRPr="00486AAC">
              <w:t>Sylwia Pichlak</w:t>
            </w:r>
            <w:r w:rsidR="00BE01F2">
              <w:softHyphen/>
            </w:r>
            <w:r w:rsidR="00BE01F2">
              <w:noBreakHyphen/>
            </w:r>
            <w:r w:rsidRPr="00486AAC">
              <w:t>Pawlak – główny specjalista</w:t>
            </w:r>
            <w:r w:rsidR="00BE01F2" w:rsidRPr="00486AAC">
              <w:t xml:space="preserve"> w</w:t>
            </w:r>
            <w:r w:rsidR="00BE01F2">
              <w:t> </w:t>
            </w:r>
            <w:r w:rsidRPr="00486AAC">
              <w:t>Wydziale Strategii</w:t>
            </w:r>
            <w:r w:rsidR="00BE01F2" w:rsidRPr="00486AAC">
              <w:t xml:space="preserve"> i</w:t>
            </w:r>
            <w:r w:rsidR="00BE01F2">
              <w:t> </w:t>
            </w:r>
            <w:r w:rsidRPr="00486AAC">
              <w:t>Standardów Danych,</w:t>
            </w:r>
            <w:r w:rsidR="00BE01F2" w:rsidRPr="00486AAC">
              <w:t xml:space="preserve"> w</w:t>
            </w:r>
            <w:r w:rsidR="00BE01F2">
              <w:t> </w:t>
            </w:r>
            <w:r w:rsidRPr="00486AAC">
              <w:t>Departamencie Zarządzania Danymi</w:t>
            </w:r>
          </w:p>
          <w:p w14:paraId="2BFC5E39" w14:textId="1D9EE48F" w:rsidR="00486AAC" w:rsidRPr="00486AAC" w:rsidRDefault="00486AAC" w:rsidP="00486AAC">
            <w:pPr>
              <w:rPr>
                <w:lang w:val="en-GB"/>
              </w:rPr>
            </w:pPr>
            <w:r w:rsidRPr="00486AAC">
              <w:rPr>
                <w:lang w:val="en-GB"/>
              </w:rPr>
              <w:t>Tel.: 22 24</w:t>
            </w:r>
            <w:r w:rsidR="00BE01F2" w:rsidRPr="00486AAC">
              <w:rPr>
                <w:lang w:val="en-GB"/>
              </w:rPr>
              <w:t>5</w:t>
            </w:r>
            <w:r w:rsidR="00BE01F2">
              <w:rPr>
                <w:lang w:val="en-GB"/>
              </w:rPr>
              <w:t> </w:t>
            </w:r>
            <w:r w:rsidRPr="00486AAC">
              <w:rPr>
                <w:lang w:val="en-GB"/>
              </w:rPr>
              <w:t>5</w:t>
            </w:r>
            <w:r w:rsidR="00BE01F2" w:rsidRPr="00486AAC">
              <w:rPr>
                <w:lang w:val="en-GB"/>
              </w:rPr>
              <w:t>8</w:t>
            </w:r>
            <w:r w:rsidR="00BE01F2">
              <w:rPr>
                <w:lang w:val="en-GB"/>
              </w:rPr>
              <w:t> </w:t>
            </w:r>
            <w:r w:rsidRPr="00486AAC">
              <w:rPr>
                <w:lang w:val="en-GB"/>
              </w:rPr>
              <w:t>1</w:t>
            </w:r>
            <w:r w:rsidR="00BE01F2" w:rsidRPr="00486AAC">
              <w:rPr>
                <w:lang w:val="en-GB"/>
              </w:rPr>
              <w:t>9</w:t>
            </w:r>
            <w:r w:rsidR="00BE01F2">
              <w:rPr>
                <w:lang w:val="en-GB"/>
              </w:rPr>
              <w:t> </w:t>
            </w:r>
          </w:p>
          <w:p w14:paraId="1ABB3500" w14:textId="5F5CAB79" w:rsidR="00486AAC" w:rsidRPr="00486AAC" w:rsidRDefault="00486AAC" w:rsidP="00486AAC">
            <w:pPr>
              <w:rPr>
                <w:lang w:val="en-GB"/>
              </w:rPr>
            </w:pPr>
            <w:r w:rsidRPr="00486AAC">
              <w:rPr>
                <w:lang w:val="en-GB"/>
              </w:rPr>
              <w:t xml:space="preserve">Mail: </w:t>
            </w:r>
            <w:hyperlink r:id="rId10" w:history="1">
              <w:r w:rsidRPr="00486AAC">
                <w:rPr>
                  <w:rStyle w:val="Hipercze"/>
                  <w:lang w:val="en-GB"/>
                </w:rPr>
                <w:t>sylwia.pichlak</w:t>
              </w:r>
              <w:r w:rsidR="00BE01F2">
                <w:rPr>
                  <w:rStyle w:val="Hipercze"/>
                  <w:lang w:val="en-GB"/>
                </w:rPr>
                <w:softHyphen/>
              </w:r>
              <w:r w:rsidR="00BE01F2">
                <w:rPr>
                  <w:rStyle w:val="Hipercze"/>
                  <w:lang w:val="en-GB"/>
                </w:rPr>
                <w:noBreakHyphen/>
              </w:r>
              <w:r w:rsidRPr="00486AAC">
                <w:rPr>
                  <w:rStyle w:val="Hipercze"/>
                  <w:lang w:val="en-GB"/>
                </w:rPr>
                <w:t>pawlak@mc.gov.pl</w:t>
              </w:r>
            </w:hyperlink>
          </w:p>
        </w:tc>
        <w:tc>
          <w:tcPr>
            <w:tcW w:w="4310" w:type="dxa"/>
            <w:gridSpan w:val="2"/>
            <w:shd w:val="clear" w:color="auto" w:fill="FFFFFF"/>
          </w:tcPr>
          <w:p w14:paraId="1AED0244" w14:textId="377DA115" w:rsidR="00486AAC" w:rsidRPr="00486AAC" w:rsidRDefault="00486AAC" w:rsidP="00486AAC">
            <w:r w:rsidRPr="00486AAC">
              <w:rPr>
                <w:rStyle w:val="Ppogrubienie"/>
              </w:rPr>
              <w:t>Data sporządzenia</w:t>
            </w:r>
            <w:r w:rsidRPr="00486AAC">
              <w:br/>
            </w:r>
            <w:sdt>
              <w:sdtPr>
                <w:id w:val="-345788683"/>
                <w:placeholder>
                  <w:docPart w:val="A27E54D2C5CD4BAD80CA857A8799EA25"/>
                </w:placeholder>
                <w:date w:fullDate="2020-12-15T00:00:00Z">
                  <w:dateFormat w:val="dd.MM.yyyy"/>
                  <w:lid w:val="pl-PL"/>
                  <w:storeMappedDataAs w:val="dateTime"/>
                  <w:calendar w:val="gregorian"/>
                </w:date>
              </w:sdtPr>
              <w:sdtEndPr/>
              <w:sdtContent>
                <w:r w:rsidR="00F670B7">
                  <w:t>15.12.2020</w:t>
                </w:r>
              </w:sdtContent>
            </w:sdt>
          </w:p>
          <w:p w14:paraId="117CA633" w14:textId="77777777" w:rsidR="00486AAC" w:rsidRPr="00486AAC" w:rsidRDefault="00486AAC" w:rsidP="00486AAC"/>
          <w:p w14:paraId="7600AE8B" w14:textId="77777777" w:rsidR="00486AAC" w:rsidRPr="00486AAC" w:rsidRDefault="00486AAC" w:rsidP="00486AAC">
            <w:pPr>
              <w:rPr>
                <w:rStyle w:val="Ppogrubienie"/>
              </w:rPr>
            </w:pPr>
            <w:r w:rsidRPr="00486AAC">
              <w:rPr>
                <w:rStyle w:val="Ppogrubienie"/>
              </w:rPr>
              <w:t xml:space="preserve">Źródło: </w:t>
            </w:r>
            <w:bookmarkStart w:id="2" w:name="Lista1"/>
          </w:p>
          <w:bookmarkEnd w:id="2" w:displacedByCustomXml="next"/>
          <w:sdt>
            <w:sdtPr>
              <w:id w:val="-1451614635"/>
              <w:placeholder>
                <w:docPart w:val="72256CE9F0534B92A514D304179A8ACC"/>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14:paraId="1334F74C" w14:textId="77777777" w:rsidR="00486AAC" w:rsidRPr="00486AAC" w:rsidRDefault="00486AAC" w:rsidP="00486AAC">
                <w:r w:rsidRPr="00486AAC">
                  <w:t>Upoważnienie ustawowe</w:t>
                </w:r>
              </w:p>
            </w:sdtContent>
          </w:sdt>
          <w:p w14:paraId="71FFC831" w14:textId="2A99DC2D" w:rsidR="00486AAC" w:rsidRPr="00486AAC" w:rsidRDefault="00C36205" w:rsidP="00486AAC">
            <w:r w:rsidRPr="00C36205">
              <w:t xml:space="preserve">art. 9e </w:t>
            </w:r>
            <w:r w:rsidR="00D72DE1">
              <w:t xml:space="preserve">ust. 3 </w:t>
            </w:r>
            <w:r w:rsidRPr="00C36205">
              <w:t>ustawy z dnia 6 września 2001 r. o dostępie do info</w:t>
            </w:r>
            <w:r w:rsidR="00F670B7">
              <w:t>rmacji publicznej (Dz. U. z 2020</w:t>
            </w:r>
            <w:r w:rsidRPr="00C36205">
              <w:t xml:space="preserve"> r. po</w:t>
            </w:r>
            <w:r w:rsidR="00F670B7">
              <w:t>z. 2176</w:t>
            </w:r>
            <w:r w:rsidR="00DE3B26">
              <w:t>)</w:t>
            </w:r>
          </w:p>
          <w:p w14:paraId="7CAFF8BB" w14:textId="77777777" w:rsidR="00486AAC" w:rsidRPr="00486AAC" w:rsidRDefault="00486AAC" w:rsidP="00486AAC"/>
          <w:p w14:paraId="05E624BC" w14:textId="0A2D8AFA" w:rsidR="00486AAC" w:rsidRPr="00486AAC" w:rsidRDefault="00486AAC" w:rsidP="00486AAC">
            <w:pPr>
              <w:rPr>
                <w:rStyle w:val="Ppogrubienie"/>
              </w:rPr>
            </w:pPr>
            <w:r w:rsidRPr="00486AAC">
              <w:rPr>
                <w:rStyle w:val="Ppogrubienie"/>
              </w:rPr>
              <w:t>Nr</w:t>
            </w:r>
            <w:r w:rsidR="00BE01F2" w:rsidRPr="00486AAC">
              <w:rPr>
                <w:rStyle w:val="Ppogrubienie"/>
              </w:rPr>
              <w:t xml:space="preserve"> w</w:t>
            </w:r>
            <w:r w:rsidR="00BE01F2">
              <w:rPr>
                <w:rStyle w:val="Ppogrubienie"/>
              </w:rPr>
              <w:t> </w:t>
            </w:r>
            <w:r w:rsidRPr="00486AAC">
              <w:rPr>
                <w:rStyle w:val="Ppogrubienie"/>
              </w:rPr>
              <w:t>wykazie prac</w:t>
            </w:r>
          </w:p>
          <w:p w14:paraId="691BEB14" w14:textId="191DEFA2" w:rsidR="00486AAC" w:rsidRPr="00486AAC" w:rsidRDefault="005073C7" w:rsidP="00486AAC">
            <w:r>
              <w:t>ID101</w:t>
            </w:r>
          </w:p>
          <w:p w14:paraId="6F16539A" w14:textId="77777777" w:rsidR="00486AAC" w:rsidRPr="00486AAC" w:rsidRDefault="00486AAC" w:rsidP="00486AAC"/>
        </w:tc>
      </w:tr>
      <w:tr w:rsidR="00486AAC" w:rsidRPr="00486AAC" w14:paraId="1A1C466B" w14:textId="77777777" w:rsidTr="009F408A">
        <w:trPr>
          <w:gridAfter w:val="1"/>
          <w:wAfter w:w="10" w:type="dxa"/>
          <w:trHeight w:val="142"/>
        </w:trPr>
        <w:tc>
          <w:tcPr>
            <w:tcW w:w="10908" w:type="dxa"/>
            <w:gridSpan w:val="5"/>
            <w:shd w:val="clear" w:color="auto" w:fill="99CCFF"/>
          </w:tcPr>
          <w:p w14:paraId="6FC95705" w14:textId="77777777" w:rsidR="00486AAC" w:rsidRPr="00486AAC" w:rsidRDefault="00486AAC" w:rsidP="00486AAC">
            <w:pPr>
              <w:pStyle w:val="TYTTABELItytutabeli"/>
            </w:pPr>
            <w:r w:rsidRPr="00486AAC">
              <w:t>OCENA SKUTKÓW REGULACJI</w:t>
            </w:r>
          </w:p>
        </w:tc>
      </w:tr>
      <w:tr w:rsidR="00486AAC" w:rsidRPr="00486AAC" w14:paraId="5161F4DE" w14:textId="77777777" w:rsidTr="009F408A">
        <w:trPr>
          <w:gridAfter w:val="1"/>
          <w:wAfter w:w="10" w:type="dxa"/>
          <w:trHeight w:val="333"/>
        </w:trPr>
        <w:tc>
          <w:tcPr>
            <w:tcW w:w="10908" w:type="dxa"/>
            <w:gridSpan w:val="5"/>
            <w:shd w:val="clear" w:color="auto" w:fill="99CCFF"/>
            <w:vAlign w:val="center"/>
          </w:tcPr>
          <w:p w14:paraId="49C6240D" w14:textId="1F81D636" w:rsidR="00486AAC" w:rsidRPr="00486AAC" w:rsidRDefault="00486AAC" w:rsidP="00486AAC">
            <w:pPr>
              <w:rPr>
                <w:rStyle w:val="Ppogrubienie"/>
              </w:rPr>
            </w:pPr>
            <w:r>
              <w:rPr>
                <w:rStyle w:val="Ppogrubienie"/>
              </w:rPr>
              <w:t xml:space="preserve">1. </w:t>
            </w:r>
            <w:r w:rsidRPr="00486AAC">
              <w:rPr>
                <w:rStyle w:val="Ppogrubienie"/>
              </w:rPr>
              <w:t>Jaki problem jest rozwiązywany?</w:t>
            </w:r>
            <w:bookmarkStart w:id="3" w:name="Wybór1"/>
            <w:bookmarkEnd w:id="3"/>
          </w:p>
        </w:tc>
      </w:tr>
      <w:tr w:rsidR="00486AAC" w:rsidRPr="00486AAC" w14:paraId="3900055D" w14:textId="77777777" w:rsidTr="009F408A">
        <w:trPr>
          <w:gridAfter w:val="1"/>
          <w:wAfter w:w="10" w:type="dxa"/>
          <w:trHeight w:val="142"/>
        </w:trPr>
        <w:tc>
          <w:tcPr>
            <w:tcW w:w="10908" w:type="dxa"/>
            <w:gridSpan w:val="5"/>
            <w:shd w:val="clear" w:color="auto" w:fill="FFFFFF"/>
          </w:tcPr>
          <w:p w14:paraId="1672464F" w14:textId="01F6E69B" w:rsidR="00486AAC" w:rsidRPr="00486AAC" w:rsidRDefault="00486AAC" w:rsidP="00FC2CB8">
            <w:pPr>
              <w:pStyle w:val="NIEARTTEKSTtekstnieartykuowanynppodstprawnarozplubpreambua"/>
              <w:ind w:firstLine="0"/>
            </w:pPr>
            <w:r w:rsidRPr="00486AAC">
              <w:t xml:space="preserve">Potrzeba przyjęcia uchwały ustanawiającej Program otwierania danych (dalej </w:t>
            </w:r>
            <w:r w:rsidR="00BE01F2">
              <w:t>„</w:t>
            </w:r>
            <w:r w:rsidRPr="00486AAC">
              <w:t>POD</w:t>
            </w:r>
            <w:r w:rsidR="00BE01F2">
              <w:t>”</w:t>
            </w:r>
            <w:r w:rsidRPr="00486AAC">
              <w:t xml:space="preserve"> lub </w:t>
            </w:r>
            <w:r w:rsidR="00BE01F2">
              <w:t>„</w:t>
            </w:r>
            <w:r w:rsidRPr="00486AAC">
              <w:t>Program</w:t>
            </w:r>
            <w:r w:rsidR="00BE01F2">
              <w:t>”</w:t>
            </w:r>
            <w:r w:rsidRPr="00486AAC">
              <w:t>) wynika z konieczności realizacji upoważnienia ustawowego zawartego</w:t>
            </w:r>
            <w:r w:rsidR="00BE01F2" w:rsidRPr="00486AAC">
              <w:t xml:space="preserve"> w</w:t>
            </w:r>
            <w:r w:rsidR="00BE01F2">
              <w:t> art. </w:t>
            </w:r>
            <w:r w:rsidRPr="00486AAC">
              <w:t xml:space="preserve">9e </w:t>
            </w:r>
            <w:r w:rsidR="00D72DE1">
              <w:t xml:space="preserve">ust. 3 </w:t>
            </w:r>
            <w:r w:rsidRPr="00486AAC">
              <w:t>ustawy</w:t>
            </w:r>
            <w:r w:rsidR="00BE01F2" w:rsidRPr="00486AAC">
              <w:t xml:space="preserve"> z</w:t>
            </w:r>
            <w:r w:rsidR="00BE01F2">
              <w:t> </w:t>
            </w:r>
            <w:r w:rsidRPr="00486AAC">
              <w:t xml:space="preserve">dnia </w:t>
            </w:r>
            <w:r w:rsidR="00BE01F2" w:rsidRPr="00486AAC">
              <w:t>6</w:t>
            </w:r>
            <w:r w:rsidR="00BE01F2">
              <w:t> </w:t>
            </w:r>
            <w:r w:rsidRPr="00486AAC">
              <w:t>września 200</w:t>
            </w:r>
            <w:r w:rsidR="00BE01F2" w:rsidRPr="00486AAC">
              <w:t>1</w:t>
            </w:r>
            <w:r w:rsidR="00BE01F2">
              <w:t> </w:t>
            </w:r>
            <w:r w:rsidRPr="00486AAC">
              <w:t>r.</w:t>
            </w:r>
            <w:r w:rsidR="00BE01F2" w:rsidRPr="00486AAC">
              <w:t xml:space="preserve"> o</w:t>
            </w:r>
            <w:r w:rsidR="00BE01F2">
              <w:t> </w:t>
            </w:r>
            <w:r w:rsidRPr="00486AAC">
              <w:t>dostępie do informacji publicznej (</w:t>
            </w:r>
            <w:r w:rsidR="00BE01F2">
              <w:t>Dz. U.</w:t>
            </w:r>
            <w:r w:rsidR="00BE01F2" w:rsidRPr="00486AAC">
              <w:t xml:space="preserve"> z</w:t>
            </w:r>
            <w:r w:rsidR="00BE01F2">
              <w:t> </w:t>
            </w:r>
            <w:r w:rsidR="00F670B7">
              <w:t>2020</w:t>
            </w:r>
            <w:r w:rsidR="00BE01F2">
              <w:t> </w:t>
            </w:r>
            <w:r w:rsidRPr="00486AAC">
              <w:t>r.</w:t>
            </w:r>
            <w:r w:rsidR="00BE01F2">
              <w:t xml:space="preserve"> poz. </w:t>
            </w:r>
            <w:r w:rsidR="00F670B7">
              <w:t>2176</w:t>
            </w:r>
            <w:r w:rsidRPr="00486AAC">
              <w:t>), dodanego ustawą</w:t>
            </w:r>
            <w:r w:rsidR="00BE01F2" w:rsidRPr="00486AAC">
              <w:t xml:space="preserve"> z</w:t>
            </w:r>
            <w:r w:rsidR="00BE01F2">
              <w:t> </w:t>
            </w:r>
            <w:r w:rsidRPr="00486AAC">
              <w:t>dnia 1</w:t>
            </w:r>
            <w:r w:rsidR="00BE01F2" w:rsidRPr="00486AAC">
              <w:t>7</w:t>
            </w:r>
            <w:r w:rsidR="00BE01F2">
              <w:t> </w:t>
            </w:r>
            <w:r w:rsidRPr="00486AAC">
              <w:t>kwietnia 202</w:t>
            </w:r>
            <w:r w:rsidR="00BE01F2" w:rsidRPr="00486AAC">
              <w:t>0</w:t>
            </w:r>
            <w:r w:rsidR="00BE01F2">
              <w:t> </w:t>
            </w:r>
            <w:r w:rsidRPr="00486AAC">
              <w:t>r.</w:t>
            </w:r>
            <w:r w:rsidR="00BE01F2" w:rsidRPr="00486AAC">
              <w:t xml:space="preserve"> o</w:t>
            </w:r>
            <w:r w:rsidR="00BE01F2">
              <w:t> </w:t>
            </w:r>
            <w:r w:rsidRPr="00486AAC">
              <w:t>szczególnych instrumentach wsparcia</w:t>
            </w:r>
            <w:r w:rsidR="00BE01F2" w:rsidRPr="00486AAC">
              <w:t xml:space="preserve"> w</w:t>
            </w:r>
            <w:r w:rsidR="00BE01F2">
              <w:t> </w:t>
            </w:r>
            <w:r w:rsidRPr="00486AAC">
              <w:t>związku</w:t>
            </w:r>
            <w:r w:rsidR="00BE01F2" w:rsidRPr="00486AAC">
              <w:t xml:space="preserve"> z</w:t>
            </w:r>
            <w:r w:rsidR="00BE01F2">
              <w:t> </w:t>
            </w:r>
            <w:r w:rsidRPr="00486AAC">
              <w:t>rozprzestrzenianiem się wirusa SARS</w:t>
            </w:r>
            <w:r w:rsidR="00BE01F2">
              <w:softHyphen/>
            </w:r>
            <w:r w:rsidR="00BE01F2">
              <w:noBreakHyphen/>
            </w:r>
            <w:r w:rsidRPr="00486AAC">
              <w:t>CoV</w:t>
            </w:r>
            <w:r w:rsidR="00BE01F2">
              <w:softHyphen/>
            </w:r>
            <w:r w:rsidR="00BE01F2">
              <w:noBreakHyphen/>
            </w:r>
            <w:r w:rsidR="00BE01F2" w:rsidRPr="00486AAC">
              <w:t>2</w:t>
            </w:r>
            <w:r w:rsidR="00BE01F2">
              <w:t> </w:t>
            </w:r>
            <w:r w:rsidRPr="00486AAC">
              <w:t>(</w:t>
            </w:r>
            <w:r w:rsidR="00BE01F2">
              <w:t>Dz. U.</w:t>
            </w:r>
            <w:r w:rsidR="00BE01F2" w:rsidRPr="00486AAC">
              <w:t xml:space="preserve"> z</w:t>
            </w:r>
            <w:r w:rsidR="00BE01F2">
              <w:t> </w:t>
            </w:r>
            <w:r w:rsidRPr="00486AAC">
              <w:t>202</w:t>
            </w:r>
            <w:r w:rsidR="00BE01F2" w:rsidRPr="00486AAC">
              <w:t>0</w:t>
            </w:r>
            <w:r w:rsidR="00BE01F2">
              <w:t> </w:t>
            </w:r>
            <w:r w:rsidRPr="00486AAC">
              <w:t>r.</w:t>
            </w:r>
            <w:r w:rsidR="00BE01F2">
              <w:t xml:space="preserve"> poz. </w:t>
            </w:r>
            <w:r w:rsidRPr="00486AAC">
              <w:t>695,</w:t>
            </w:r>
            <w:r w:rsidR="00BE01F2" w:rsidRPr="00486AAC">
              <w:t xml:space="preserve"> z</w:t>
            </w:r>
            <w:r w:rsidR="00BE01F2">
              <w:t> </w:t>
            </w:r>
            <w:r w:rsidRPr="00486AAC">
              <w:t>późn. zm.). Program jest</w:t>
            </w:r>
            <w:r w:rsidR="00BE01F2" w:rsidRPr="00486AAC">
              <w:t xml:space="preserve"> w</w:t>
            </w:r>
            <w:r w:rsidR="00BE01F2">
              <w:t> </w:t>
            </w:r>
            <w:r w:rsidRPr="00486AAC">
              <w:t>znacznej mierze kontynuacją polityki otwierania danych realizowaną</w:t>
            </w:r>
            <w:r w:rsidR="00BE01F2" w:rsidRPr="00486AAC">
              <w:t xml:space="preserve"> w</w:t>
            </w:r>
            <w:r w:rsidR="00BE01F2">
              <w:t> </w:t>
            </w:r>
            <w:r w:rsidRPr="00486AAC">
              <w:t>ramach Programu otwierania danych publicznych na lata 201</w:t>
            </w:r>
            <w:r w:rsidR="00BE01F2" w:rsidRPr="00486AAC">
              <w:t>6</w:t>
            </w:r>
            <w:r w:rsidR="00BE01F2">
              <w:t> </w:t>
            </w:r>
            <w:r w:rsidRPr="00486AAC">
              <w:t>– 202</w:t>
            </w:r>
            <w:r w:rsidR="00BE01F2" w:rsidRPr="00486AAC">
              <w:t>0</w:t>
            </w:r>
            <w:r w:rsidR="00BE01F2">
              <w:t> </w:t>
            </w:r>
            <w:r w:rsidRPr="00486AAC">
              <w:t xml:space="preserve">(dalej </w:t>
            </w:r>
            <w:r w:rsidR="00BE01F2">
              <w:t>„</w:t>
            </w:r>
            <w:r w:rsidRPr="00486AAC">
              <w:t>PODP</w:t>
            </w:r>
            <w:r w:rsidR="00BE01F2">
              <w:t>”</w:t>
            </w:r>
            <w:r w:rsidRPr="00486AAC">
              <w:t>)</w:t>
            </w:r>
            <w:r w:rsidR="00BE01F2" w:rsidRPr="00486AAC">
              <w:t xml:space="preserve"> z</w:t>
            </w:r>
            <w:r w:rsidR="00BE01F2">
              <w:t> </w:t>
            </w:r>
            <w:r w:rsidRPr="00486AAC">
              <w:t>poszerzonym zakresem działań wynikającym m.in.</w:t>
            </w:r>
            <w:r w:rsidR="00BE01F2" w:rsidRPr="00486AAC">
              <w:t xml:space="preserve"> z</w:t>
            </w:r>
            <w:r w:rsidR="00BE01F2">
              <w:t> </w:t>
            </w:r>
            <w:r w:rsidRPr="00486AAC">
              <w:t>nowych regulacji przyjętych</w:t>
            </w:r>
            <w:r w:rsidR="00BE01F2" w:rsidRPr="00486AAC">
              <w:t xml:space="preserve"> w</w:t>
            </w:r>
            <w:r w:rsidR="00BE01F2">
              <w:t> </w:t>
            </w:r>
            <w:r w:rsidRPr="00486AAC">
              <w:t>dyrektywie Parlamentu Europejskiego</w:t>
            </w:r>
            <w:r w:rsidR="00BE01F2" w:rsidRPr="00486AAC">
              <w:t xml:space="preserve"> i</w:t>
            </w:r>
            <w:r w:rsidR="00BE01F2">
              <w:t> </w:t>
            </w:r>
            <w:r w:rsidRPr="00486AAC">
              <w:t>Rady</w:t>
            </w:r>
            <w:r w:rsidR="00BE01F2" w:rsidRPr="00486AAC">
              <w:t xml:space="preserve"> z</w:t>
            </w:r>
            <w:r w:rsidR="00BE01F2">
              <w:t> </w:t>
            </w:r>
            <w:r w:rsidRPr="00486AAC">
              <w:t>dnia 2</w:t>
            </w:r>
            <w:r w:rsidR="00BE01F2" w:rsidRPr="00486AAC">
              <w:t>0</w:t>
            </w:r>
            <w:r w:rsidR="00BE01F2">
              <w:t> </w:t>
            </w:r>
            <w:r w:rsidRPr="00486AAC">
              <w:t>czerwca 201</w:t>
            </w:r>
            <w:r w:rsidR="00BE01F2" w:rsidRPr="00486AAC">
              <w:t>9</w:t>
            </w:r>
            <w:r w:rsidR="00BE01F2">
              <w:t> </w:t>
            </w:r>
            <w:r w:rsidRPr="00486AAC">
              <w:t>r.</w:t>
            </w:r>
            <w:r w:rsidR="00BE01F2" w:rsidRPr="00486AAC">
              <w:t xml:space="preserve"> w</w:t>
            </w:r>
            <w:r w:rsidR="00BE01F2">
              <w:t> </w:t>
            </w:r>
            <w:r w:rsidRPr="00486AAC">
              <w:t>sprawie otwartych danych</w:t>
            </w:r>
            <w:r w:rsidR="00BE01F2" w:rsidRPr="00486AAC">
              <w:t xml:space="preserve"> i</w:t>
            </w:r>
            <w:r w:rsidR="00BE01F2">
              <w:t> </w:t>
            </w:r>
            <w:r w:rsidRPr="00486AAC">
              <w:t>ponownego wykorzystywania informacji sektora publicznego (Dz. Urz. UE L 17</w:t>
            </w:r>
            <w:r w:rsidR="00BE01F2" w:rsidRPr="00486AAC">
              <w:t>2</w:t>
            </w:r>
            <w:r w:rsidR="00BE01F2">
              <w:t> </w:t>
            </w:r>
            <w:r w:rsidR="00BE01F2" w:rsidRPr="00486AAC">
              <w:t>z</w:t>
            </w:r>
            <w:r w:rsidR="00BE01F2">
              <w:t> </w:t>
            </w:r>
            <w:r w:rsidRPr="00486AAC">
              <w:t>dnia 26.06.201</w:t>
            </w:r>
            <w:r w:rsidR="00BE01F2" w:rsidRPr="00486AAC">
              <w:t>9</w:t>
            </w:r>
            <w:r w:rsidR="00BE01F2">
              <w:t> </w:t>
            </w:r>
            <w:r w:rsidR="00C36205">
              <w:t>r., s 56)</w:t>
            </w:r>
            <w:r w:rsidRPr="00486AAC">
              <w:t xml:space="preserve"> (dalej </w:t>
            </w:r>
            <w:r w:rsidR="00BE01F2">
              <w:t>„</w:t>
            </w:r>
            <w:r w:rsidRPr="00486AAC">
              <w:t>dyrektywie 2019/1024/UE</w:t>
            </w:r>
            <w:r w:rsidR="00BE01F2">
              <w:t>”</w:t>
            </w:r>
            <w:r w:rsidRPr="00486AAC">
              <w:t>), kierunków rozwoju nowych technologii wpływających na gospodarkę</w:t>
            </w:r>
            <w:r w:rsidR="00BE01F2" w:rsidRPr="00486AAC">
              <w:t xml:space="preserve"> i</w:t>
            </w:r>
            <w:r w:rsidR="00BE01F2">
              <w:t> </w:t>
            </w:r>
            <w:r w:rsidRPr="00486AAC">
              <w:t>społeczeństwo oraz dotychczasowych doświadczeń</w:t>
            </w:r>
            <w:r w:rsidR="00BE01F2" w:rsidRPr="00486AAC">
              <w:t xml:space="preserve"> z</w:t>
            </w:r>
            <w:r w:rsidR="00BE01F2">
              <w:t> </w:t>
            </w:r>
            <w:r w:rsidRPr="00486AAC">
              <w:t xml:space="preserve">realizacji działań dotyczących otwartości danych. Projektowany dokument powinien </w:t>
            </w:r>
            <w:r w:rsidR="00FC2CB8">
              <w:t xml:space="preserve"> wejść w życie 1 stycznia 2021 r</w:t>
            </w:r>
            <w:r w:rsidRPr="00486AAC">
              <w:t>., aby można było płynnie realizować prowadzone dotychczas prace</w:t>
            </w:r>
            <w:r w:rsidR="00BE01F2" w:rsidRPr="00486AAC">
              <w:t xml:space="preserve"> w</w:t>
            </w:r>
            <w:r w:rsidR="00BE01F2">
              <w:t> </w:t>
            </w:r>
            <w:r w:rsidRPr="00486AAC">
              <w:t>zakresie otwierania zasobów informacyjnych do ponownego wykorzystywania, które stanowią źródło powstawania innowacyjnych produktów</w:t>
            </w:r>
            <w:r w:rsidR="00BE01F2" w:rsidRPr="00486AAC">
              <w:t xml:space="preserve"> i</w:t>
            </w:r>
            <w:r w:rsidR="00BE01F2">
              <w:t> </w:t>
            </w:r>
            <w:r w:rsidRPr="00486AAC">
              <w:t xml:space="preserve">usług oraz są siłą napędową nowych technologii. Realizacja działań </w:t>
            </w:r>
            <w:r w:rsidRPr="00486AAC">
              <w:lastRenderedPageBreak/>
              <w:t>zaplanowanych</w:t>
            </w:r>
            <w:r w:rsidR="00BE01F2" w:rsidRPr="00486AAC">
              <w:t xml:space="preserve"> w</w:t>
            </w:r>
            <w:r w:rsidR="00BE01F2">
              <w:t> </w:t>
            </w:r>
            <w:r w:rsidRPr="00486AAC">
              <w:t>ramach Programu otwierania danych pozwoli również na umocnienie pozycji Polski</w:t>
            </w:r>
            <w:r w:rsidR="00BE01F2" w:rsidRPr="00486AAC">
              <w:t xml:space="preserve"> w</w:t>
            </w:r>
            <w:r w:rsidR="00BE01F2">
              <w:t> </w:t>
            </w:r>
            <w:r w:rsidRPr="00486AAC">
              <w:t>rankingach otwartości.</w:t>
            </w:r>
          </w:p>
        </w:tc>
      </w:tr>
      <w:tr w:rsidR="00486AAC" w:rsidRPr="00486AAC" w14:paraId="6C036DF6" w14:textId="77777777" w:rsidTr="009F408A">
        <w:trPr>
          <w:gridAfter w:val="1"/>
          <w:wAfter w:w="10" w:type="dxa"/>
          <w:trHeight w:val="142"/>
        </w:trPr>
        <w:tc>
          <w:tcPr>
            <w:tcW w:w="10908" w:type="dxa"/>
            <w:gridSpan w:val="5"/>
            <w:shd w:val="clear" w:color="auto" w:fill="99CCFF"/>
            <w:vAlign w:val="center"/>
          </w:tcPr>
          <w:p w14:paraId="50DA9142" w14:textId="37492B96" w:rsidR="00486AAC" w:rsidRPr="00486AAC" w:rsidRDefault="00486AAC" w:rsidP="00486AAC">
            <w:pPr>
              <w:rPr>
                <w:rStyle w:val="Ppogrubienie"/>
              </w:rPr>
            </w:pPr>
            <w:r>
              <w:rPr>
                <w:rStyle w:val="Ppogrubienie"/>
              </w:rPr>
              <w:lastRenderedPageBreak/>
              <w:t xml:space="preserve">2. </w:t>
            </w:r>
            <w:r w:rsidRPr="00486AAC">
              <w:rPr>
                <w:rStyle w:val="Ppogrubienie"/>
              </w:rPr>
              <w:t>Rekomendowane rozwiązanie,</w:t>
            </w:r>
            <w:r w:rsidR="00BE01F2" w:rsidRPr="00486AAC">
              <w:rPr>
                <w:rStyle w:val="Ppogrubienie"/>
              </w:rPr>
              <w:t xml:space="preserve"> w</w:t>
            </w:r>
            <w:r w:rsidR="00BE01F2">
              <w:rPr>
                <w:rStyle w:val="Ppogrubienie"/>
              </w:rPr>
              <w:t> </w:t>
            </w:r>
            <w:r w:rsidRPr="00486AAC">
              <w:rPr>
                <w:rStyle w:val="Ppogrubienie"/>
              </w:rPr>
              <w:t>tym planowane narzędzia interwencji,</w:t>
            </w:r>
            <w:r w:rsidR="00BE01F2" w:rsidRPr="00486AAC">
              <w:rPr>
                <w:rStyle w:val="Ppogrubienie"/>
              </w:rPr>
              <w:t xml:space="preserve"> i</w:t>
            </w:r>
            <w:r w:rsidR="00BE01F2">
              <w:rPr>
                <w:rStyle w:val="Ppogrubienie"/>
              </w:rPr>
              <w:t> </w:t>
            </w:r>
            <w:r w:rsidRPr="00486AAC">
              <w:rPr>
                <w:rStyle w:val="Ppogrubienie"/>
              </w:rPr>
              <w:t>oczekiwany efekt</w:t>
            </w:r>
          </w:p>
        </w:tc>
      </w:tr>
      <w:tr w:rsidR="00486AAC" w:rsidRPr="00486AAC" w14:paraId="1C0045C0" w14:textId="77777777" w:rsidTr="009F408A">
        <w:trPr>
          <w:gridAfter w:val="1"/>
          <w:wAfter w:w="10" w:type="dxa"/>
          <w:trHeight w:val="142"/>
        </w:trPr>
        <w:tc>
          <w:tcPr>
            <w:tcW w:w="10908" w:type="dxa"/>
            <w:gridSpan w:val="5"/>
            <w:shd w:val="clear" w:color="auto" w:fill="auto"/>
          </w:tcPr>
          <w:p w14:paraId="6685F480" w14:textId="717FED37" w:rsidR="00AE6DA7" w:rsidRPr="00AE6DA7" w:rsidRDefault="00AE6DA7" w:rsidP="00AE6DA7">
            <w:pPr>
              <w:pStyle w:val="NIEARTTEKSTtekstnieartykuowanynppodstprawnarozplubpreambua"/>
              <w:ind w:firstLine="0"/>
            </w:pPr>
            <w:r w:rsidRPr="00AE6DA7">
              <w:t>Dotychczasowe doświadczenie</w:t>
            </w:r>
            <w:r w:rsidR="00BE01F2" w:rsidRPr="00AE6DA7">
              <w:t xml:space="preserve"> z</w:t>
            </w:r>
            <w:r w:rsidR="00BE01F2">
              <w:t> </w:t>
            </w:r>
            <w:r w:rsidRPr="00AE6DA7">
              <w:t>realizacji PODP, wnioski płynące</w:t>
            </w:r>
            <w:r w:rsidR="00BE01F2" w:rsidRPr="00AE6DA7">
              <w:t xml:space="preserve"> z</w:t>
            </w:r>
            <w:r w:rsidR="00BE01F2">
              <w:t> </w:t>
            </w:r>
            <w:r w:rsidRPr="00AE6DA7">
              <w:t>badania ewaluacyjnego PODP przeprowadzonego</w:t>
            </w:r>
            <w:r w:rsidR="00BE01F2" w:rsidRPr="00AE6DA7">
              <w:t xml:space="preserve"> w</w:t>
            </w:r>
            <w:r w:rsidR="00BE01F2">
              <w:t> </w:t>
            </w:r>
            <w:r w:rsidRPr="00AE6DA7">
              <w:t>201</w:t>
            </w:r>
            <w:r w:rsidR="00BE01F2" w:rsidRPr="00AE6DA7">
              <w:t>9</w:t>
            </w:r>
            <w:r w:rsidR="00BE01F2">
              <w:t> </w:t>
            </w:r>
            <w:r w:rsidRPr="00AE6DA7">
              <w:t>r., rozwiązania przyjęte</w:t>
            </w:r>
            <w:r w:rsidR="00BE01F2" w:rsidRPr="00AE6DA7">
              <w:t xml:space="preserve"> w</w:t>
            </w:r>
            <w:r w:rsidR="00BE01F2">
              <w:t> </w:t>
            </w:r>
            <w:r w:rsidRPr="00AE6DA7">
              <w:t>dyrektywie 2019/1024/UE, rozwijający się rynek nowych technologii oraz tendencje</w:t>
            </w:r>
            <w:r w:rsidR="00BE01F2" w:rsidRPr="00AE6DA7">
              <w:t xml:space="preserve"> i</w:t>
            </w:r>
            <w:r w:rsidR="00BE01F2">
              <w:t> </w:t>
            </w:r>
            <w:r w:rsidRPr="00AE6DA7">
              <w:t>kierunki rozwoju polityki otwartości danych</w:t>
            </w:r>
            <w:r w:rsidR="00BE01F2" w:rsidRPr="00AE6DA7">
              <w:t xml:space="preserve"> w</w:t>
            </w:r>
            <w:r w:rsidR="00BE01F2">
              <w:t> </w:t>
            </w:r>
            <w:r w:rsidRPr="00AE6DA7">
              <w:t>innych krajach stanowiły wytyczne przy projektowaniu celu głównego programu oraz celów szczegółowych.</w:t>
            </w:r>
          </w:p>
          <w:p w14:paraId="3C01B123" w14:textId="77777777" w:rsidR="00AE6DA7" w:rsidRPr="00AE6DA7" w:rsidRDefault="00AE6DA7" w:rsidP="00AE6DA7">
            <w:r w:rsidRPr="00AE6DA7">
              <w:t>Głównym celem Programu będzie:</w:t>
            </w:r>
          </w:p>
          <w:p w14:paraId="27F54F01" w14:textId="0CDA5D36" w:rsidR="00AE6DA7" w:rsidRPr="00AE6DA7" w:rsidRDefault="00AE6DA7" w:rsidP="00AE6DA7">
            <w:r w:rsidRPr="00AE6DA7">
              <w:t>•</w:t>
            </w:r>
            <w:r w:rsidRPr="00AE6DA7">
              <w:tab/>
              <w:t>zwiększanie podaży</w:t>
            </w:r>
            <w:r w:rsidR="00BE01F2" w:rsidRPr="00AE6DA7">
              <w:t xml:space="preserve"> i</w:t>
            </w:r>
            <w:r w:rsidR="00BE01F2">
              <w:t> </w:t>
            </w:r>
            <w:r w:rsidRPr="00AE6DA7">
              <w:t xml:space="preserve">poprawa jakości danych dostępnych </w:t>
            </w:r>
            <w:r w:rsidR="007800BB">
              <w:t>w</w:t>
            </w:r>
            <w:r w:rsidRPr="00AE6DA7">
              <w:t xml:space="preserve"> portalu dane.gov.pl dla każdego użytkownika</w:t>
            </w:r>
            <w:r w:rsidR="00BE01F2" w:rsidRPr="00AE6DA7">
              <w:t xml:space="preserve"> w</w:t>
            </w:r>
            <w:r w:rsidR="00BE01F2">
              <w:t> </w:t>
            </w:r>
            <w:r w:rsidRPr="00AE6DA7">
              <w:t>celu ponownego wykorzystywania,</w:t>
            </w:r>
          </w:p>
          <w:p w14:paraId="08E49130" w14:textId="2A0685A9" w:rsidR="00AE6DA7" w:rsidRPr="00AE6DA7" w:rsidRDefault="00AE6DA7" w:rsidP="00AE6DA7">
            <w:r w:rsidRPr="00AE6DA7">
              <w:t>•</w:t>
            </w:r>
            <w:r w:rsidRPr="00AE6DA7">
              <w:tab/>
              <w:t>stworzenie środowiska,</w:t>
            </w:r>
            <w:r w:rsidR="00BE01F2" w:rsidRPr="00AE6DA7">
              <w:t xml:space="preserve"> w</w:t>
            </w:r>
            <w:r w:rsidR="00BE01F2">
              <w:t> </w:t>
            </w:r>
            <w:r w:rsidRPr="00AE6DA7">
              <w:t>którym korzyści gospodarcze</w:t>
            </w:r>
            <w:r w:rsidR="00BE01F2" w:rsidRPr="00AE6DA7">
              <w:t xml:space="preserve"> i</w:t>
            </w:r>
            <w:r w:rsidR="00BE01F2">
              <w:t> </w:t>
            </w:r>
            <w:r w:rsidRPr="00AE6DA7">
              <w:t>społeczne wynikające</w:t>
            </w:r>
            <w:r w:rsidR="00BE01F2" w:rsidRPr="00AE6DA7">
              <w:t xml:space="preserve"> z</w:t>
            </w:r>
            <w:r w:rsidR="00BE01F2">
              <w:t> </w:t>
            </w:r>
            <w:r w:rsidRPr="00AE6DA7">
              <w:t>otwartych danych, są dostrzegane</w:t>
            </w:r>
            <w:r w:rsidR="00BE01F2" w:rsidRPr="00AE6DA7">
              <w:t xml:space="preserve"> i</w:t>
            </w:r>
            <w:r w:rsidR="00BE01F2">
              <w:t> </w:t>
            </w:r>
            <w:r w:rsidRPr="00AE6DA7">
              <w:t>przekładają się na budowę nowych usług, produktów, tworzenia modeli biznesowych</w:t>
            </w:r>
          </w:p>
          <w:p w14:paraId="43A29E47" w14:textId="57426CB3" w:rsidR="00AE6DA7" w:rsidRPr="00AE6DA7" w:rsidRDefault="00AE6DA7" w:rsidP="00AE6DA7">
            <w:r w:rsidRPr="00AE6DA7">
              <w:t>i nowych miejsc pracy oraz wspierają podejmowanie decyzji strategicznych,</w:t>
            </w:r>
          </w:p>
          <w:p w14:paraId="509EDA57" w14:textId="3997C42D" w:rsidR="00AE6DA7" w:rsidRPr="00AE6DA7" w:rsidRDefault="00AE6DA7" w:rsidP="00AE6DA7">
            <w:r w:rsidRPr="00AE6DA7">
              <w:t>•</w:t>
            </w:r>
            <w:r w:rsidRPr="00AE6DA7">
              <w:tab/>
              <w:t>wejście do grupy liderów</w:t>
            </w:r>
            <w:r w:rsidR="00BE01F2" w:rsidRPr="00AE6DA7">
              <w:t xml:space="preserve"> w</w:t>
            </w:r>
            <w:r w:rsidR="00BE01F2">
              <w:t> </w:t>
            </w:r>
            <w:r w:rsidRPr="00AE6DA7">
              <w:t>Europie</w:t>
            </w:r>
            <w:r w:rsidR="00BE01F2" w:rsidRPr="00AE6DA7">
              <w:t xml:space="preserve"> w</w:t>
            </w:r>
            <w:r w:rsidR="00BE01F2">
              <w:t> </w:t>
            </w:r>
            <w:r w:rsidRPr="00AE6DA7">
              <w:t>zakresie jak najpełniejszego wykorzystania potencjału otwartych danych.</w:t>
            </w:r>
          </w:p>
          <w:p w14:paraId="792B1F8F" w14:textId="2A50F3BC" w:rsidR="00AE6DA7" w:rsidRPr="00AE6DA7" w:rsidRDefault="00AE6DA7" w:rsidP="00AE6DA7">
            <w:r w:rsidRPr="00AE6DA7">
              <w:t>Osiągnięciu celu głównego Programu służą cele szczegółowe:</w:t>
            </w:r>
          </w:p>
          <w:p w14:paraId="066696A1" w14:textId="09AC1830" w:rsidR="00AE6DA7" w:rsidRPr="00AE6DA7" w:rsidRDefault="00AE6DA7" w:rsidP="00AE6DA7">
            <w:r w:rsidRPr="00AE6DA7">
              <w:t>•</w:t>
            </w:r>
            <w:r w:rsidRPr="00AE6DA7">
              <w:tab/>
              <w:t xml:space="preserve"> poprawa interoperacyjności</w:t>
            </w:r>
            <w:r w:rsidR="00BE01F2" w:rsidRPr="00AE6DA7">
              <w:t xml:space="preserve"> i</w:t>
            </w:r>
            <w:r w:rsidR="00BE01F2">
              <w:t> </w:t>
            </w:r>
            <w:r w:rsidRPr="00AE6DA7">
              <w:t>jakości danych,</w:t>
            </w:r>
          </w:p>
          <w:p w14:paraId="28AD64B3" w14:textId="08DF2059" w:rsidR="00AE6DA7" w:rsidRPr="00AE6DA7" w:rsidRDefault="00AE6DA7" w:rsidP="00AE6DA7">
            <w:r w:rsidRPr="00AE6DA7">
              <w:t>•</w:t>
            </w:r>
            <w:r w:rsidRPr="00AE6DA7">
              <w:tab/>
              <w:t xml:space="preserve"> wzrost wykorzystywania</w:t>
            </w:r>
            <w:r w:rsidR="00BE01F2" w:rsidRPr="00AE6DA7">
              <w:t xml:space="preserve"> i</w:t>
            </w:r>
            <w:r w:rsidR="00BE01F2">
              <w:t> </w:t>
            </w:r>
            <w:r w:rsidRPr="00AE6DA7">
              <w:t>wymiany danych,</w:t>
            </w:r>
          </w:p>
          <w:p w14:paraId="1EFCE213" w14:textId="7EA32B91" w:rsidR="00AE6DA7" w:rsidRPr="00AE6DA7" w:rsidRDefault="00AE6DA7" w:rsidP="00AE6DA7">
            <w:r w:rsidRPr="00AE6DA7">
              <w:t>•</w:t>
            </w:r>
            <w:r w:rsidRPr="00AE6DA7">
              <w:tab/>
              <w:t xml:space="preserve"> stymulowanie rynku ponownego wykorzystywania zasobów kultury</w:t>
            </w:r>
            <w:r w:rsidR="00BE01F2" w:rsidRPr="00AE6DA7">
              <w:t xml:space="preserve"> i</w:t>
            </w:r>
            <w:r w:rsidR="00BE01F2">
              <w:t> </w:t>
            </w:r>
            <w:r w:rsidRPr="00AE6DA7">
              <w:t>danych naukowych,</w:t>
            </w:r>
          </w:p>
          <w:p w14:paraId="6679AB79" w14:textId="6CCA132A" w:rsidR="00AE6DA7" w:rsidRPr="00AE6DA7" w:rsidRDefault="00AE6DA7" w:rsidP="00AE6DA7">
            <w:r w:rsidRPr="00AE6DA7">
              <w:t>•</w:t>
            </w:r>
            <w:r w:rsidRPr="00AE6DA7">
              <w:tab/>
              <w:t xml:space="preserve"> współpraca </w:t>
            </w:r>
            <w:r w:rsidR="00BE01F2" w:rsidRPr="00AE6DA7">
              <w:t xml:space="preserve"> z</w:t>
            </w:r>
            <w:r w:rsidR="00BE01F2">
              <w:t> </w:t>
            </w:r>
            <w:r w:rsidRPr="00AE6DA7">
              <w:t>krajowymi</w:t>
            </w:r>
            <w:r w:rsidR="00BE01F2" w:rsidRPr="00AE6DA7">
              <w:t xml:space="preserve"> i</w:t>
            </w:r>
            <w:r w:rsidR="00BE01F2">
              <w:t> </w:t>
            </w:r>
            <w:r w:rsidRPr="00AE6DA7">
              <w:t>międzynarodowymi interesariuszami danych,</w:t>
            </w:r>
          </w:p>
          <w:p w14:paraId="64B4201D" w14:textId="54CB4353" w:rsidR="00AE6DA7" w:rsidRPr="00AE6DA7" w:rsidRDefault="00AE6DA7" w:rsidP="00AE6DA7">
            <w:r w:rsidRPr="00AE6DA7">
              <w:t>•</w:t>
            </w:r>
            <w:r w:rsidRPr="00AE6DA7">
              <w:tab/>
              <w:t xml:space="preserve"> podnoszenie wiedzy</w:t>
            </w:r>
            <w:r w:rsidR="00BE01F2" w:rsidRPr="00AE6DA7">
              <w:t xml:space="preserve"> i</w:t>
            </w:r>
            <w:r w:rsidR="00BE01F2">
              <w:t> </w:t>
            </w:r>
            <w:r w:rsidRPr="00AE6DA7">
              <w:t>umiejętności pracowników administracji publicznej</w:t>
            </w:r>
            <w:r w:rsidR="00BE01F2" w:rsidRPr="00AE6DA7">
              <w:t xml:space="preserve"> w</w:t>
            </w:r>
            <w:r w:rsidR="00BE01F2">
              <w:t> </w:t>
            </w:r>
            <w:r w:rsidRPr="00AE6DA7">
              <w:t>zakresie otwierania</w:t>
            </w:r>
          </w:p>
          <w:p w14:paraId="6EC19148" w14:textId="347643B4" w:rsidR="00AE6DA7" w:rsidRPr="00AE6DA7" w:rsidRDefault="00AE6DA7" w:rsidP="00AE6DA7">
            <w:r w:rsidRPr="00AE6DA7">
              <w:t>i zarządzania danymi oraz zwiększanie świadomości społecznej na temat potencjału otwartych danych.</w:t>
            </w:r>
          </w:p>
          <w:p w14:paraId="12EF5FFC" w14:textId="549E2813" w:rsidR="00AE6DA7" w:rsidRPr="00AE6DA7" w:rsidRDefault="00AE6DA7" w:rsidP="00AE6DA7">
            <w:pPr>
              <w:pStyle w:val="NIEARTTEKSTtekstnieartykuowanynppodstprawnarozplubpreambua"/>
            </w:pPr>
            <w:r w:rsidRPr="00AE6DA7">
              <w:t>Realizacji tych celów podporządkowano cały układ logiczny dokumentu, wskazując kierunki interwencji</w:t>
            </w:r>
            <w:r w:rsidR="00BE01F2" w:rsidRPr="00AE6DA7">
              <w:t xml:space="preserve"> i</w:t>
            </w:r>
            <w:r w:rsidR="00BE01F2">
              <w:t> </w:t>
            </w:r>
            <w:r w:rsidRPr="00AE6DA7">
              <w:t>konkretne działania na rzecz realizacji POD, co zostało odzwierciedlone</w:t>
            </w:r>
            <w:r w:rsidR="00BE01F2" w:rsidRPr="00AE6DA7">
              <w:t xml:space="preserve"> w</w:t>
            </w:r>
            <w:r w:rsidR="00BE01F2">
              <w:t> </w:t>
            </w:r>
            <w:r w:rsidRPr="00AE6DA7">
              <w:t>załączniku</w:t>
            </w:r>
            <w:r w:rsidR="00BE01F2">
              <w:t xml:space="preserve"> nr </w:t>
            </w:r>
            <w:r w:rsidR="00FC2CB8">
              <w:t>1</w:t>
            </w:r>
            <w:r w:rsidR="00BE01F2">
              <w:t> </w:t>
            </w:r>
            <w:r w:rsidRPr="00AE6DA7">
              <w:t>do Programu, tj. Planie działań na rzecz realizacji POD. Do realizacji założeń Programu zostały włączone wszystkie resorty oraz Kancelaria Prezesa Rady Ministrów</w:t>
            </w:r>
            <w:r w:rsidR="00BE01F2" w:rsidRPr="00AE6DA7">
              <w:t xml:space="preserve"> i</w:t>
            </w:r>
            <w:r w:rsidR="00BE01F2">
              <w:t> </w:t>
            </w:r>
            <w:r w:rsidRPr="00AE6DA7">
              <w:t>Główny Urząd Statystyczny.</w:t>
            </w:r>
          </w:p>
          <w:p w14:paraId="64331B06" w14:textId="303685EF" w:rsidR="00AE6DA7" w:rsidRPr="00AE6DA7" w:rsidRDefault="00AE6DA7" w:rsidP="00AE6DA7">
            <w:pPr>
              <w:pStyle w:val="NIEARTTEKSTtekstnieartykuowanynppodstprawnarozplubpreambua"/>
            </w:pPr>
            <w:r w:rsidRPr="00AE6DA7">
              <w:t>Zakłada się, że przeprowadzenie zaplanowanych</w:t>
            </w:r>
            <w:r w:rsidR="00BE01F2" w:rsidRPr="00AE6DA7">
              <w:t xml:space="preserve"> w</w:t>
            </w:r>
            <w:r w:rsidR="00BE01F2">
              <w:t> </w:t>
            </w:r>
            <w:r w:rsidRPr="00AE6DA7">
              <w:t>ramach POD działań wpłynie pozytywnie na działalność gospodarczą</w:t>
            </w:r>
            <w:r w:rsidR="00BE01F2" w:rsidRPr="00AE6DA7">
              <w:t xml:space="preserve"> i</w:t>
            </w:r>
            <w:r w:rsidR="00BE01F2">
              <w:t> </w:t>
            </w:r>
            <w:r w:rsidRPr="00AE6DA7">
              <w:t>społeczną kraju m. in. dzięki zapewnieniu łatwego</w:t>
            </w:r>
            <w:r w:rsidR="00BE01F2" w:rsidRPr="00AE6DA7">
              <w:t xml:space="preserve"> i</w:t>
            </w:r>
            <w:r w:rsidR="00BE01F2">
              <w:t> </w:t>
            </w:r>
            <w:r w:rsidRPr="00AE6DA7">
              <w:t>powszechnego dostępu do danych, które będą mogły być ponownie wykorzystywane do budowy innowacyjnych rozwiązań.</w:t>
            </w:r>
            <w:r w:rsidR="00BE01F2" w:rsidRPr="00AE6DA7">
              <w:t xml:space="preserve"> W</w:t>
            </w:r>
            <w:r w:rsidR="00BE01F2">
              <w:t> </w:t>
            </w:r>
            <w:r w:rsidRPr="00AE6DA7">
              <w:t>efekcie realizacji Programu nastąpi wzrost podaży danych (w tym dynamicznych,</w:t>
            </w:r>
            <w:r w:rsidR="00BE01F2" w:rsidRPr="00AE6DA7">
              <w:t xml:space="preserve"> o</w:t>
            </w:r>
            <w:r w:rsidR="00BE01F2">
              <w:t> </w:t>
            </w:r>
            <w:r w:rsidRPr="00AE6DA7">
              <w:t>wysokiej wartości</w:t>
            </w:r>
            <w:r w:rsidR="00BE01F2" w:rsidRPr="00AE6DA7">
              <w:t xml:space="preserve"> i</w:t>
            </w:r>
            <w:r w:rsidR="00BE01F2">
              <w:t> </w:t>
            </w:r>
            <w:r w:rsidRPr="00AE6DA7">
              <w:t xml:space="preserve">badawczych) udostępnionych </w:t>
            </w:r>
            <w:r w:rsidR="007800BB">
              <w:t>w</w:t>
            </w:r>
            <w:r w:rsidRPr="00AE6DA7">
              <w:t xml:space="preserve"> portalu dane.gov.pl (również przez API), gdzie</w:t>
            </w:r>
            <w:r w:rsidR="00BE01F2" w:rsidRPr="00AE6DA7">
              <w:t xml:space="preserve"> w</w:t>
            </w:r>
            <w:r w:rsidR="00BE01F2">
              <w:t> </w:t>
            </w:r>
            <w:r w:rsidRPr="00AE6DA7">
              <w:t>łatwy, szybki</w:t>
            </w:r>
            <w:r w:rsidR="00BE01F2" w:rsidRPr="00AE6DA7">
              <w:t xml:space="preserve"> i</w:t>
            </w:r>
            <w:r w:rsidR="00BE01F2">
              <w:t> </w:t>
            </w:r>
            <w:r w:rsidRPr="00AE6DA7">
              <w:t>bezpłatny sposób można będzie je pozyskać</w:t>
            </w:r>
            <w:r w:rsidR="00BE01F2" w:rsidRPr="00AE6DA7">
              <w:t xml:space="preserve"> i</w:t>
            </w:r>
            <w:r w:rsidR="00BE01F2">
              <w:t> </w:t>
            </w:r>
            <w:r w:rsidRPr="00AE6DA7">
              <w:t>ponownie wykorzystywać bez konieczności składania wniosku. Nastąpi również poprawa jakości danych,</w:t>
            </w:r>
            <w:r w:rsidR="00BE01F2" w:rsidRPr="00AE6DA7">
              <w:t xml:space="preserve"> a</w:t>
            </w:r>
            <w:r w:rsidR="00BE01F2">
              <w:t> </w:t>
            </w:r>
            <w:r w:rsidRPr="00AE6DA7">
              <w:t>tym samym zwiększy się ich użyteczność dla wtórnego zastosowania. Rozbudowa portalu dane.gov.pl stanowiącego centralny punkt dostępu do danych publicznych</w:t>
            </w:r>
            <w:r w:rsidR="00BE01F2" w:rsidRPr="00AE6DA7">
              <w:t xml:space="preserve"> w</w:t>
            </w:r>
            <w:r w:rsidR="00BE01F2">
              <w:t> </w:t>
            </w:r>
            <w:r w:rsidRPr="00AE6DA7">
              <w:t xml:space="preserve">Polsce prowadzić będzie do </w:t>
            </w:r>
            <w:r w:rsidRPr="00AE6DA7">
              <w:lastRenderedPageBreak/>
              <w:t xml:space="preserve">wdrożenia nowych funkcjonalności, które wpłyną na wzrost liczby udostępnianych </w:t>
            </w:r>
            <w:r w:rsidR="004E6675">
              <w:t xml:space="preserve">zasobów </w:t>
            </w:r>
            <w:r w:rsidRPr="00AE6DA7">
              <w:t>danych oraz częstotliwość korzystania</w:t>
            </w:r>
            <w:r w:rsidR="00BE01F2" w:rsidRPr="00AE6DA7">
              <w:t xml:space="preserve"> z</w:t>
            </w:r>
            <w:r w:rsidR="00BE01F2">
              <w:t> </w:t>
            </w:r>
            <w:r w:rsidRPr="00AE6DA7">
              <w:t>portalu.</w:t>
            </w:r>
          </w:p>
          <w:p w14:paraId="073F319C" w14:textId="55F37A2F" w:rsidR="00AE6DA7" w:rsidRPr="00AE6DA7" w:rsidRDefault="00AE6DA7" w:rsidP="00AE6DA7">
            <w:pPr>
              <w:pStyle w:val="NIEARTTEKSTtekstnieartykuowanynppodstprawnarozplubpreambua"/>
            </w:pPr>
            <w:r w:rsidRPr="00AE6DA7">
              <w:t>Korzyści</w:t>
            </w:r>
            <w:r w:rsidR="00BE01F2" w:rsidRPr="00AE6DA7">
              <w:t xml:space="preserve"> z</w:t>
            </w:r>
            <w:r w:rsidR="00BE01F2">
              <w:t> </w:t>
            </w:r>
            <w:r w:rsidRPr="00AE6DA7">
              <w:t>realizacji Programu będą odczuwalne zarówno dla przedsiębiorców (wesprze on innowacyjne firmy</w:t>
            </w:r>
            <w:r w:rsidR="00BE01F2" w:rsidRPr="00AE6DA7">
              <w:t xml:space="preserve"> i</w:t>
            </w:r>
            <w:r w:rsidR="00BE01F2">
              <w:t> </w:t>
            </w:r>
            <w:r w:rsidRPr="00AE6DA7">
              <w:t>przyczyni się do powstania innowacyjnych produktów,</w:t>
            </w:r>
            <w:r w:rsidR="00BE01F2" w:rsidRPr="00AE6DA7">
              <w:t xml:space="preserve"> w</w:t>
            </w:r>
            <w:r w:rsidR="00BE01F2">
              <w:t> </w:t>
            </w:r>
            <w:r w:rsidRPr="00AE6DA7">
              <w:t>tym na potrzeby nowych technologii) jak</w:t>
            </w:r>
            <w:r w:rsidR="00BE01F2" w:rsidRPr="00AE6DA7">
              <w:t xml:space="preserve"> i</w:t>
            </w:r>
            <w:r w:rsidR="00BE01F2">
              <w:t> </w:t>
            </w:r>
            <w:r w:rsidRPr="00AE6DA7">
              <w:t>obywateli (zwiększy ich udział we współdecydowaniu</w:t>
            </w:r>
            <w:r w:rsidR="00BE01F2" w:rsidRPr="00AE6DA7">
              <w:t xml:space="preserve"> o</w:t>
            </w:r>
            <w:r w:rsidR="00BE01F2">
              <w:t> </w:t>
            </w:r>
            <w:r w:rsidRPr="00AE6DA7">
              <w:t>sprawach publicznych oraz poprawi standard życia dzięki stworzeniu nowych usług</w:t>
            </w:r>
            <w:r w:rsidR="00BE01F2" w:rsidRPr="00AE6DA7">
              <w:t xml:space="preserve"> i</w:t>
            </w:r>
            <w:r w:rsidR="00BE01F2">
              <w:t> </w:t>
            </w:r>
            <w:r w:rsidRPr="00AE6DA7">
              <w:t>aplikacji wykorzystujących dane gromadzone przez podmioty publiczne). Pozytywne efekty będą również odczuwalne dla samej administracji publicznej. Udostępnianie danych wpłynie na poprawę wymiany wiedzy</w:t>
            </w:r>
            <w:r w:rsidR="00BE01F2" w:rsidRPr="00AE6DA7">
              <w:t xml:space="preserve"> i</w:t>
            </w:r>
            <w:r w:rsidR="00BE01F2">
              <w:t> </w:t>
            </w:r>
            <w:r w:rsidRPr="00AE6DA7">
              <w:t>informacji pomiędzy jednostkami administracji oraz</w:t>
            </w:r>
            <w:r w:rsidR="00BE01F2" w:rsidRPr="00AE6DA7">
              <w:t xml:space="preserve"> w</w:t>
            </w:r>
            <w:r w:rsidR="00BE01F2">
              <w:t> </w:t>
            </w:r>
            <w:r w:rsidRPr="00AE6DA7">
              <w:t>kontaktach</w:t>
            </w:r>
            <w:r w:rsidR="00BE01F2" w:rsidRPr="00AE6DA7">
              <w:t xml:space="preserve"> z</w:t>
            </w:r>
            <w:r w:rsidR="00BE01F2">
              <w:t> </w:t>
            </w:r>
            <w:r w:rsidRPr="00AE6DA7">
              <w:t>obywatelami, co pozytywnie przełoży się na ocenę administracji jako bardziej przejrzystej</w:t>
            </w:r>
            <w:r w:rsidR="00BE01F2" w:rsidRPr="00AE6DA7">
              <w:t xml:space="preserve"> i</w:t>
            </w:r>
            <w:r w:rsidR="00BE01F2">
              <w:t> </w:t>
            </w:r>
            <w:r w:rsidRPr="00AE6DA7">
              <w:t>efektywnej, która jest ukierunkowana na potrzeby obywatela. Dzięki realizacji POD zwiększą się umiejętności przedstawicieli administracji</w:t>
            </w:r>
            <w:r w:rsidR="00BE01F2" w:rsidRPr="00AE6DA7">
              <w:t xml:space="preserve"> w</w:t>
            </w:r>
            <w:r w:rsidR="00BE01F2">
              <w:t> </w:t>
            </w:r>
            <w:r w:rsidRPr="00AE6DA7">
              <w:t>zakresie udostępniania</w:t>
            </w:r>
            <w:r w:rsidR="00BE01F2" w:rsidRPr="00AE6DA7">
              <w:t xml:space="preserve"> i</w:t>
            </w:r>
            <w:r w:rsidR="00BE01F2">
              <w:t> </w:t>
            </w:r>
            <w:r w:rsidRPr="00AE6DA7">
              <w:t>zarządzania danymi.</w:t>
            </w:r>
          </w:p>
          <w:p w14:paraId="487DC520" w14:textId="644DAFF2" w:rsidR="00486AAC" w:rsidRPr="00486AAC" w:rsidRDefault="00AE6DA7" w:rsidP="00AE6DA7">
            <w:pPr>
              <w:pStyle w:val="NIEARTTEKSTtekstnieartykuowanynppodstprawnarozplubpreambua"/>
            </w:pPr>
            <w:r w:rsidRPr="00AE6DA7">
              <w:t>Dodatkowo Polska umocni swoje miejsce</w:t>
            </w:r>
            <w:r w:rsidR="00BE01F2" w:rsidRPr="00AE6DA7">
              <w:t xml:space="preserve"> w</w:t>
            </w:r>
            <w:r w:rsidR="00BE01F2">
              <w:t> </w:t>
            </w:r>
            <w:r w:rsidRPr="00AE6DA7">
              <w:t>rankingach otwartości</w:t>
            </w:r>
            <w:r w:rsidR="00BE01F2" w:rsidRPr="00AE6DA7">
              <w:t xml:space="preserve"> i</w:t>
            </w:r>
            <w:r w:rsidR="00BE01F2">
              <w:t> </w:t>
            </w:r>
            <w:r w:rsidRPr="00AE6DA7">
              <w:t>dzięki wykorzystaniu swojego dużego potencjału stanie się jednym</w:t>
            </w:r>
            <w:r w:rsidR="00BE01F2" w:rsidRPr="00AE6DA7">
              <w:t xml:space="preserve"> z</w:t>
            </w:r>
            <w:r w:rsidR="00BE01F2">
              <w:t> </w:t>
            </w:r>
            <w:r w:rsidRPr="00AE6DA7">
              <w:t>liderów otwartości.</w:t>
            </w:r>
            <w:r w:rsidR="00BE01F2" w:rsidRPr="00AE6DA7">
              <w:t xml:space="preserve"> W</w:t>
            </w:r>
            <w:r w:rsidR="00BE01F2">
              <w:t> </w:t>
            </w:r>
            <w:r w:rsidRPr="00AE6DA7">
              <w:t>rankingu Organizacji Współpracy Gospodarczej</w:t>
            </w:r>
            <w:r w:rsidR="00BE01F2" w:rsidRPr="00AE6DA7">
              <w:t xml:space="preserve"> i</w:t>
            </w:r>
            <w:r w:rsidR="00BE01F2">
              <w:t> </w:t>
            </w:r>
            <w:r w:rsidRPr="00AE6DA7">
              <w:t xml:space="preserve">Rozwoju </w:t>
            </w:r>
            <w:r w:rsidR="00BE01F2">
              <w:t>„</w:t>
            </w:r>
            <w:r w:rsidRPr="00AE6DA7">
              <w:t>Open, Useful, Reusable Government Data</w:t>
            </w:r>
            <w:r w:rsidR="00BE01F2">
              <w:t>”</w:t>
            </w:r>
            <w:r w:rsidRPr="00AE6DA7">
              <w:t>, opublikowanym</w:t>
            </w:r>
            <w:r w:rsidR="00BE01F2" w:rsidRPr="00AE6DA7">
              <w:t xml:space="preserve"> w</w:t>
            </w:r>
            <w:r w:rsidR="00BE01F2">
              <w:t> </w:t>
            </w:r>
            <w:r w:rsidRPr="00AE6DA7">
              <w:t>raporcie Government at</w:t>
            </w:r>
            <w:r w:rsidR="00BE01F2" w:rsidRPr="00AE6DA7">
              <w:t xml:space="preserve"> a</w:t>
            </w:r>
            <w:r w:rsidR="00BE01F2">
              <w:t> </w:t>
            </w:r>
            <w:r w:rsidRPr="00AE6DA7">
              <w:t>Glance 2019, Polska znalazła się na 14. miejscu na 3</w:t>
            </w:r>
            <w:r w:rsidR="00BE01F2" w:rsidRPr="00AE6DA7">
              <w:t>2</w:t>
            </w:r>
            <w:r w:rsidR="00BE01F2">
              <w:t> </w:t>
            </w:r>
            <w:r w:rsidRPr="00AE6DA7">
              <w:t>badane państwa – biorąc pod uwagę dostęp</w:t>
            </w:r>
            <w:r w:rsidR="00BE01F2" w:rsidRPr="00AE6DA7">
              <w:t xml:space="preserve"> i</w:t>
            </w:r>
            <w:r w:rsidR="00BE01F2">
              <w:t> </w:t>
            </w:r>
            <w:r w:rsidRPr="00AE6DA7">
              <w:t>otwartość danych oraz rządowe wsparcie dla możliwości ponownego wykorzystywania informacji sektora publicznego. Jest to awans</w:t>
            </w:r>
            <w:r w:rsidR="00BE01F2" w:rsidRPr="00AE6DA7">
              <w:t xml:space="preserve"> o</w:t>
            </w:r>
            <w:r w:rsidR="00BE01F2">
              <w:t> </w:t>
            </w:r>
            <w:r w:rsidR="00BE01F2" w:rsidRPr="00AE6DA7">
              <w:t>6</w:t>
            </w:r>
            <w:r w:rsidR="00BE01F2">
              <w:t> </w:t>
            </w:r>
            <w:r w:rsidRPr="00AE6DA7">
              <w:t>miejsc</w:t>
            </w:r>
            <w:r w:rsidR="00BE01F2" w:rsidRPr="00AE6DA7">
              <w:t xml:space="preserve"> w</w:t>
            </w:r>
            <w:r w:rsidR="00BE01F2">
              <w:t> </w:t>
            </w:r>
            <w:r w:rsidRPr="00AE6DA7">
              <w:t>stosunku do rankingu</w:t>
            </w:r>
            <w:r w:rsidR="00BE01F2" w:rsidRPr="00AE6DA7">
              <w:t xml:space="preserve"> z</w:t>
            </w:r>
            <w:r w:rsidR="00BE01F2">
              <w:t> </w:t>
            </w:r>
            <w:r w:rsidRPr="00AE6DA7">
              <w:t>201</w:t>
            </w:r>
            <w:r w:rsidR="00BE01F2" w:rsidRPr="00AE6DA7">
              <w:t>7</w:t>
            </w:r>
            <w:r w:rsidR="00BE01F2">
              <w:t> </w:t>
            </w:r>
            <w:r w:rsidRPr="00AE6DA7">
              <w:t>r.</w:t>
            </w:r>
            <w:r w:rsidR="00BE01F2" w:rsidRPr="00AE6DA7">
              <w:t xml:space="preserve"> W</w:t>
            </w:r>
            <w:r w:rsidR="00BE01F2">
              <w:t> </w:t>
            </w:r>
            <w:r w:rsidRPr="00AE6DA7">
              <w:t>rankingu Open Data Maturity in Europe 201</w:t>
            </w:r>
            <w:r w:rsidR="00BE01F2" w:rsidRPr="00AE6DA7">
              <w:t>9</w:t>
            </w:r>
            <w:r w:rsidR="00BE01F2">
              <w:t> </w:t>
            </w:r>
            <w:r w:rsidRPr="00AE6DA7">
              <w:t>sporządzonym na zlecenie Komisji Europejskiej, badającym poziom otwartości danych</w:t>
            </w:r>
            <w:r w:rsidR="00BE01F2" w:rsidRPr="00AE6DA7">
              <w:t xml:space="preserve"> w</w:t>
            </w:r>
            <w:r w:rsidR="00BE01F2">
              <w:t> </w:t>
            </w:r>
            <w:r w:rsidRPr="00AE6DA7">
              <w:t>poszczególnych krajach UE Polska zajęła 7. miejsce. Jest to duży awans</w:t>
            </w:r>
            <w:r w:rsidR="00BE01F2" w:rsidRPr="00AE6DA7">
              <w:t xml:space="preserve"> z</w:t>
            </w:r>
            <w:r w:rsidR="00BE01F2">
              <w:t> </w:t>
            </w:r>
            <w:r w:rsidRPr="00AE6DA7">
              <w:t>1</w:t>
            </w:r>
            <w:r w:rsidR="00BE01F2" w:rsidRPr="00AE6DA7">
              <w:t>4</w:t>
            </w:r>
            <w:r w:rsidR="00BE01F2">
              <w:t> </w:t>
            </w:r>
            <w:r w:rsidRPr="00AE6DA7">
              <w:t>miejsca</w:t>
            </w:r>
            <w:r w:rsidR="00BE01F2" w:rsidRPr="00AE6DA7">
              <w:t xml:space="preserve"> w</w:t>
            </w:r>
            <w:r w:rsidR="00BE01F2">
              <w:t> </w:t>
            </w:r>
            <w:r w:rsidRPr="00AE6DA7">
              <w:t>201</w:t>
            </w:r>
            <w:r w:rsidR="00BE01F2" w:rsidRPr="00AE6DA7">
              <w:t>8</w:t>
            </w:r>
            <w:r w:rsidR="00BE01F2">
              <w:t xml:space="preserve"> i </w:t>
            </w:r>
            <w:r w:rsidRPr="00AE6DA7">
              <w:t>22. miejsca</w:t>
            </w:r>
            <w:r w:rsidR="00BE01F2" w:rsidRPr="00AE6DA7">
              <w:t xml:space="preserve"> w</w:t>
            </w:r>
            <w:r w:rsidR="00BE01F2">
              <w:t> </w:t>
            </w:r>
            <w:r w:rsidRPr="00AE6DA7">
              <w:t>201</w:t>
            </w:r>
            <w:r w:rsidR="00BE01F2" w:rsidRPr="00AE6DA7">
              <w:t>7</w:t>
            </w:r>
            <w:r w:rsidR="00BE01F2">
              <w:t> </w:t>
            </w:r>
            <w:r w:rsidRPr="00AE6DA7">
              <w:t>r.</w:t>
            </w:r>
            <w:r w:rsidR="00BE01F2" w:rsidRPr="00AE6DA7">
              <w:t xml:space="preserve"> W</w:t>
            </w:r>
            <w:r w:rsidR="00BE01F2">
              <w:t> </w:t>
            </w:r>
            <w:r w:rsidRPr="00AE6DA7">
              <w:t>czołówce krajów</w:t>
            </w:r>
            <w:r w:rsidR="00BE01F2" w:rsidRPr="00AE6DA7">
              <w:t xml:space="preserve"> z</w:t>
            </w:r>
            <w:r w:rsidR="00BE01F2">
              <w:t> </w:t>
            </w:r>
            <w:r w:rsidRPr="00AE6DA7">
              <w:t>największą otwartością danych znajdują się Irlandia, Hiszpania, Francja</w:t>
            </w:r>
            <w:r w:rsidR="00BE01F2" w:rsidRPr="00AE6DA7">
              <w:t xml:space="preserve"> i</w:t>
            </w:r>
            <w:r w:rsidR="00BE01F2">
              <w:t> </w:t>
            </w:r>
            <w:r w:rsidRPr="00AE6DA7">
              <w:t>Cypr.</w:t>
            </w:r>
          </w:p>
        </w:tc>
      </w:tr>
      <w:tr w:rsidR="00486AAC" w:rsidRPr="00486AAC" w14:paraId="501A8D01" w14:textId="77777777" w:rsidTr="009F408A">
        <w:trPr>
          <w:gridAfter w:val="1"/>
          <w:wAfter w:w="10" w:type="dxa"/>
          <w:trHeight w:val="307"/>
        </w:trPr>
        <w:tc>
          <w:tcPr>
            <w:tcW w:w="10908" w:type="dxa"/>
            <w:gridSpan w:val="5"/>
            <w:shd w:val="clear" w:color="auto" w:fill="99CCFF"/>
            <w:vAlign w:val="center"/>
          </w:tcPr>
          <w:p w14:paraId="5180AA85" w14:textId="7623DBF8" w:rsidR="00486AAC" w:rsidRPr="00486AAC" w:rsidRDefault="001B643A" w:rsidP="00486AAC">
            <w:pPr>
              <w:rPr>
                <w:rStyle w:val="Ppogrubienie"/>
              </w:rPr>
            </w:pPr>
            <w:r>
              <w:rPr>
                <w:rStyle w:val="Ppogrubienie"/>
              </w:rPr>
              <w:lastRenderedPageBreak/>
              <w:t xml:space="preserve">3. </w:t>
            </w:r>
            <w:r w:rsidR="00486AAC" w:rsidRPr="00486AAC">
              <w:rPr>
                <w:rStyle w:val="Ppogrubienie"/>
              </w:rPr>
              <w:t>Jak problem został rozwiązany</w:t>
            </w:r>
            <w:r w:rsidR="00BE01F2" w:rsidRPr="00486AAC">
              <w:rPr>
                <w:rStyle w:val="Ppogrubienie"/>
              </w:rPr>
              <w:t xml:space="preserve"> w</w:t>
            </w:r>
            <w:r w:rsidR="00BE01F2">
              <w:rPr>
                <w:rStyle w:val="Ppogrubienie"/>
              </w:rPr>
              <w:t> </w:t>
            </w:r>
            <w:r w:rsidR="00486AAC" w:rsidRPr="00486AAC">
              <w:rPr>
                <w:rStyle w:val="Ppogrubienie"/>
              </w:rPr>
              <w:t>innych krajach,</w:t>
            </w:r>
            <w:r w:rsidR="00BE01F2" w:rsidRPr="00486AAC">
              <w:rPr>
                <w:rStyle w:val="Ppogrubienie"/>
              </w:rPr>
              <w:t xml:space="preserve"> w</w:t>
            </w:r>
            <w:r w:rsidR="00BE01F2">
              <w:rPr>
                <w:rStyle w:val="Ppogrubienie"/>
              </w:rPr>
              <w:t> </w:t>
            </w:r>
            <w:r w:rsidR="00486AAC" w:rsidRPr="00486AAC">
              <w:rPr>
                <w:rStyle w:val="Ppogrubienie"/>
              </w:rPr>
              <w:t xml:space="preserve">szczególności krajach członkowskich OECD/UE? </w:t>
            </w:r>
          </w:p>
        </w:tc>
      </w:tr>
      <w:tr w:rsidR="00486AAC" w:rsidRPr="00486AAC" w14:paraId="5579A403" w14:textId="77777777" w:rsidTr="009F408A">
        <w:trPr>
          <w:gridAfter w:val="1"/>
          <w:wAfter w:w="10" w:type="dxa"/>
          <w:trHeight w:val="142"/>
        </w:trPr>
        <w:tc>
          <w:tcPr>
            <w:tcW w:w="10908" w:type="dxa"/>
            <w:gridSpan w:val="5"/>
            <w:shd w:val="clear" w:color="auto" w:fill="auto"/>
          </w:tcPr>
          <w:p w14:paraId="25A02D4A" w14:textId="47EA92C0" w:rsidR="00486AAC" w:rsidRPr="00486AAC" w:rsidRDefault="007D0FF9" w:rsidP="002E0A8C">
            <w:pPr>
              <w:pStyle w:val="NIEARTTEKSTtekstnieartykuowanynppodstprawnarozplubpreambua"/>
            </w:pPr>
            <w:r>
              <w:t>P</w:t>
            </w:r>
            <w:r w:rsidR="00486AAC" w:rsidRPr="00486AAC">
              <w:t>rzygotowując POD oraz opracowując koncepcje poszczególnych kierunk</w:t>
            </w:r>
            <w:r>
              <w:t>ów interwencji, czerpano</w:t>
            </w:r>
            <w:r w:rsidR="00486AAC" w:rsidRPr="00486AAC">
              <w:t xml:space="preserve"> wiedzę</w:t>
            </w:r>
            <w:r w:rsidR="00BE01F2" w:rsidRPr="00486AAC">
              <w:t xml:space="preserve"> z</w:t>
            </w:r>
            <w:r w:rsidR="00BE01F2">
              <w:t> </w:t>
            </w:r>
            <w:r w:rsidR="00486AAC" w:rsidRPr="00486AAC">
              <w:t>doświadczeń krajów</w:t>
            </w:r>
            <w:r w:rsidR="00BE01F2" w:rsidRPr="00486AAC">
              <w:t xml:space="preserve"> o</w:t>
            </w:r>
            <w:r w:rsidR="00BE01F2">
              <w:t> </w:t>
            </w:r>
            <w:r w:rsidR="00486AAC" w:rsidRPr="00486AAC">
              <w:t>wyższym poziomie zaawansowania</w:t>
            </w:r>
            <w:r w:rsidR="00BE01F2" w:rsidRPr="00486AAC">
              <w:t xml:space="preserve"> w</w:t>
            </w:r>
            <w:r w:rsidR="00BE01F2">
              <w:t> </w:t>
            </w:r>
            <w:r w:rsidR="00486AAC" w:rsidRPr="00486AAC">
              <w:t>obszarze otwartości danych.</w:t>
            </w:r>
          </w:p>
          <w:p w14:paraId="0CF64621" w14:textId="3D962A51" w:rsidR="00486AAC" w:rsidRPr="00486AAC" w:rsidRDefault="00486AAC" w:rsidP="002E0A8C">
            <w:pPr>
              <w:pStyle w:val="NIEARTTEKSTtekstnieartykuowanynppodstprawnarozplubpreambua"/>
            </w:pPr>
            <w:r w:rsidRPr="00486AAC">
              <w:t>Szczególną uwagę poświęcono rozwiązaniom zastosowanym</w:t>
            </w:r>
            <w:r w:rsidR="00BE01F2" w:rsidRPr="00486AAC">
              <w:t xml:space="preserve"> w</w:t>
            </w:r>
            <w:r w:rsidR="00BE01F2">
              <w:t> </w:t>
            </w:r>
            <w:r w:rsidRPr="00486AAC">
              <w:t>Irlandii, Francji</w:t>
            </w:r>
            <w:r w:rsidR="00BE01F2" w:rsidRPr="00486AAC">
              <w:t xml:space="preserve"> i</w:t>
            </w:r>
            <w:r w:rsidR="00BE01F2">
              <w:t> </w:t>
            </w:r>
            <w:r w:rsidRPr="00486AAC">
              <w:t>we Włoszech, które następnie dostosowano do rozwiązań planowanych do zastosowania</w:t>
            </w:r>
            <w:r w:rsidR="00BE01F2" w:rsidRPr="00486AAC">
              <w:t xml:space="preserve"> w</w:t>
            </w:r>
            <w:r w:rsidR="00BE01F2">
              <w:t> </w:t>
            </w:r>
            <w:r w:rsidRPr="00486AAC">
              <w:t>Polsce.</w:t>
            </w:r>
          </w:p>
          <w:p w14:paraId="5EED1616" w14:textId="6A58C9D0" w:rsidR="00486AAC" w:rsidRPr="00486AAC" w:rsidRDefault="00486AAC" w:rsidP="002E0A8C">
            <w:pPr>
              <w:pStyle w:val="NIEARTTEKSTtekstnieartykuowanynppodstprawnarozplubpreambua"/>
            </w:pPr>
            <w:r w:rsidRPr="002E0A8C">
              <w:rPr>
                <w:rStyle w:val="Ppogrubienie"/>
              </w:rPr>
              <w:t>Irlandia</w:t>
            </w:r>
            <w:r w:rsidRPr="00486AAC">
              <w:t>, która od dwóch lat jest liderem</w:t>
            </w:r>
            <w:r w:rsidR="00BE01F2" w:rsidRPr="00486AAC">
              <w:t xml:space="preserve"> w</w:t>
            </w:r>
            <w:r w:rsidR="00BE01F2">
              <w:t> </w:t>
            </w:r>
            <w:r w:rsidRPr="00486AAC">
              <w:t>rankingu Open Data Maturity, prowadzi</w:t>
            </w:r>
            <w:r w:rsidR="00BE01F2" w:rsidRPr="00486AAC">
              <w:t xml:space="preserve"> w</w:t>
            </w:r>
            <w:r w:rsidR="00BE01F2">
              <w:t> </w:t>
            </w:r>
            <w:r w:rsidRPr="00486AAC">
              <w:t>zakresie otwartości danych politykę</w:t>
            </w:r>
            <w:r w:rsidR="00BE01F2" w:rsidRPr="00486AAC">
              <w:t xml:space="preserve"> o</w:t>
            </w:r>
            <w:r w:rsidR="00BE01F2">
              <w:t> </w:t>
            </w:r>
            <w:r w:rsidRPr="00486AAC">
              <w:t xml:space="preserve">charakterze wielowymiarowym. Celem przyjętej przez Irlandię </w:t>
            </w:r>
            <w:hyperlink r:id="rId11" w:history="1">
              <w:r w:rsidRPr="00486AAC">
                <w:rPr>
                  <w:rStyle w:val="Hipercze"/>
                </w:rPr>
                <w:t>Strategii Otwartych Danych 201</w:t>
              </w:r>
              <w:r w:rsidR="00BE01F2" w:rsidRPr="00486AAC">
                <w:rPr>
                  <w:rStyle w:val="Hipercze"/>
                </w:rPr>
                <w:t>7</w:t>
              </w:r>
              <w:r w:rsidR="00BE01F2">
                <w:rPr>
                  <w:rStyle w:val="Hipercze"/>
                </w:rPr>
                <w:noBreakHyphen/>
              </w:r>
              <w:r w:rsidRPr="00486AAC">
                <w:rPr>
                  <w:rStyle w:val="Hipercze"/>
                </w:rPr>
                <w:t>2022</w:t>
              </w:r>
            </w:hyperlink>
            <w:r w:rsidRPr="00486AAC">
              <w:t xml:space="preserve"> jest uczynienie</w:t>
            </w:r>
            <w:r w:rsidR="00BE01F2" w:rsidRPr="00486AAC">
              <w:t xml:space="preserve"> z</w:t>
            </w:r>
            <w:r w:rsidR="00BE01F2">
              <w:t> </w:t>
            </w:r>
            <w:r w:rsidRPr="00486AAC">
              <w:t>Irlandii lidera</w:t>
            </w:r>
            <w:r w:rsidR="00BE01F2" w:rsidRPr="00486AAC">
              <w:t xml:space="preserve"> w</w:t>
            </w:r>
            <w:r w:rsidR="00BE01F2">
              <w:t> </w:t>
            </w:r>
            <w:r w:rsidRPr="00486AAC">
              <w:t>zakresie otwartości danych. Strategia zakłada zwiększenie publikowania danych publicznych</w:t>
            </w:r>
            <w:r w:rsidR="00BE01F2" w:rsidRPr="00486AAC">
              <w:t xml:space="preserve"> o</w:t>
            </w:r>
            <w:r w:rsidR="00BE01F2">
              <w:t> </w:t>
            </w:r>
            <w:r w:rsidRPr="00486AAC">
              <w:t>wysokiej wartości</w:t>
            </w:r>
            <w:r w:rsidR="00BE01F2" w:rsidRPr="00486AAC">
              <w:t xml:space="preserve"> w</w:t>
            </w:r>
            <w:r w:rsidR="00BE01F2">
              <w:t> </w:t>
            </w:r>
            <w:r w:rsidRPr="00486AAC">
              <w:t>otwartym formacie, aby były</w:t>
            </w:r>
            <w:r w:rsidR="00BE01F2" w:rsidRPr="00486AAC">
              <w:t xml:space="preserve"> w</w:t>
            </w:r>
            <w:r w:rsidR="00BE01F2">
              <w:t> </w:t>
            </w:r>
            <w:r w:rsidRPr="00486AAC">
              <w:t>pełni dostępne do ponownego wykorzystania. Dane mają być domyślnie otwarte</w:t>
            </w:r>
            <w:r w:rsidR="00BE01F2" w:rsidRPr="00486AAC">
              <w:t xml:space="preserve"> i</w:t>
            </w:r>
            <w:r w:rsidR="00BE01F2">
              <w:t> </w:t>
            </w:r>
            <w:r w:rsidRPr="00486AAC">
              <w:t>wysokiej jakości (dokładne, wiarygodne, interoperacyjne</w:t>
            </w:r>
            <w:r w:rsidR="00BE01F2" w:rsidRPr="00486AAC">
              <w:t xml:space="preserve"> i</w:t>
            </w:r>
            <w:r w:rsidR="00BE01F2">
              <w:t> </w:t>
            </w:r>
            <w:r w:rsidRPr="00486AAC">
              <w:t>aktualizowane</w:t>
            </w:r>
            <w:r w:rsidR="00BE01F2" w:rsidRPr="00486AAC">
              <w:t xml:space="preserve"> w</w:t>
            </w:r>
            <w:r w:rsidR="00BE01F2">
              <w:t> </w:t>
            </w:r>
            <w:r w:rsidRPr="00486AAC">
              <w:t xml:space="preserve">regularnych odstępach czasu). Każdy podmiot publiczny zobowiązany jest do przeprowadzania audytu posiadanych zasobów danych oraz do przyjęcia planu otwierania danych, który powinien nadawać priorytet otwieraniu danych wysokiej wartości. Ponadto, Irlandia ustanowiła fundusz Open </w:t>
            </w:r>
            <w:r w:rsidRPr="00486AAC">
              <w:lastRenderedPageBreak/>
              <w:t>Data Engagement Fund, którego środki są przeznaczane na budowanie świadomości na temat otwartych danych</w:t>
            </w:r>
            <w:r w:rsidR="00BE01F2" w:rsidRPr="00486AAC">
              <w:t xml:space="preserve"> i</w:t>
            </w:r>
            <w:r w:rsidR="00BE01F2">
              <w:t> </w:t>
            </w:r>
            <w:r w:rsidRPr="00486AAC">
              <w:t>promowania innowacyjnych zastosowań danych publikowanych na krajowym portalu data.gov.ie.</w:t>
            </w:r>
          </w:p>
          <w:p w14:paraId="48752960" w14:textId="44E24BA1" w:rsidR="00486AAC" w:rsidRPr="00486AAC" w:rsidRDefault="00486AAC" w:rsidP="002E0A8C">
            <w:pPr>
              <w:pStyle w:val="NIEARTTEKSTtekstnieartykuowanynppodstprawnarozplubpreambua"/>
            </w:pPr>
            <w:r w:rsidRPr="00486AAC">
              <w:t xml:space="preserve">We </w:t>
            </w:r>
            <w:r w:rsidRPr="002E0A8C">
              <w:rPr>
                <w:rStyle w:val="Ppogrubienie"/>
              </w:rPr>
              <w:t xml:space="preserve">Francji </w:t>
            </w:r>
            <w:r w:rsidRPr="00486AAC">
              <w:t>wprowadzono zasadę domyślnej bezpłatności oraz zasadę domyślnej otwartości. Zarówno organy sektora publicznego, jak</w:t>
            </w:r>
            <w:r w:rsidR="00BE01F2" w:rsidRPr="00486AAC">
              <w:t xml:space="preserve"> i</w:t>
            </w:r>
            <w:r w:rsidR="00BE01F2">
              <w:t> </w:t>
            </w:r>
            <w:r w:rsidRPr="00486AAC">
              <w:t>przedsiębiorstwa publiczne oraz podmioty prywatne realizujące zadania publiczne, mają obowiązek publikowania online, bezpłatnie oraz</w:t>
            </w:r>
            <w:r w:rsidR="00BE01F2" w:rsidRPr="00486AAC">
              <w:t xml:space="preserve"> w</w:t>
            </w:r>
            <w:r w:rsidR="00BE01F2">
              <w:t> </w:t>
            </w:r>
            <w:r w:rsidRPr="00486AAC">
              <w:t>otwartym formacie wszystkich (z nielicznymi wyjątkami) zasobów stanowiących informacje sektora publicznego, które dostępne są</w:t>
            </w:r>
            <w:r w:rsidR="00BE01F2" w:rsidRPr="00486AAC">
              <w:t xml:space="preserve"> w</w:t>
            </w:r>
            <w:r w:rsidR="00BE01F2">
              <w:t> </w:t>
            </w:r>
            <w:r w:rsidRPr="00486AAC">
              <w:t>formie elektronicznej</w:t>
            </w:r>
            <w:r w:rsidR="00BE01F2" w:rsidRPr="00486AAC">
              <w:t xml:space="preserve"> i</w:t>
            </w:r>
            <w:r w:rsidR="00BE01F2">
              <w:t> </w:t>
            </w:r>
            <w:r w:rsidRPr="00486AAC">
              <w:t>mogą być następnie ponownie wykorzystywane. Ustawa loi numerique ma na celu ułatwienie dostępu do danych badawczych.</w:t>
            </w:r>
          </w:p>
          <w:p w14:paraId="7A878C05" w14:textId="36BCE6D6" w:rsidR="00486AAC" w:rsidRPr="00486AAC" w:rsidRDefault="00486AAC" w:rsidP="002E0A8C">
            <w:pPr>
              <w:pStyle w:val="NIEARTTEKSTtekstnieartykuowanynppodstprawnarozplubpreambua"/>
            </w:pPr>
            <w:r w:rsidRPr="00486AAC">
              <w:t>Francuski portal otwartych danych (www.data.gouv.fr) oferuje wiele funkcjonalności. Umożliwia interakcję między podmiotami publikującymi</w:t>
            </w:r>
            <w:r w:rsidR="00BE01F2" w:rsidRPr="00486AAC">
              <w:t xml:space="preserve"> i</w:t>
            </w:r>
            <w:r w:rsidR="00BE01F2">
              <w:t> </w:t>
            </w:r>
            <w:r w:rsidRPr="00486AAC">
              <w:t>użytkownikami. Odwiedzający portal mają możliwość przekazywania informacji zwrotnych odnoszących się do każdego zestawu danych, kontaktu</w:t>
            </w:r>
            <w:r w:rsidR="00BE01F2" w:rsidRPr="00486AAC">
              <w:t xml:space="preserve"> z</w:t>
            </w:r>
            <w:r w:rsidR="00BE01F2">
              <w:t> </w:t>
            </w:r>
            <w:r w:rsidRPr="00486AAC">
              <w:t>podmiotami publikującymi dane</w:t>
            </w:r>
            <w:r w:rsidR="00BE01F2" w:rsidRPr="00486AAC">
              <w:t xml:space="preserve"> i</w:t>
            </w:r>
            <w:r w:rsidR="00BE01F2">
              <w:t> </w:t>
            </w:r>
            <w:r w:rsidRPr="00486AAC">
              <w:t>zgłaszania błędów. Użytkownicy mogą również tworzyć profile, dzięki którym mają</w:t>
            </w:r>
            <w:r w:rsidR="00BE01F2" w:rsidRPr="00486AAC">
              <w:t xml:space="preserve"> z</w:t>
            </w:r>
            <w:r w:rsidR="00BE01F2">
              <w:t> </w:t>
            </w:r>
            <w:r w:rsidRPr="00486AAC">
              <w:t>kolei możliwość obserwowania podmiotów publikujących</w:t>
            </w:r>
            <w:r w:rsidR="00BE01F2" w:rsidRPr="00486AAC">
              <w:t xml:space="preserve"> i</w:t>
            </w:r>
            <w:r w:rsidR="00BE01F2">
              <w:t> </w:t>
            </w:r>
            <w:r w:rsidRPr="00486AAC">
              <w:t>podglądu statystyk nt. ich aktywności. Użytkownicy mogą spersonalizować ustawienia</w:t>
            </w:r>
            <w:r w:rsidR="00BE01F2" w:rsidRPr="00486AAC">
              <w:t xml:space="preserve"> i</w:t>
            </w:r>
            <w:r w:rsidR="00BE01F2">
              <w:t> </w:t>
            </w:r>
            <w:r w:rsidRPr="00486AAC">
              <w:t>np. obserwować pojawiające się dane</w:t>
            </w:r>
            <w:r w:rsidR="00BE01F2" w:rsidRPr="00486AAC">
              <w:t xml:space="preserve"> w</w:t>
            </w:r>
            <w:r w:rsidR="00BE01F2">
              <w:t> </w:t>
            </w:r>
            <w:r w:rsidRPr="00486AAC">
              <w:t xml:space="preserve">ramach zakresu własnych zainteresowań. Dane mające znaczenie dla interesu gospodarczego i społecznego muszą być obowiązkowo aktualizowane </w:t>
            </w:r>
            <w:r w:rsidR="007800BB">
              <w:t>w</w:t>
            </w:r>
            <w:r w:rsidRPr="00486AAC">
              <w:t xml:space="preserve"> portalu.</w:t>
            </w:r>
          </w:p>
          <w:p w14:paraId="3D1385C4" w14:textId="23D8E0B0" w:rsidR="00486AAC" w:rsidRPr="00486AAC" w:rsidRDefault="00486AAC" w:rsidP="002E0A8C">
            <w:pPr>
              <w:pStyle w:val="NIEARTTEKSTtekstnieartykuowanynppodstprawnarozplubpreambua"/>
            </w:pPr>
            <w:r w:rsidRPr="00486AAC">
              <w:t xml:space="preserve">We </w:t>
            </w:r>
            <w:r w:rsidRPr="002E0A8C">
              <w:rPr>
                <w:rStyle w:val="Ppogrubienie"/>
              </w:rPr>
              <w:t>Włoszech</w:t>
            </w:r>
            <w:r w:rsidRPr="00486AAC">
              <w:t>, zgodnie</w:t>
            </w:r>
            <w:r w:rsidR="00BE01F2" w:rsidRPr="00486AAC">
              <w:t xml:space="preserve"> z</w:t>
            </w:r>
            <w:r w:rsidR="00BE01F2">
              <w:t> </w:t>
            </w:r>
            <w:r w:rsidRPr="00486AAC">
              <w:t>dekretem ustawodawczym 97/201</w:t>
            </w:r>
            <w:r w:rsidR="00BE01F2" w:rsidRPr="00486AAC">
              <w:t>6</w:t>
            </w:r>
            <w:r w:rsidR="00BE01F2">
              <w:t> </w:t>
            </w:r>
            <w:r w:rsidRPr="00486AAC">
              <w:t>podmioty sektora publicznego są zobowiązane do publikowania wszystkich dokumentów</w:t>
            </w:r>
            <w:r w:rsidR="00BE01F2" w:rsidRPr="00486AAC">
              <w:t xml:space="preserve"> i</w:t>
            </w:r>
            <w:r w:rsidR="00BE01F2">
              <w:t> </w:t>
            </w:r>
            <w:r w:rsidRPr="00486AAC">
              <w:t>danych</w:t>
            </w:r>
            <w:r w:rsidR="00BE01F2" w:rsidRPr="00486AAC">
              <w:t xml:space="preserve"> o</w:t>
            </w:r>
            <w:r w:rsidR="00BE01F2">
              <w:t> </w:t>
            </w:r>
            <w:r w:rsidRPr="00486AAC">
              <w:t>dużym znaczeniu publicznym na swoich stronach internetowych.</w:t>
            </w:r>
          </w:p>
          <w:p w14:paraId="30FF840D" w14:textId="6A5AC276" w:rsidR="00486AAC" w:rsidRPr="00486AAC" w:rsidRDefault="00486AAC" w:rsidP="002E0A8C">
            <w:pPr>
              <w:pStyle w:val="NIEARTTEKSTtekstnieartykuowanynppodstprawnarozplubpreambua"/>
            </w:pPr>
            <w:r w:rsidRPr="00486AAC">
              <w:t>Włochy</w:t>
            </w:r>
            <w:r w:rsidR="00BE01F2" w:rsidRPr="00486AAC">
              <w:t xml:space="preserve"> w</w:t>
            </w:r>
            <w:r w:rsidR="00BE01F2">
              <w:t> </w:t>
            </w:r>
            <w:r w:rsidRPr="00486AAC">
              <w:t>swojej polityce otwartych danych przyjęły zasadę domyślnej otwartości (open data by default).</w:t>
            </w:r>
            <w:r w:rsidR="00BE01F2" w:rsidRPr="00486AAC">
              <w:t xml:space="preserve"> W</w:t>
            </w:r>
            <w:r w:rsidR="00BE01F2">
              <w:t> </w:t>
            </w:r>
            <w:r w:rsidRPr="00486AAC">
              <w:t>tym celu przyjęto Wytyczne dotyczące rozwoju zasobów informacji publicznej (</w:t>
            </w:r>
            <w:hyperlink r:id="rId12" w:history="1">
              <w:r w:rsidRPr="00486AAC">
                <w:rPr>
                  <w:rStyle w:val="Hipercze"/>
                </w:rPr>
                <w:t>Guidelines for the Development of the Public Information Heritage</w:t>
              </w:r>
            </w:hyperlink>
            <w:r w:rsidRPr="00486AAC">
              <w:t>), które na bieżąco są aktualizowane. Zawierają one wskazówki</w:t>
            </w:r>
            <w:r w:rsidR="00BE01F2" w:rsidRPr="00486AAC">
              <w:t xml:space="preserve"> i</w:t>
            </w:r>
            <w:r w:rsidR="00BE01F2">
              <w:t> </w:t>
            </w:r>
            <w:r w:rsidRPr="00486AAC">
              <w:t>ustanawiają standardy otwierania danych</w:t>
            </w:r>
            <w:r w:rsidR="00BE01F2" w:rsidRPr="00486AAC">
              <w:t xml:space="preserve"> w</w:t>
            </w:r>
            <w:r w:rsidR="00BE01F2">
              <w:t> </w:t>
            </w:r>
            <w:r w:rsidRPr="00486AAC">
              <w:t>sektorze publicznym, np.</w:t>
            </w:r>
            <w:r w:rsidR="00BE01F2" w:rsidRPr="00486AAC">
              <w:t xml:space="preserve"> w</w:t>
            </w:r>
            <w:r w:rsidR="00BE01F2">
              <w:t> </w:t>
            </w:r>
            <w:r w:rsidRPr="00486AAC">
              <w:t>zakresie struktury architektury danych publicznych, publikowania danych wysokiej jakości, przestrzegania międzynarodowych standardów lub korzystania</w:t>
            </w:r>
            <w:r w:rsidR="00BE01F2" w:rsidRPr="00486AAC">
              <w:t xml:space="preserve"> z</w:t>
            </w:r>
            <w:r w:rsidR="00BE01F2">
              <w:t> </w:t>
            </w:r>
            <w:r w:rsidRPr="00486AAC">
              <w:t>otwartych licencji.</w:t>
            </w:r>
          </w:p>
        </w:tc>
      </w:tr>
      <w:tr w:rsidR="00486AAC" w:rsidRPr="00486AAC" w14:paraId="323B7598" w14:textId="77777777" w:rsidTr="009F408A">
        <w:trPr>
          <w:gridAfter w:val="1"/>
          <w:wAfter w:w="10" w:type="dxa"/>
          <w:trHeight w:val="359"/>
        </w:trPr>
        <w:tc>
          <w:tcPr>
            <w:tcW w:w="10908" w:type="dxa"/>
            <w:gridSpan w:val="5"/>
            <w:shd w:val="clear" w:color="auto" w:fill="99CCFF"/>
            <w:vAlign w:val="center"/>
          </w:tcPr>
          <w:p w14:paraId="3695F742" w14:textId="46BD2FB9" w:rsidR="00486AAC" w:rsidRPr="00486AAC" w:rsidRDefault="001B643A" w:rsidP="00486AAC">
            <w:pPr>
              <w:rPr>
                <w:rStyle w:val="Ppogrubienie"/>
              </w:rPr>
            </w:pPr>
            <w:r>
              <w:rPr>
                <w:rStyle w:val="Ppogrubienie"/>
              </w:rPr>
              <w:lastRenderedPageBreak/>
              <w:t xml:space="preserve">4. </w:t>
            </w:r>
            <w:r w:rsidR="00486AAC" w:rsidRPr="00486AAC">
              <w:rPr>
                <w:rStyle w:val="Ppogrubienie"/>
              </w:rPr>
              <w:t>Podmioty, na które oddziałuje projekt</w:t>
            </w:r>
          </w:p>
        </w:tc>
      </w:tr>
      <w:tr w:rsidR="00486AAC" w:rsidRPr="00486AAC" w14:paraId="11050D85" w14:textId="77777777" w:rsidTr="00836C1E">
        <w:trPr>
          <w:trHeight w:val="142"/>
        </w:trPr>
        <w:tc>
          <w:tcPr>
            <w:tcW w:w="2522" w:type="dxa"/>
            <w:shd w:val="clear" w:color="auto" w:fill="auto"/>
          </w:tcPr>
          <w:p w14:paraId="2E1B2129" w14:textId="77777777" w:rsidR="00486AAC" w:rsidRPr="00486AAC" w:rsidRDefault="00486AAC" w:rsidP="00486AAC">
            <w:r w:rsidRPr="00486AAC">
              <w:t>Grupa</w:t>
            </w:r>
          </w:p>
        </w:tc>
        <w:tc>
          <w:tcPr>
            <w:tcW w:w="2723" w:type="dxa"/>
            <w:shd w:val="clear" w:color="auto" w:fill="auto"/>
          </w:tcPr>
          <w:p w14:paraId="61D3ECAC" w14:textId="77777777" w:rsidR="00486AAC" w:rsidRPr="00486AAC" w:rsidRDefault="00486AAC" w:rsidP="00486AAC">
            <w:r w:rsidRPr="00486AAC">
              <w:t>Wielkość</w:t>
            </w:r>
          </w:p>
        </w:tc>
        <w:tc>
          <w:tcPr>
            <w:tcW w:w="3686" w:type="dxa"/>
            <w:gridSpan w:val="2"/>
            <w:shd w:val="clear" w:color="auto" w:fill="auto"/>
          </w:tcPr>
          <w:p w14:paraId="1A2B66F7" w14:textId="77777777" w:rsidR="00486AAC" w:rsidRPr="00486AAC" w:rsidRDefault="00486AAC" w:rsidP="00486AAC">
            <w:r w:rsidRPr="00486AAC">
              <w:t>Źródło danych</w:t>
            </w:r>
            <w:r w:rsidRPr="00486AAC" w:rsidDel="00260F33">
              <w:t xml:space="preserve"> </w:t>
            </w:r>
          </w:p>
        </w:tc>
        <w:tc>
          <w:tcPr>
            <w:tcW w:w="1987" w:type="dxa"/>
            <w:gridSpan w:val="2"/>
            <w:shd w:val="clear" w:color="auto" w:fill="auto"/>
          </w:tcPr>
          <w:p w14:paraId="0E19DB77" w14:textId="77777777" w:rsidR="00486AAC" w:rsidRPr="00486AAC" w:rsidRDefault="00486AAC" w:rsidP="00486AAC">
            <w:r w:rsidRPr="00486AAC">
              <w:t>Oddziaływanie</w:t>
            </w:r>
          </w:p>
        </w:tc>
      </w:tr>
      <w:tr w:rsidR="00486AAC" w:rsidRPr="00486AAC" w14:paraId="371E86C1" w14:textId="77777777" w:rsidTr="00836C1E">
        <w:trPr>
          <w:trHeight w:val="142"/>
        </w:trPr>
        <w:tc>
          <w:tcPr>
            <w:tcW w:w="2522" w:type="dxa"/>
            <w:tcBorders>
              <w:top w:val="single" w:sz="4" w:space="0" w:color="000000"/>
              <w:left w:val="single" w:sz="4" w:space="0" w:color="000000"/>
              <w:bottom w:val="single" w:sz="4" w:space="0" w:color="000000"/>
              <w:right w:val="single" w:sz="4" w:space="0" w:color="000000"/>
            </w:tcBorders>
            <w:shd w:val="clear" w:color="auto" w:fill="auto"/>
          </w:tcPr>
          <w:p w14:paraId="09E45E05" w14:textId="77777777" w:rsidR="00486AAC" w:rsidRPr="00486AAC" w:rsidRDefault="00486AAC" w:rsidP="00486AAC">
            <w:r w:rsidRPr="00486AAC">
              <w:t xml:space="preserve">Organy administracji rządowej (w tym jednostki podległe lub nadzorowane) </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18F789DC" w14:textId="77777777" w:rsidR="00486AAC" w:rsidRPr="00486AAC" w:rsidRDefault="00486AAC" w:rsidP="00486AAC">
            <w:r w:rsidRPr="00486AAC">
              <w:t xml:space="preserve">KPRM, Członkowie Rady Ministrów, urzędy centralne, jednostki podległe lub nadzorowane, rządowa administracja terenowa (liczba trudna do </w:t>
            </w:r>
            <w:r w:rsidRPr="00486AAC">
              <w:lastRenderedPageBreak/>
              <w:t>oszacowania)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auto"/>
          </w:tcPr>
          <w:p w14:paraId="6B707E8F" w14:textId="5D018AC0" w:rsidR="00486AAC" w:rsidRPr="00486AAC" w:rsidRDefault="00486AAC" w:rsidP="00486AAC">
            <w:r w:rsidRPr="00486AAC">
              <w:lastRenderedPageBreak/>
              <w:t>Ministerstwa, jednostki im podległe</w:t>
            </w:r>
            <w:r w:rsidR="00BE01F2" w:rsidRPr="00486AAC">
              <w:t xml:space="preserve"> i</w:t>
            </w:r>
            <w:r w:rsidR="00BE01F2">
              <w:t> </w:t>
            </w:r>
            <w:r w:rsidRPr="00486AAC">
              <w:t xml:space="preserve">przez nie nadzorowane </w:t>
            </w:r>
            <w:hyperlink r:id="rId13" w:history="1">
              <w:r w:rsidRPr="00486AAC">
                <w:rPr>
                  <w:rStyle w:val="Hipercze"/>
                </w:rPr>
                <w:t>https://www.gov.pl/web/gov/ministerstwa</w:t>
              </w:r>
            </w:hyperlink>
          </w:p>
          <w:p w14:paraId="55B41248" w14:textId="77777777" w:rsidR="00486AAC" w:rsidRPr="00486AAC" w:rsidRDefault="00486AAC" w:rsidP="00486AAC">
            <w:r w:rsidRPr="00486AAC">
              <w:t>Jednostki rządowej administracji zespolonej</w:t>
            </w:r>
          </w:p>
          <w:p w14:paraId="2D7FF8FE" w14:textId="05FA19F7" w:rsidR="00486AAC" w:rsidRDefault="00486AAC" w:rsidP="00486AAC"/>
          <w:p w14:paraId="782E485E" w14:textId="26B2570A" w:rsidR="004E6675" w:rsidRPr="00486AAC" w:rsidRDefault="00B16A21" w:rsidP="00486AAC">
            <w:hyperlink r:id="rId14" w:history="1">
              <w:r w:rsidR="00494F8C" w:rsidRPr="00D2422C">
                <w:rPr>
                  <w:rStyle w:val="Hipercze"/>
                </w:rPr>
                <w:t>http://administracja.mswia.gov.pl/adm/departament-administra/administracja-zespolon/10343,Baza-teleadresowa-administracji-zespolonej.html</w:t>
              </w:r>
            </w:hyperlink>
            <w:r w:rsidR="00494F8C">
              <w:t xml:space="preserve"> </w:t>
            </w:r>
          </w:p>
        </w:tc>
        <w:tc>
          <w:tcPr>
            <w:tcW w:w="1987" w:type="dxa"/>
            <w:gridSpan w:val="2"/>
            <w:tcBorders>
              <w:top w:val="single" w:sz="4" w:space="0" w:color="000000"/>
              <w:left w:val="single" w:sz="4" w:space="0" w:color="000000"/>
              <w:bottom w:val="single" w:sz="4" w:space="0" w:color="000000"/>
              <w:right w:val="single" w:sz="4" w:space="0" w:color="000000"/>
            </w:tcBorders>
            <w:shd w:val="clear" w:color="auto" w:fill="auto"/>
          </w:tcPr>
          <w:p w14:paraId="103F62B2" w14:textId="387C3009" w:rsidR="00486AAC" w:rsidRDefault="00486AAC" w:rsidP="00486AAC">
            <w:r w:rsidRPr="00486AAC">
              <w:lastRenderedPageBreak/>
              <w:t>bezpośrednie</w:t>
            </w:r>
          </w:p>
          <w:p w14:paraId="2C597B32" w14:textId="18953FCC" w:rsidR="004448B5" w:rsidRPr="004448B5" w:rsidRDefault="004448B5" w:rsidP="004448B5">
            <w:r>
              <w:t xml:space="preserve">- </w:t>
            </w:r>
            <w:r w:rsidRPr="004448B5">
              <w:t xml:space="preserve">konieczność udostępniania posiadanych </w:t>
            </w:r>
            <w:r>
              <w:t>danych</w:t>
            </w:r>
            <w:r w:rsidRPr="004448B5">
              <w:t xml:space="preserve"> do ponownego wykorzystania,</w:t>
            </w:r>
          </w:p>
          <w:p w14:paraId="229B33CA" w14:textId="77777777" w:rsidR="004448B5" w:rsidRPr="00486AAC" w:rsidRDefault="004448B5" w:rsidP="00486AAC"/>
        </w:tc>
      </w:tr>
      <w:tr w:rsidR="00486AAC" w:rsidRPr="00486AAC" w14:paraId="6C87B360" w14:textId="77777777" w:rsidTr="00836C1E">
        <w:trPr>
          <w:trHeight w:val="142"/>
        </w:trPr>
        <w:tc>
          <w:tcPr>
            <w:tcW w:w="2522" w:type="dxa"/>
            <w:tcBorders>
              <w:top w:val="single" w:sz="4" w:space="0" w:color="000000"/>
              <w:left w:val="single" w:sz="4" w:space="0" w:color="000000"/>
              <w:bottom w:val="single" w:sz="4" w:space="0" w:color="000000"/>
              <w:right w:val="single" w:sz="4" w:space="0" w:color="000000"/>
            </w:tcBorders>
            <w:shd w:val="clear" w:color="auto" w:fill="auto"/>
          </w:tcPr>
          <w:p w14:paraId="292460B3" w14:textId="77777777" w:rsidR="00486AAC" w:rsidRPr="00486AAC" w:rsidRDefault="00486AAC" w:rsidP="00486AAC">
            <w:r w:rsidRPr="00486AAC">
              <w:lastRenderedPageBreak/>
              <w:t>Jednostki administracji samorządowej</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739E6A8C" w14:textId="123D9606" w:rsidR="00486AAC" w:rsidRPr="00486AAC" w:rsidRDefault="00486AAC" w:rsidP="00486AAC">
            <w:r w:rsidRPr="00486AAC">
              <w:t>287</w:t>
            </w:r>
            <w:r w:rsidR="00BE01F2" w:rsidRPr="00486AAC">
              <w:t>3</w:t>
            </w:r>
            <w:r w:rsidR="00BE01F2">
              <w:t> </w:t>
            </w:r>
            <w:r w:rsidRPr="00486AAC">
              <w:t>[1</w:t>
            </w:r>
            <w:r w:rsidR="00BE01F2" w:rsidRPr="00486AAC">
              <w:t>6</w:t>
            </w:r>
            <w:r w:rsidR="00BE01F2">
              <w:t> </w:t>
            </w:r>
            <w:r w:rsidRPr="00486AAC">
              <w:t>województw,</w:t>
            </w:r>
          </w:p>
          <w:p w14:paraId="1F6A6D8E" w14:textId="3D2E2DD0" w:rsidR="00486AAC" w:rsidRPr="00486AAC" w:rsidRDefault="00486AAC" w:rsidP="00486AAC">
            <w:r w:rsidRPr="00486AAC">
              <w:t>31</w:t>
            </w:r>
            <w:r w:rsidR="00BE01F2" w:rsidRPr="00486AAC">
              <w:t>4</w:t>
            </w:r>
            <w:r w:rsidR="00BE01F2">
              <w:t> </w:t>
            </w:r>
            <w:r w:rsidRPr="00486AAC">
              <w:t>powiatów</w:t>
            </w:r>
            <w:r w:rsidR="00BE01F2" w:rsidRPr="00486AAC">
              <w:t xml:space="preserve"> i</w:t>
            </w:r>
            <w:r w:rsidR="00BE01F2">
              <w:t> </w:t>
            </w:r>
            <w:r w:rsidRPr="00486AAC">
              <w:t>6</w:t>
            </w:r>
            <w:r w:rsidR="00BE01F2" w:rsidRPr="00486AAC">
              <w:t>6</w:t>
            </w:r>
            <w:r w:rsidR="00BE01F2">
              <w:t> </w:t>
            </w:r>
            <w:r w:rsidRPr="00486AAC">
              <w:t>miast na prawach powiatu,</w:t>
            </w:r>
          </w:p>
          <w:p w14:paraId="50F99B41" w14:textId="2CC209FD" w:rsidR="00486AAC" w:rsidRPr="00486AAC" w:rsidRDefault="00486AAC" w:rsidP="00486AAC">
            <w:r w:rsidRPr="00486AAC">
              <w:t>247</w:t>
            </w:r>
            <w:r w:rsidR="00BE01F2" w:rsidRPr="00486AAC">
              <w:t>7</w:t>
            </w:r>
            <w:r w:rsidR="00BE01F2">
              <w:t> </w:t>
            </w:r>
            <w:r w:rsidRPr="00486AAC">
              <w:t>gmin (w tym 30</w:t>
            </w:r>
            <w:r w:rsidR="00BE01F2" w:rsidRPr="00486AAC">
              <w:t>2</w:t>
            </w:r>
            <w:r w:rsidR="00BE01F2">
              <w:t> </w:t>
            </w:r>
            <w:r w:rsidRPr="00486AAC">
              <w:t>gminy miejskie, 64</w:t>
            </w:r>
            <w:r w:rsidR="00BE01F2" w:rsidRPr="00486AAC">
              <w:t>2</w:t>
            </w:r>
            <w:r w:rsidR="00BE01F2">
              <w:t> </w:t>
            </w:r>
            <w:r w:rsidRPr="00486AAC">
              <w:t>gminy miejsko</w:t>
            </w:r>
            <w:r w:rsidR="00BE01F2">
              <w:softHyphen/>
            </w:r>
            <w:r w:rsidR="00BE01F2">
              <w:noBreakHyphen/>
            </w:r>
            <w:r w:rsidRPr="00486AAC">
              <w:t>wiejskie</w:t>
            </w:r>
            <w:r w:rsidR="00BE01F2" w:rsidRPr="00486AAC">
              <w:t xml:space="preserve"> i</w:t>
            </w:r>
            <w:r w:rsidR="00BE01F2">
              <w:t> </w:t>
            </w:r>
            <w:r w:rsidRPr="00486AAC">
              <w:t>153</w:t>
            </w:r>
            <w:r w:rsidR="00BE01F2" w:rsidRPr="00486AAC">
              <w:t>3</w:t>
            </w:r>
            <w:r w:rsidR="00BE01F2">
              <w:t> </w:t>
            </w:r>
            <w:r w:rsidRPr="00486AAC">
              <w:t>gminy wiejskie)].</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auto"/>
          </w:tcPr>
          <w:p w14:paraId="12C5EF12" w14:textId="2EE6CE89" w:rsidR="004E6675" w:rsidRPr="00486AAC" w:rsidRDefault="00B16A21" w:rsidP="00486AAC">
            <w:hyperlink r:id="rId15" w:history="1">
              <w:r w:rsidR="00494F8C" w:rsidRPr="00D2422C">
                <w:rPr>
                  <w:rStyle w:val="Hipercze"/>
                </w:rPr>
                <w:t>https://stat.gov.pl/statystyka-regionalna/jednostki-terytorialne/podzial-administracyjny-polski</w:t>
              </w:r>
            </w:hyperlink>
            <w:r w:rsidR="00494F8C">
              <w:t xml:space="preserve">  </w:t>
            </w:r>
          </w:p>
        </w:tc>
        <w:tc>
          <w:tcPr>
            <w:tcW w:w="1987" w:type="dxa"/>
            <w:gridSpan w:val="2"/>
            <w:tcBorders>
              <w:top w:val="single" w:sz="4" w:space="0" w:color="000000"/>
              <w:left w:val="single" w:sz="4" w:space="0" w:color="000000"/>
              <w:bottom w:val="single" w:sz="4" w:space="0" w:color="000000"/>
              <w:right w:val="single" w:sz="4" w:space="0" w:color="000000"/>
            </w:tcBorders>
            <w:shd w:val="clear" w:color="auto" w:fill="auto"/>
          </w:tcPr>
          <w:p w14:paraId="6212A3CE" w14:textId="5900BE1F" w:rsidR="00486AAC" w:rsidRDefault="00DF7F3F" w:rsidP="00486AAC">
            <w:r w:rsidRPr="00486AAC">
              <w:t>P</w:t>
            </w:r>
            <w:r w:rsidR="00486AAC" w:rsidRPr="00486AAC">
              <w:t>ośrednie</w:t>
            </w:r>
          </w:p>
          <w:p w14:paraId="4E7152F0" w14:textId="1B078324" w:rsidR="00DF7F3F" w:rsidRPr="00486AAC" w:rsidRDefault="00DF7F3F" w:rsidP="00486AAC">
            <w:r>
              <w:t>- możliwość udostępniania danych do ponownego wykorzystywania</w:t>
            </w:r>
          </w:p>
        </w:tc>
      </w:tr>
      <w:tr w:rsidR="00486AAC" w:rsidRPr="00486AAC" w14:paraId="362F7947" w14:textId="77777777" w:rsidTr="00836C1E">
        <w:trPr>
          <w:trHeight w:val="142"/>
        </w:trPr>
        <w:tc>
          <w:tcPr>
            <w:tcW w:w="2522" w:type="dxa"/>
            <w:tcBorders>
              <w:top w:val="single" w:sz="4" w:space="0" w:color="000000"/>
              <w:left w:val="single" w:sz="4" w:space="0" w:color="000000"/>
              <w:bottom w:val="single" w:sz="4" w:space="0" w:color="000000"/>
              <w:right w:val="single" w:sz="4" w:space="0" w:color="000000"/>
            </w:tcBorders>
            <w:shd w:val="clear" w:color="auto" w:fill="auto"/>
          </w:tcPr>
          <w:p w14:paraId="765EDEE8" w14:textId="4C242119" w:rsidR="00486AAC" w:rsidRPr="00486AAC" w:rsidRDefault="00486AAC" w:rsidP="00486AAC">
            <w:r w:rsidRPr="00486AAC">
              <w:t>Przedsiębiorstwa działające</w:t>
            </w:r>
            <w:r w:rsidR="00BE01F2" w:rsidRPr="00486AAC">
              <w:t xml:space="preserve"> w</w:t>
            </w:r>
            <w:r w:rsidR="00BE01F2">
              <w:t> </w:t>
            </w:r>
            <w:r w:rsidRPr="00486AAC">
              <w:t>sektorze kultury</w:t>
            </w:r>
            <w:r w:rsidR="00BE01F2" w:rsidRPr="00486AAC">
              <w:t xml:space="preserve"> i</w:t>
            </w:r>
            <w:r w:rsidR="00BE01F2">
              <w:t> </w:t>
            </w:r>
            <w:r w:rsidRPr="00486AAC">
              <w:t>kreatywnym</w:t>
            </w:r>
          </w:p>
        </w:tc>
        <w:tc>
          <w:tcPr>
            <w:tcW w:w="2723" w:type="dxa"/>
            <w:tcBorders>
              <w:top w:val="single" w:sz="4" w:space="0" w:color="000000"/>
              <w:left w:val="single" w:sz="4" w:space="0" w:color="000000"/>
              <w:bottom w:val="single" w:sz="4" w:space="0" w:color="000000"/>
              <w:right w:val="single" w:sz="4" w:space="0" w:color="000000"/>
            </w:tcBorders>
            <w:shd w:val="clear" w:color="auto" w:fill="auto"/>
          </w:tcPr>
          <w:p w14:paraId="309A6C82" w14:textId="6079DAE4" w:rsidR="00486AAC" w:rsidRPr="00486AAC" w:rsidRDefault="00486AAC" w:rsidP="00486AAC">
            <w:r w:rsidRPr="00486AAC">
              <w:t>10</w:t>
            </w:r>
            <w:r w:rsidR="00BE01F2" w:rsidRPr="00486AAC">
              <w:t>8</w:t>
            </w:r>
            <w:r w:rsidR="00BE01F2">
              <w:t> </w:t>
            </w:r>
            <w:r w:rsidRPr="00486AAC">
              <w:t>80</w:t>
            </w:r>
            <w:r w:rsidR="00BE01F2" w:rsidRPr="00486AAC">
              <w:t>0</w:t>
            </w:r>
            <w:r w:rsidR="00BE01F2">
              <w:t> </w:t>
            </w:r>
            <w:r w:rsidRPr="00486AAC">
              <w:t>(są to niemal wyłącznie  podmioty będące mikroprzedsiębiorstwami – 10</w:t>
            </w:r>
            <w:r w:rsidR="00BE01F2" w:rsidRPr="00486AAC">
              <w:t>7</w:t>
            </w:r>
            <w:r w:rsidR="00BE01F2">
              <w:t> </w:t>
            </w:r>
            <w:r w:rsidRPr="00486AAC">
              <w:t>300, czyli 98,6%); najwięcej przedsiębiorstw prowadziło działalność</w:t>
            </w:r>
            <w:r w:rsidR="00BE01F2" w:rsidRPr="00486AAC">
              <w:t xml:space="preserve"> w</w:t>
            </w:r>
            <w:r w:rsidR="00BE01F2">
              <w:t> </w:t>
            </w:r>
            <w:r w:rsidRPr="00486AAC">
              <w:t>ramach dziedzin: książki</w:t>
            </w:r>
            <w:r w:rsidR="00BE01F2" w:rsidRPr="00486AAC">
              <w:t xml:space="preserve"> i</w:t>
            </w:r>
            <w:r w:rsidR="00BE01F2">
              <w:t> </w:t>
            </w:r>
            <w:r w:rsidRPr="00486AAC">
              <w:t>prasa (25,2%), reklama (22,6%), architektura (16,7%), sztuki wizualne (14,5%), sztuki audiowizualne</w:t>
            </w:r>
            <w:r w:rsidR="00BE01F2" w:rsidRPr="00486AAC">
              <w:t xml:space="preserve"> i</w:t>
            </w:r>
            <w:r w:rsidR="00BE01F2">
              <w:t> </w:t>
            </w:r>
            <w:r w:rsidRPr="00486AAC">
              <w:t>multimedia (12,5%), sztuki performatywne (5,6%)</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auto"/>
          </w:tcPr>
          <w:p w14:paraId="2F418561" w14:textId="026D0324" w:rsidR="00486AAC" w:rsidRPr="00486AAC" w:rsidRDefault="00486AAC" w:rsidP="004E6675">
            <w:r w:rsidRPr="00486AAC">
              <w:t>Przemysły kultury</w:t>
            </w:r>
            <w:r w:rsidR="00BE01F2" w:rsidRPr="00486AAC">
              <w:t xml:space="preserve"> i</w:t>
            </w:r>
            <w:r w:rsidR="00BE01F2">
              <w:t> </w:t>
            </w:r>
            <w:r w:rsidRPr="00486AAC">
              <w:t>kreatywne</w:t>
            </w:r>
            <w:r w:rsidR="00BE01F2" w:rsidRPr="00486AAC">
              <w:t xml:space="preserve"> w</w:t>
            </w:r>
            <w:r w:rsidR="00BE01F2">
              <w:t> </w:t>
            </w:r>
            <w:r w:rsidRPr="00486AAC">
              <w:t>201</w:t>
            </w:r>
            <w:r w:rsidR="00BE01F2" w:rsidRPr="00486AAC">
              <w:t>7</w:t>
            </w:r>
            <w:r w:rsidR="00BE01F2">
              <w:t> </w:t>
            </w:r>
            <w:r w:rsidRPr="00486AAC">
              <w:t xml:space="preserve">roku, GUS, </w:t>
            </w:r>
            <w:r w:rsidR="004E6675" w:rsidRPr="00486AAC">
              <w:t>201</w:t>
            </w:r>
            <w:r w:rsidR="004E6675" w:rsidRPr="004E6675">
              <w:t>9</w:t>
            </w:r>
            <w:r w:rsidR="004E6675">
              <w:t>.</w:t>
            </w:r>
            <w:r w:rsidRPr="00486AAC">
              <w:t>20.09.</w:t>
            </w:r>
            <w:r w:rsidR="00BE01F2">
              <w:t> </w:t>
            </w:r>
            <w:r w:rsidRPr="00486AAC">
              <w:t>(</w:t>
            </w:r>
            <w:hyperlink r:id="rId16" w:history="1">
              <w:r w:rsidRPr="00486AAC">
                <w:rPr>
                  <w:rStyle w:val="Hipercze"/>
                </w:rPr>
                <w:t>https://stat.gov.pl/obszary</w:t>
              </w:r>
              <w:r w:rsidR="00BE01F2">
                <w:rPr>
                  <w:rStyle w:val="Hipercze"/>
                </w:rPr>
                <w:softHyphen/>
              </w:r>
              <w:r w:rsidR="00BE01F2">
                <w:rPr>
                  <w:rStyle w:val="Hipercze"/>
                </w:rPr>
                <w:noBreakHyphen/>
              </w:r>
              <w:r w:rsidRPr="00486AAC">
                <w:rPr>
                  <w:rStyle w:val="Hipercze"/>
                </w:rPr>
                <w:t>tematyczne/kultura</w:t>
              </w:r>
              <w:r w:rsidR="00BE01F2">
                <w:rPr>
                  <w:rStyle w:val="Hipercze"/>
                </w:rPr>
                <w:softHyphen/>
              </w:r>
              <w:r w:rsidR="00BE01F2">
                <w:rPr>
                  <w:rStyle w:val="Hipercze"/>
                </w:rPr>
                <w:noBreakHyphen/>
              </w:r>
              <w:r w:rsidRPr="00486AAC">
                <w:rPr>
                  <w:rStyle w:val="Hipercze"/>
                </w:rPr>
                <w:t>turystyka</w:t>
              </w:r>
              <w:r w:rsidR="00BE01F2">
                <w:rPr>
                  <w:rStyle w:val="Hipercze"/>
                </w:rPr>
                <w:softHyphen/>
              </w:r>
              <w:r w:rsidR="00BE01F2">
                <w:rPr>
                  <w:rStyle w:val="Hipercze"/>
                </w:rPr>
                <w:noBreakHyphen/>
              </w:r>
              <w:r w:rsidRPr="00486AAC">
                <w:rPr>
                  <w:rStyle w:val="Hipercze"/>
                </w:rPr>
                <w:t>sport/kultura/przemysly</w:t>
              </w:r>
              <w:r w:rsidR="00BE01F2">
                <w:rPr>
                  <w:rStyle w:val="Hipercze"/>
                </w:rPr>
                <w:softHyphen/>
              </w:r>
              <w:r w:rsidR="00BE01F2">
                <w:rPr>
                  <w:rStyle w:val="Hipercze"/>
                </w:rPr>
                <w:noBreakHyphen/>
              </w:r>
              <w:r w:rsidRPr="00486AAC">
                <w:rPr>
                  <w:rStyle w:val="Hipercze"/>
                </w:rPr>
                <w:t>kultury</w:t>
              </w:r>
              <w:r w:rsidR="00BE01F2">
                <w:rPr>
                  <w:rStyle w:val="Hipercze"/>
                </w:rPr>
                <w:softHyphen/>
              </w:r>
              <w:r w:rsidR="00BE01F2">
                <w:rPr>
                  <w:rStyle w:val="Hipercze"/>
                </w:rPr>
                <w:noBreakHyphen/>
              </w:r>
              <w:r w:rsidRPr="00486AAC">
                <w:rPr>
                  <w:rStyle w:val="Hipercze"/>
                </w:rPr>
                <w:t>i</w:t>
              </w:r>
              <w:r w:rsidR="00BE01F2">
                <w:rPr>
                  <w:rStyle w:val="Hipercze"/>
                </w:rPr>
                <w:softHyphen/>
              </w:r>
              <w:r w:rsidR="00BE01F2">
                <w:rPr>
                  <w:rStyle w:val="Hipercze"/>
                </w:rPr>
                <w:noBreakHyphen/>
              </w:r>
              <w:r w:rsidRPr="00486AAC">
                <w:rPr>
                  <w:rStyle w:val="Hipercze"/>
                </w:rPr>
                <w:t>kreatywne</w:t>
              </w:r>
              <w:r w:rsidR="00BE01F2">
                <w:rPr>
                  <w:rStyle w:val="Hipercze"/>
                </w:rPr>
                <w:softHyphen/>
              </w:r>
              <w:r w:rsidR="00BE01F2">
                <w:rPr>
                  <w:rStyle w:val="Hipercze"/>
                </w:rPr>
                <w:noBreakHyphen/>
              </w:r>
              <w:r w:rsidRPr="00486AAC">
                <w:rPr>
                  <w:rStyle w:val="Hipercze"/>
                </w:rPr>
                <w:t>w</w:t>
              </w:r>
              <w:r w:rsidR="00BE01F2">
                <w:rPr>
                  <w:rStyle w:val="Hipercze"/>
                </w:rPr>
                <w:softHyphen/>
              </w:r>
              <w:r w:rsidR="00BE01F2">
                <w:rPr>
                  <w:rStyle w:val="Hipercze"/>
                </w:rPr>
                <w:noBreakHyphen/>
              </w:r>
              <w:r w:rsidRPr="00486AAC">
                <w:rPr>
                  <w:rStyle w:val="Hipercze"/>
                </w:rPr>
                <w:t>201</w:t>
              </w:r>
              <w:r w:rsidR="00BE01F2" w:rsidRPr="00486AAC">
                <w:rPr>
                  <w:rStyle w:val="Hipercze"/>
                </w:rPr>
                <w:t>7</w:t>
              </w:r>
              <w:r w:rsidR="00BE01F2">
                <w:rPr>
                  <w:rStyle w:val="Hipercze"/>
                </w:rPr>
                <w:noBreakHyphen/>
              </w:r>
              <w:r w:rsidRPr="00486AAC">
                <w:rPr>
                  <w:rStyle w:val="Hipercze"/>
                </w:rPr>
                <w:t>r</w:t>
              </w:r>
              <w:r w:rsidR="00BE01F2">
                <w:rPr>
                  <w:rStyle w:val="Hipercze"/>
                </w:rPr>
                <w:noBreakHyphen/>
                <w:t>,</w:t>
              </w:r>
              <w:r w:rsidRPr="00486AAC">
                <w:rPr>
                  <w:rStyle w:val="Hipercze"/>
                </w:rPr>
                <w:t>21,1.html</w:t>
              </w:r>
            </w:hyperlink>
            <w:r w:rsidR="004E6675">
              <w:rPr>
                <w:rStyle w:val="Hipercze"/>
              </w:rPr>
              <w:t xml:space="preserve"> )</w:t>
            </w:r>
          </w:p>
        </w:tc>
        <w:tc>
          <w:tcPr>
            <w:tcW w:w="1987" w:type="dxa"/>
            <w:gridSpan w:val="2"/>
            <w:tcBorders>
              <w:top w:val="single" w:sz="4" w:space="0" w:color="000000"/>
              <w:left w:val="single" w:sz="4" w:space="0" w:color="000000"/>
              <w:bottom w:val="single" w:sz="4" w:space="0" w:color="000000"/>
              <w:right w:val="single" w:sz="4" w:space="0" w:color="000000"/>
            </w:tcBorders>
            <w:shd w:val="clear" w:color="auto" w:fill="auto"/>
          </w:tcPr>
          <w:p w14:paraId="20DC992C" w14:textId="208593DE" w:rsidR="00486AAC" w:rsidRDefault="004448B5" w:rsidP="00486AAC">
            <w:r w:rsidRPr="00486AAC">
              <w:t>P</w:t>
            </w:r>
            <w:r w:rsidR="00486AAC" w:rsidRPr="00486AAC">
              <w:t>ośrednie</w:t>
            </w:r>
          </w:p>
          <w:p w14:paraId="5208A7F3" w14:textId="2F280CA1" w:rsidR="004448B5" w:rsidRDefault="00DF7F3F" w:rsidP="00486AAC">
            <w:r>
              <w:t xml:space="preserve">- </w:t>
            </w:r>
            <w:r w:rsidR="004448B5" w:rsidRPr="004448B5">
              <w:t xml:space="preserve">Możliwość rozwijania i tworzenia nowych modeli biznesowych w oparciu o </w:t>
            </w:r>
            <w:r w:rsidR="00E5442A">
              <w:t>udostępniane dane</w:t>
            </w:r>
          </w:p>
          <w:p w14:paraId="7FA69F05" w14:textId="251DD364" w:rsidR="00DF7F3F" w:rsidRPr="00486AAC" w:rsidRDefault="00DF7F3F" w:rsidP="00486AAC"/>
        </w:tc>
      </w:tr>
      <w:tr w:rsidR="00486AAC" w:rsidRPr="00486AAC" w14:paraId="00A8CA52" w14:textId="77777777" w:rsidTr="00836C1E">
        <w:trPr>
          <w:trHeight w:val="142"/>
        </w:trPr>
        <w:tc>
          <w:tcPr>
            <w:tcW w:w="2522" w:type="dxa"/>
            <w:shd w:val="clear" w:color="auto" w:fill="auto"/>
          </w:tcPr>
          <w:p w14:paraId="564C7960" w14:textId="77777777" w:rsidR="00486AAC" w:rsidRPr="00486AAC" w:rsidRDefault="00486AAC" w:rsidP="00486AAC">
            <w:r w:rsidRPr="00486AAC">
              <w:t>Organizacje pozarządowe</w:t>
            </w:r>
          </w:p>
        </w:tc>
        <w:tc>
          <w:tcPr>
            <w:tcW w:w="2723" w:type="dxa"/>
            <w:shd w:val="clear" w:color="auto" w:fill="auto"/>
          </w:tcPr>
          <w:p w14:paraId="534B362B" w14:textId="1CC731FC" w:rsidR="007E5EBD" w:rsidRDefault="007E5EBD" w:rsidP="00486AAC">
            <w:r w:rsidRPr="007E5EBD">
              <w:t>88,1 tys</w:t>
            </w:r>
          </w:p>
          <w:p w14:paraId="20D55DCD" w14:textId="06DBA892" w:rsidR="007E5EBD" w:rsidRDefault="006178B0" w:rsidP="007E5EBD">
            <w:r>
              <w:t>(d</w:t>
            </w:r>
            <w:r w:rsidR="007E5EBD" w:rsidRPr="007E5EBD">
              <w:t xml:space="preserve">ziałalność stowarzyszeń i podobnych organizacji społecznych, fundacji, społecznych podmiotów </w:t>
            </w:r>
            <w:r w:rsidR="007E5EBD" w:rsidRPr="007E5EBD">
              <w:lastRenderedPageBreak/>
              <w:t>wyznaniowych oraz samor</w:t>
            </w:r>
            <w:r>
              <w:t>ządu gospodarczego i zawodowego)</w:t>
            </w:r>
          </w:p>
          <w:p w14:paraId="4ED936E2" w14:textId="7F9D6A7F" w:rsidR="00486AAC" w:rsidRPr="00486AAC" w:rsidRDefault="00486AAC" w:rsidP="007E5EBD"/>
        </w:tc>
        <w:tc>
          <w:tcPr>
            <w:tcW w:w="3686" w:type="dxa"/>
            <w:gridSpan w:val="2"/>
            <w:shd w:val="clear" w:color="auto" w:fill="auto"/>
          </w:tcPr>
          <w:p w14:paraId="7E1B623A" w14:textId="2AF85947" w:rsidR="00486AAC" w:rsidRPr="00486AAC" w:rsidRDefault="006178B0" w:rsidP="007E5EBD">
            <w:r w:rsidRPr="006178B0">
              <w:lastRenderedPageBreak/>
              <w:t xml:space="preserve">Działalność stowarzyszeń i podobnych organizacji społecznych, fundacji, społecznych podmiotów wyznaniowych oraz samorządu gospodarczego i zawodowego w 2018 r. - wyniki </w:t>
            </w:r>
            <w:r w:rsidRPr="006178B0">
              <w:lastRenderedPageBreak/>
              <w:t>wstępne</w:t>
            </w:r>
            <w:r>
              <w:t xml:space="preserve">, </w:t>
            </w:r>
            <w:r w:rsidR="007E5EBD" w:rsidRPr="007E5EBD">
              <w:t>GUS</w:t>
            </w:r>
            <w:r w:rsidR="00D04810">
              <w:t xml:space="preserve">, 2018 r, </w:t>
            </w:r>
            <w:hyperlink r:id="rId17" w:history="1">
              <w:r w:rsidR="00494F8C" w:rsidRPr="00D2422C">
                <w:rPr>
                  <w:rStyle w:val="Hipercze"/>
                </w:rPr>
                <w:t>https://stat.gov.pl/obszary-tematyczne/gospodarka-spoleczna-wolontariat/gospodarka-spoleczna-trzeci-sektor/dzialalnosc-stowarzyszen-i-podobnych-organizacji-spolecznych-fundacji-spolecznych-podmiotow-wyznaniowych-oraz-samorzadu-gospodarczego-i-zawodowego-w-2018-r-wyniki-wstepne,3,8.html</w:t>
              </w:r>
            </w:hyperlink>
            <w:r w:rsidR="00494F8C">
              <w:t xml:space="preserve"> </w:t>
            </w:r>
          </w:p>
        </w:tc>
        <w:tc>
          <w:tcPr>
            <w:tcW w:w="1987" w:type="dxa"/>
            <w:gridSpan w:val="2"/>
            <w:shd w:val="clear" w:color="auto" w:fill="auto"/>
          </w:tcPr>
          <w:p w14:paraId="0A3EBE3E" w14:textId="57834BEF" w:rsidR="00486AAC" w:rsidRDefault="00DF7F3F" w:rsidP="00486AAC">
            <w:r w:rsidRPr="00486AAC">
              <w:lastRenderedPageBreak/>
              <w:t>P</w:t>
            </w:r>
            <w:r w:rsidR="00486AAC" w:rsidRPr="00486AAC">
              <w:t>ośrednie</w:t>
            </w:r>
          </w:p>
          <w:p w14:paraId="02F04E76" w14:textId="77777777" w:rsidR="00DF7F3F" w:rsidRDefault="00E5442A" w:rsidP="00486AAC">
            <w:r>
              <w:t xml:space="preserve">- </w:t>
            </w:r>
            <w:r w:rsidRPr="00E5442A">
              <w:t>Dostęp do szerszego niż dotychczas zakresu danych</w:t>
            </w:r>
          </w:p>
          <w:p w14:paraId="7B943B03" w14:textId="31F3DD44" w:rsidR="00E5442A" w:rsidRPr="00486AAC" w:rsidRDefault="00E5442A" w:rsidP="00486AAC">
            <w:r>
              <w:t xml:space="preserve">- możliwość </w:t>
            </w:r>
            <w:r w:rsidRPr="00E5442A">
              <w:lastRenderedPageBreak/>
              <w:t>udostępniania danych do ponownego wykorzystywania</w:t>
            </w:r>
          </w:p>
        </w:tc>
      </w:tr>
      <w:tr w:rsidR="00486AAC" w:rsidRPr="00486AAC" w14:paraId="0492CD97" w14:textId="77777777" w:rsidTr="00836C1E">
        <w:trPr>
          <w:trHeight w:val="142"/>
        </w:trPr>
        <w:tc>
          <w:tcPr>
            <w:tcW w:w="2522" w:type="dxa"/>
            <w:shd w:val="clear" w:color="auto" w:fill="auto"/>
          </w:tcPr>
          <w:p w14:paraId="66665260" w14:textId="1485C034" w:rsidR="00486AAC" w:rsidRPr="00486AAC" w:rsidRDefault="00F54DE3" w:rsidP="00486AAC">
            <w:r w:rsidRPr="00F54DE3">
              <w:lastRenderedPageBreak/>
              <w:t>Podmioty tworzące system szkolnictwa wyższego i nauki</w:t>
            </w:r>
            <w:r w:rsidRPr="00F54DE3" w:rsidDel="00F54DE3">
              <w:t xml:space="preserve"> </w:t>
            </w:r>
            <w:r w:rsidR="00486AAC" w:rsidRPr="00486AAC">
              <w:t>(podmioty wymienione</w:t>
            </w:r>
            <w:r w:rsidR="00BE01F2" w:rsidRPr="00486AAC">
              <w:t xml:space="preserve"> w</w:t>
            </w:r>
            <w:r w:rsidR="00BE01F2">
              <w:t> art. </w:t>
            </w:r>
            <w:r w:rsidR="00BE01F2" w:rsidRPr="00486AAC">
              <w:t>7</w:t>
            </w:r>
            <w:r w:rsidR="00BE01F2">
              <w:t xml:space="preserve"> ust. </w:t>
            </w:r>
            <w:r w:rsidR="00BE01F2" w:rsidRPr="00486AAC">
              <w:t>1</w:t>
            </w:r>
            <w:r w:rsidR="00BE01F2">
              <w:t> </w:t>
            </w:r>
            <w:r w:rsidR="00486AAC" w:rsidRPr="00486AAC">
              <w:t>ustawy z dnia 2</w:t>
            </w:r>
            <w:r w:rsidR="00BE01F2" w:rsidRPr="00486AAC">
              <w:t>0</w:t>
            </w:r>
            <w:r w:rsidR="00BE01F2">
              <w:t> </w:t>
            </w:r>
            <w:r w:rsidR="00486AAC" w:rsidRPr="00486AAC">
              <w:t>lipca 201</w:t>
            </w:r>
            <w:r w:rsidR="00BE01F2" w:rsidRPr="00486AAC">
              <w:t>8</w:t>
            </w:r>
            <w:r w:rsidR="00BE01F2">
              <w:t> </w:t>
            </w:r>
            <w:r w:rsidR="00486AAC" w:rsidRPr="00486AAC">
              <w:t>r. – Prawo</w:t>
            </w:r>
            <w:r w:rsidR="00BE01F2" w:rsidRPr="00486AAC">
              <w:t xml:space="preserve"> o</w:t>
            </w:r>
            <w:r w:rsidR="00BE01F2">
              <w:t> </w:t>
            </w:r>
            <w:r w:rsidR="00486AAC" w:rsidRPr="00486AAC">
              <w:t>szkolnictwie wyższym</w:t>
            </w:r>
            <w:r w:rsidR="00BE01F2" w:rsidRPr="00486AAC">
              <w:t xml:space="preserve"> i</w:t>
            </w:r>
            <w:r w:rsidR="00BE01F2">
              <w:t> </w:t>
            </w:r>
            <w:r w:rsidR="00486AAC" w:rsidRPr="00486AAC">
              <w:t>nauce)</w:t>
            </w:r>
          </w:p>
        </w:tc>
        <w:tc>
          <w:tcPr>
            <w:tcW w:w="2723" w:type="dxa"/>
            <w:shd w:val="clear" w:color="auto" w:fill="auto"/>
          </w:tcPr>
          <w:p w14:paraId="20F77389" w14:textId="0C212E57" w:rsidR="00486AAC" w:rsidRPr="00486AAC" w:rsidRDefault="00486AAC" w:rsidP="00486AAC">
            <w:r w:rsidRPr="00486AAC">
              <w:t>13</w:t>
            </w:r>
            <w:r w:rsidR="00BE01F2" w:rsidRPr="00486AAC">
              <w:t>0</w:t>
            </w:r>
            <w:r w:rsidR="00BE01F2">
              <w:t> </w:t>
            </w:r>
            <w:r w:rsidRPr="00486AAC">
              <w:t>uczelni publicznych (</w:t>
            </w:r>
            <w:r w:rsidR="007D0A60">
              <w:t>uczelnie akademickie -</w:t>
            </w:r>
            <w:r w:rsidR="007D0A60" w:rsidRPr="007D0A60">
              <w:t>96 uczelni</w:t>
            </w:r>
            <w:r w:rsidR="007D0A60">
              <w:t xml:space="preserve"> oraz zawodowe -34 uczelnie)</w:t>
            </w:r>
            <w:r w:rsidR="007702C0">
              <w:t xml:space="preserve">, </w:t>
            </w:r>
          </w:p>
          <w:p w14:paraId="48C6C6C2" w14:textId="64809041" w:rsidR="00486AAC" w:rsidRPr="00486AAC" w:rsidRDefault="00486AAC" w:rsidP="00486AAC">
            <w:r w:rsidRPr="00486AAC">
              <w:t>6</w:t>
            </w:r>
            <w:r w:rsidR="00BE01F2" w:rsidRPr="00486AAC">
              <w:t>5</w:t>
            </w:r>
            <w:r w:rsidR="00BE01F2">
              <w:t> </w:t>
            </w:r>
            <w:r w:rsidR="00F54DE3" w:rsidRPr="00F54DE3">
              <w:t>jednostek naukowych Polskiej Akademii Nauk</w:t>
            </w:r>
            <w:r w:rsidR="007702C0">
              <w:t>,</w:t>
            </w:r>
          </w:p>
          <w:p w14:paraId="0CC3E5DC" w14:textId="51621D4A" w:rsidR="00486AAC" w:rsidRPr="00486AAC" w:rsidRDefault="00486AAC" w:rsidP="00197B1B">
            <w:r w:rsidRPr="00486AAC">
              <w:t>ok. 11</w:t>
            </w:r>
            <w:r w:rsidR="00BE01F2" w:rsidRPr="00486AAC">
              <w:t>0</w:t>
            </w:r>
            <w:r w:rsidR="00BE01F2">
              <w:t> </w:t>
            </w:r>
            <w:r w:rsidRPr="00486AAC">
              <w:t>instytutów badawczych</w:t>
            </w:r>
            <w:r w:rsidR="006178B0">
              <w:t>,</w:t>
            </w:r>
            <w:r w:rsidRPr="00486AAC">
              <w:t xml:space="preserve"> 3</w:t>
            </w:r>
            <w:r w:rsidR="00BE01F2" w:rsidRPr="00486AAC">
              <w:t>8</w:t>
            </w:r>
            <w:r w:rsidR="00BE01F2">
              <w:t> </w:t>
            </w:r>
            <w:r w:rsidR="00197B1B" w:rsidRPr="00197B1B">
              <w:t>instytutów działających w ramach Sieci Badawczej Łukasiewicz</w:t>
            </w:r>
            <w:r w:rsidRPr="00486AAC">
              <w:t>.</w:t>
            </w:r>
          </w:p>
        </w:tc>
        <w:tc>
          <w:tcPr>
            <w:tcW w:w="3686" w:type="dxa"/>
            <w:gridSpan w:val="2"/>
            <w:shd w:val="clear" w:color="auto" w:fill="auto"/>
          </w:tcPr>
          <w:p w14:paraId="0F05000A" w14:textId="595DB0AB" w:rsidR="007D0A60" w:rsidRDefault="00486AAC" w:rsidP="00486AAC">
            <w:r w:rsidRPr="00486AAC">
              <w:t>Ministerstwo Nauki</w:t>
            </w:r>
            <w:r w:rsidR="00BE01F2" w:rsidRPr="00486AAC">
              <w:t xml:space="preserve"> i</w:t>
            </w:r>
            <w:r w:rsidR="00BE01F2">
              <w:t> </w:t>
            </w:r>
            <w:r w:rsidRPr="00486AAC">
              <w:t xml:space="preserve">Szkolnictwa Wyższego – Uczelnie publiczne </w:t>
            </w:r>
          </w:p>
          <w:p w14:paraId="5255D32E" w14:textId="4DDF3CD9" w:rsidR="00486AAC" w:rsidRPr="00486AAC" w:rsidRDefault="00B16A21" w:rsidP="00486AAC">
            <w:hyperlink r:id="rId18" w:history="1">
              <w:r w:rsidR="007D0A60" w:rsidRPr="007D0A60">
                <w:rPr>
                  <w:rStyle w:val="Hipercze"/>
                </w:rPr>
                <w:t>https://radon.nauka.gov.pl/dane/instytucje-systemu-szkolnictwa-wyzszego-i-nauki</w:t>
              </w:r>
            </w:hyperlink>
          </w:p>
          <w:p w14:paraId="419376A2" w14:textId="2384C8E4" w:rsidR="00486AAC" w:rsidRPr="00486AAC" w:rsidRDefault="00486AAC" w:rsidP="00486AAC">
            <w:r w:rsidRPr="00486AAC">
              <w:t>Biuletyn Informacyjny Rady Głównej Instytutów Badawczych,</w:t>
            </w:r>
            <w:r w:rsidR="00BE01F2">
              <w:t xml:space="preserve"> nr </w:t>
            </w:r>
            <w:r w:rsidR="00BE01F2" w:rsidRPr="00486AAC">
              <w:t>1</w:t>
            </w:r>
            <w:r w:rsidR="00BE01F2">
              <w:t> </w:t>
            </w:r>
            <w:r w:rsidRPr="00486AAC">
              <w:t>(104), kwiecień 201</w:t>
            </w:r>
            <w:r w:rsidR="00BE01F2" w:rsidRPr="00486AAC">
              <w:t>9</w:t>
            </w:r>
            <w:r w:rsidR="00BE01F2">
              <w:t> </w:t>
            </w:r>
            <w:r w:rsidRPr="00486AAC">
              <w:t xml:space="preserve">r., s. </w:t>
            </w:r>
            <w:r w:rsidR="00BE01F2" w:rsidRPr="00486AAC">
              <w:t>1</w:t>
            </w:r>
            <w:r w:rsidR="00BE01F2">
              <w:noBreakHyphen/>
            </w:r>
            <w:r w:rsidR="00BE01F2" w:rsidRPr="00486AAC">
              <w:t>2</w:t>
            </w:r>
            <w:r w:rsidR="00BE01F2">
              <w:t> </w:t>
            </w:r>
            <w:r w:rsidRPr="00486AAC">
              <w:t>(</w:t>
            </w:r>
            <w:hyperlink r:id="rId19" w:history="1">
              <w:r w:rsidRPr="00486AAC">
                <w:rPr>
                  <w:rStyle w:val="Hipercze"/>
                </w:rPr>
                <w:t>https://www.rgib.org.pl/images/dokumenty/biuletyn/biuletyn_1_2019.pdf</w:t>
              </w:r>
            </w:hyperlink>
            <w:r w:rsidRPr="00486AAC">
              <w:t>)</w:t>
            </w:r>
          </w:p>
          <w:p w14:paraId="513B0668" w14:textId="77777777" w:rsidR="00486AAC" w:rsidRPr="00486AAC" w:rsidRDefault="00486AAC" w:rsidP="00486AAC"/>
        </w:tc>
        <w:tc>
          <w:tcPr>
            <w:tcW w:w="1987" w:type="dxa"/>
            <w:gridSpan w:val="2"/>
            <w:shd w:val="clear" w:color="auto" w:fill="auto"/>
          </w:tcPr>
          <w:p w14:paraId="542B528F" w14:textId="1DFBA712" w:rsidR="00486AAC" w:rsidRDefault="00D72DE1" w:rsidP="00486AAC">
            <w:r>
              <w:t>P</w:t>
            </w:r>
            <w:r w:rsidR="00486AAC" w:rsidRPr="00486AAC">
              <w:t>ośrednie</w:t>
            </w:r>
          </w:p>
          <w:p w14:paraId="6071B0A7" w14:textId="26711AB7" w:rsidR="00DF7F3F" w:rsidRPr="00486AAC" w:rsidRDefault="00DF7F3F" w:rsidP="00D72DE1">
            <w:r w:rsidRPr="00DF7F3F">
              <w:t xml:space="preserve">- </w:t>
            </w:r>
            <w:r w:rsidR="00D72DE1">
              <w:t>możliwość</w:t>
            </w:r>
            <w:r w:rsidR="00D72DE1" w:rsidRPr="00DF7F3F">
              <w:t xml:space="preserve"> </w:t>
            </w:r>
            <w:r w:rsidRPr="00DF7F3F">
              <w:t>udostępniania posiadanych danych do ponownego wykorzystania</w:t>
            </w:r>
          </w:p>
        </w:tc>
      </w:tr>
      <w:tr w:rsidR="00486AAC" w:rsidRPr="00486AAC" w14:paraId="12F3BEFF" w14:textId="77777777" w:rsidTr="00836C1E">
        <w:trPr>
          <w:trHeight w:val="443"/>
        </w:trPr>
        <w:tc>
          <w:tcPr>
            <w:tcW w:w="2522" w:type="dxa"/>
            <w:shd w:val="clear" w:color="auto" w:fill="auto"/>
          </w:tcPr>
          <w:p w14:paraId="1F4E1B36" w14:textId="459E45EE" w:rsidR="00486AAC" w:rsidRPr="00486AAC" w:rsidRDefault="00486AAC" w:rsidP="00486AAC">
            <w:r w:rsidRPr="00486AAC">
              <w:t>Wszyscy zainteresowani</w:t>
            </w:r>
          </w:p>
        </w:tc>
        <w:tc>
          <w:tcPr>
            <w:tcW w:w="2723" w:type="dxa"/>
            <w:shd w:val="clear" w:color="auto" w:fill="auto"/>
          </w:tcPr>
          <w:p w14:paraId="1276A63C" w14:textId="77777777" w:rsidR="00486AAC" w:rsidRPr="00486AAC" w:rsidRDefault="00486AAC" w:rsidP="00486AAC">
            <w:r w:rsidRPr="00486AAC">
              <w:t>wszyscy zainteresowani</w:t>
            </w:r>
          </w:p>
        </w:tc>
        <w:tc>
          <w:tcPr>
            <w:tcW w:w="3686" w:type="dxa"/>
            <w:gridSpan w:val="2"/>
            <w:shd w:val="clear" w:color="auto" w:fill="auto"/>
          </w:tcPr>
          <w:p w14:paraId="6CD40770" w14:textId="77777777" w:rsidR="00486AAC" w:rsidRPr="00486AAC" w:rsidRDefault="00486AAC" w:rsidP="00486AAC"/>
        </w:tc>
        <w:tc>
          <w:tcPr>
            <w:tcW w:w="1987" w:type="dxa"/>
            <w:gridSpan w:val="2"/>
            <w:shd w:val="clear" w:color="auto" w:fill="auto"/>
          </w:tcPr>
          <w:p w14:paraId="448BDDFC" w14:textId="75AC824F" w:rsidR="00486AAC" w:rsidRDefault="00DF7F3F" w:rsidP="00486AAC">
            <w:r w:rsidRPr="00486AAC">
              <w:t>P</w:t>
            </w:r>
            <w:r w:rsidR="00486AAC" w:rsidRPr="00486AAC">
              <w:t>ośrednie</w:t>
            </w:r>
          </w:p>
          <w:p w14:paraId="1524C55C" w14:textId="4E439396" w:rsidR="00DF7F3F" w:rsidRDefault="00DF7F3F" w:rsidP="00DF7F3F">
            <w:r>
              <w:t xml:space="preserve">- </w:t>
            </w:r>
            <w:r w:rsidRPr="00DF7F3F">
              <w:t xml:space="preserve">Dostęp do szerszego niż dotychczas zakresu </w:t>
            </w:r>
            <w:r>
              <w:t>danych</w:t>
            </w:r>
          </w:p>
          <w:p w14:paraId="1D2E4402" w14:textId="01334A88" w:rsidR="00DF7F3F" w:rsidRPr="00486AAC" w:rsidRDefault="00DF7F3F" w:rsidP="00486AAC">
            <w:r>
              <w:t>- zwiększenie udziału obywateli w procesie ponownego wykorzystywania</w:t>
            </w:r>
          </w:p>
        </w:tc>
      </w:tr>
      <w:tr w:rsidR="00486AAC" w:rsidRPr="00486AAC" w14:paraId="4A2D9BBF" w14:textId="77777777" w:rsidTr="00836C1E">
        <w:trPr>
          <w:trHeight w:val="142"/>
        </w:trPr>
        <w:tc>
          <w:tcPr>
            <w:tcW w:w="2522" w:type="dxa"/>
            <w:shd w:val="clear" w:color="auto" w:fill="auto"/>
          </w:tcPr>
          <w:p w14:paraId="2BF2EDF1" w14:textId="120F01D8" w:rsidR="00486AAC" w:rsidRPr="00486AAC" w:rsidRDefault="00486AAC" w:rsidP="00486AAC">
            <w:r w:rsidRPr="00486AAC">
              <w:lastRenderedPageBreak/>
              <w:t>Przedsiębiorstwa publiczne działające</w:t>
            </w:r>
            <w:r w:rsidR="00BE01F2" w:rsidRPr="00486AAC">
              <w:t xml:space="preserve"> w</w:t>
            </w:r>
            <w:r w:rsidR="00BE01F2">
              <w:t> </w:t>
            </w:r>
            <w:r w:rsidRPr="00486AAC">
              <w:t>obszarze usług pocztowych</w:t>
            </w:r>
          </w:p>
        </w:tc>
        <w:tc>
          <w:tcPr>
            <w:tcW w:w="2723" w:type="dxa"/>
            <w:shd w:val="clear" w:color="auto" w:fill="auto"/>
          </w:tcPr>
          <w:p w14:paraId="219EFDF6" w14:textId="6A0B6AE3" w:rsidR="00486AAC" w:rsidRPr="00486AAC" w:rsidRDefault="00BE01F2" w:rsidP="00486AAC">
            <w:r w:rsidRPr="00486AAC">
              <w:t>1</w:t>
            </w:r>
            <w:r>
              <w:t> </w:t>
            </w:r>
            <w:r w:rsidR="00486AAC" w:rsidRPr="00486AAC">
              <w:t>operator pocztowy – Poczta Polska (ponadto na rynku działa 14</w:t>
            </w:r>
            <w:r w:rsidRPr="00486AAC">
              <w:t>5</w:t>
            </w:r>
            <w:r>
              <w:t> </w:t>
            </w:r>
            <w:r w:rsidR="00486AAC" w:rsidRPr="00486AAC">
              <w:t>operatorów, podmiotów niepublicznych: 5</w:t>
            </w:r>
            <w:r w:rsidRPr="00486AAC">
              <w:t>6</w:t>
            </w:r>
            <w:r>
              <w:t> </w:t>
            </w:r>
            <w:r w:rsidR="00486AAC" w:rsidRPr="00486AAC">
              <w:t>działa na obszarze lokalnym, 4</w:t>
            </w:r>
            <w:r w:rsidRPr="00486AAC">
              <w:t>5</w:t>
            </w:r>
            <w:r>
              <w:t> </w:t>
            </w:r>
            <w:r w:rsidR="00486AAC" w:rsidRPr="00486AAC">
              <w:t>– krajowym</w:t>
            </w:r>
            <w:r w:rsidRPr="00486AAC">
              <w:t xml:space="preserve"> i</w:t>
            </w:r>
            <w:r>
              <w:t> </w:t>
            </w:r>
            <w:r w:rsidR="00486AAC" w:rsidRPr="00486AAC">
              <w:t>zagranicznym, 3</w:t>
            </w:r>
            <w:r w:rsidRPr="00486AAC">
              <w:t>6</w:t>
            </w:r>
            <w:r>
              <w:t> </w:t>
            </w:r>
            <w:r w:rsidR="00486AAC" w:rsidRPr="00486AAC">
              <w:t xml:space="preserve">– krajowym, </w:t>
            </w:r>
            <w:r w:rsidRPr="00486AAC">
              <w:t>8</w:t>
            </w:r>
            <w:r>
              <w:t> </w:t>
            </w:r>
            <w:r w:rsidR="00486AAC" w:rsidRPr="00486AAC">
              <w:t>– zagranicznym)</w:t>
            </w:r>
          </w:p>
        </w:tc>
        <w:tc>
          <w:tcPr>
            <w:tcW w:w="3686" w:type="dxa"/>
            <w:gridSpan w:val="2"/>
            <w:shd w:val="clear" w:color="auto" w:fill="auto"/>
          </w:tcPr>
          <w:p w14:paraId="6B817DD0" w14:textId="38103060" w:rsidR="00486AAC" w:rsidRPr="00486AAC" w:rsidRDefault="00486AAC" w:rsidP="00486AAC">
            <w:r w:rsidRPr="00486AAC">
              <w:t>GUS</w:t>
            </w:r>
            <w:r w:rsidRPr="00AC40CD">
              <w:rPr>
                <w:rStyle w:val="IGindeksgrny"/>
              </w:rPr>
              <w:footnoteReference w:id="1"/>
            </w:r>
            <w:r w:rsidR="00AC40CD" w:rsidRPr="00AC40CD">
              <w:rPr>
                <w:rStyle w:val="IGindeksgrny"/>
              </w:rPr>
              <w:t>)</w:t>
            </w:r>
          </w:p>
        </w:tc>
        <w:tc>
          <w:tcPr>
            <w:tcW w:w="1987" w:type="dxa"/>
            <w:gridSpan w:val="2"/>
            <w:shd w:val="clear" w:color="auto" w:fill="auto"/>
          </w:tcPr>
          <w:p w14:paraId="30CDB0A3" w14:textId="7976A994" w:rsidR="00486AAC" w:rsidRDefault="00DF7F3F" w:rsidP="00486AAC">
            <w:r w:rsidRPr="00486AAC">
              <w:t>P</w:t>
            </w:r>
            <w:r w:rsidR="00486AAC" w:rsidRPr="00486AAC">
              <w:t>ośrednie</w:t>
            </w:r>
          </w:p>
          <w:p w14:paraId="61C47E49" w14:textId="7D3826B1" w:rsidR="00DF7F3F" w:rsidRPr="00486AAC" w:rsidRDefault="00DF7F3F" w:rsidP="00486AAC">
            <w:r w:rsidRPr="00DF7F3F">
              <w:t>- możliwość udostępniania danych do ponownego wykorzystywania</w:t>
            </w:r>
          </w:p>
        </w:tc>
      </w:tr>
      <w:tr w:rsidR="00486AAC" w:rsidRPr="00486AAC" w14:paraId="76CDE3F4" w14:textId="77777777" w:rsidTr="00836C1E">
        <w:trPr>
          <w:trHeight w:val="142"/>
        </w:trPr>
        <w:tc>
          <w:tcPr>
            <w:tcW w:w="2522" w:type="dxa"/>
            <w:shd w:val="clear" w:color="auto" w:fill="auto"/>
          </w:tcPr>
          <w:p w14:paraId="52BCD76F" w14:textId="77777777" w:rsidR="00486AAC" w:rsidRPr="00486AAC" w:rsidRDefault="00486AAC" w:rsidP="00486AAC">
            <w:r w:rsidRPr="00486AAC">
              <w:t>Przedsiębiorstwa publiczne działające w obszarze transportu lotniczego</w:t>
            </w:r>
          </w:p>
        </w:tc>
        <w:tc>
          <w:tcPr>
            <w:tcW w:w="2723" w:type="dxa"/>
            <w:shd w:val="clear" w:color="auto" w:fill="auto"/>
          </w:tcPr>
          <w:p w14:paraId="31A1B07D" w14:textId="77777777" w:rsidR="00486AAC" w:rsidRPr="00486AAC" w:rsidRDefault="00486AAC" w:rsidP="00486AAC">
            <w:r w:rsidRPr="00486AAC">
              <w:rPr>
                <w:lang w:val="en-US"/>
              </w:rPr>
              <w:t>1 przewoźnik – PLL LOT / PLL LOT Cargo</w:t>
            </w:r>
          </w:p>
        </w:tc>
        <w:tc>
          <w:tcPr>
            <w:tcW w:w="3686" w:type="dxa"/>
            <w:gridSpan w:val="2"/>
            <w:shd w:val="clear" w:color="auto" w:fill="auto"/>
          </w:tcPr>
          <w:p w14:paraId="22FC8C38" w14:textId="45462F3C" w:rsidR="00486AAC" w:rsidRPr="00486AAC" w:rsidRDefault="00486AAC" w:rsidP="00486AAC">
            <w:r w:rsidRPr="00486AAC">
              <w:t>GUS</w:t>
            </w:r>
            <w:r w:rsidRPr="00AC40CD">
              <w:rPr>
                <w:rStyle w:val="IGindeksgrny"/>
              </w:rPr>
              <w:footnoteReference w:id="2"/>
            </w:r>
            <w:r w:rsidR="00AC40CD" w:rsidRPr="00AC40CD">
              <w:rPr>
                <w:rStyle w:val="IGindeksgrny"/>
              </w:rPr>
              <w:t>)</w:t>
            </w:r>
          </w:p>
        </w:tc>
        <w:tc>
          <w:tcPr>
            <w:tcW w:w="1987" w:type="dxa"/>
            <w:gridSpan w:val="2"/>
            <w:shd w:val="clear" w:color="auto" w:fill="auto"/>
          </w:tcPr>
          <w:p w14:paraId="6E3144C5" w14:textId="64E1BE7D" w:rsidR="00486AAC" w:rsidRDefault="00DF7F3F" w:rsidP="00486AAC">
            <w:r w:rsidRPr="00486AAC">
              <w:t>P</w:t>
            </w:r>
            <w:r w:rsidR="00486AAC" w:rsidRPr="00486AAC">
              <w:t>ośrednie</w:t>
            </w:r>
          </w:p>
          <w:p w14:paraId="4D9C0DE5" w14:textId="4355BBEB" w:rsidR="00DF7F3F" w:rsidRPr="00486AAC" w:rsidRDefault="00DF7F3F" w:rsidP="00486AAC">
            <w:r>
              <w:t>- możliwość udostępniania danych do ponownego wykorzystywania</w:t>
            </w:r>
          </w:p>
        </w:tc>
      </w:tr>
      <w:tr w:rsidR="00486AAC" w:rsidRPr="00486AAC" w14:paraId="72E8E43D" w14:textId="77777777" w:rsidTr="00836C1E">
        <w:trPr>
          <w:trHeight w:val="142"/>
        </w:trPr>
        <w:tc>
          <w:tcPr>
            <w:tcW w:w="2522" w:type="dxa"/>
            <w:shd w:val="clear" w:color="auto" w:fill="auto"/>
          </w:tcPr>
          <w:p w14:paraId="53AEF8B5" w14:textId="77777777" w:rsidR="00486AAC" w:rsidRPr="00486AAC" w:rsidRDefault="00486AAC" w:rsidP="00486AAC">
            <w:r w:rsidRPr="00486AAC">
              <w:t>Przedsiębiorstwa publiczne działające w obszarze transportu wodnego – morskiego i śródlądowego</w:t>
            </w:r>
          </w:p>
        </w:tc>
        <w:tc>
          <w:tcPr>
            <w:tcW w:w="2723" w:type="dxa"/>
            <w:shd w:val="clear" w:color="auto" w:fill="auto"/>
          </w:tcPr>
          <w:p w14:paraId="7A881556" w14:textId="5B912889" w:rsidR="00486AAC" w:rsidRPr="00486AAC" w:rsidRDefault="00486AAC" w:rsidP="00486AAC">
            <w:r w:rsidRPr="00486AAC">
              <w:t xml:space="preserve">6 (oraz spółki nadzorowane przez MGMiŻŚ – 20, z czego </w:t>
            </w:r>
            <w:r w:rsidR="00BE01F2" w:rsidRPr="00486AAC">
              <w:t>2</w:t>
            </w:r>
            <w:r w:rsidR="00BE01F2">
              <w:t xml:space="preserve"> w </w:t>
            </w:r>
            <w:r w:rsidRPr="00486AAC">
              <w:t>likwidacji)</w:t>
            </w:r>
          </w:p>
        </w:tc>
        <w:tc>
          <w:tcPr>
            <w:tcW w:w="3686" w:type="dxa"/>
            <w:gridSpan w:val="2"/>
            <w:shd w:val="clear" w:color="auto" w:fill="auto"/>
          </w:tcPr>
          <w:p w14:paraId="51A77F6C" w14:textId="1FE3F702" w:rsidR="00486AAC" w:rsidRPr="00486AAC" w:rsidRDefault="00486AAC" w:rsidP="00486AAC">
            <w:r w:rsidRPr="00486AAC">
              <w:t>GUS</w:t>
            </w:r>
            <w:r w:rsidRPr="00AC40CD">
              <w:rPr>
                <w:rStyle w:val="IGindeksgrny"/>
              </w:rPr>
              <w:footnoteReference w:id="3"/>
            </w:r>
            <w:r w:rsidR="00AC40CD" w:rsidRPr="00AC40CD">
              <w:rPr>
                <w:rStyle w:val="IGindeksgrny"/>
              </w:rPr>
              <w:t>)</w:t>
            </w:r>
          </w:p>
          <w:p w14:paraId="21D043C1" w14:textId="72E9821F" w:rsidR="00486AAC" w:rsidRPr="00486AAC" w:rsidRDefault="00486AAC" w:rsidP="00486AAC">
            <w:r w:rsidRPr="00486AAC">
              <w:t>MGMiŻŚ</w:t>
            </w:r>
            <w:r w:rsidRPr="00AC40CD">
              <w:rPr>
                <w:rStyle w:val="IGindeksgrny"/>
              </w:rPr>
              <w:footnoteReference w:id="4"/>
            </w:r>
            <w:r w:rsidR="00AC40CD" w:rsidRPr="00AC40CD">
              <w:rPr>
                <w:rStyle w:val="IGindeksgrny"/>
              </w:rPr>
              <w:t>)</w:t>
            </w:r>
          </w:p>
        </w:tc>
        <w:tc>
          <w:tcPr>
            <w:tcW w:w="1987" w:type="dxa"/>
            <w:gridSpan w:val="2"/>
            <w:shd w:val="clear" w:color="auto" w:fill="auto"/>
          </w:tcPr>
          <w:p w14:paraId="4B16FF89" w14:textId="1BDBDC42" w:rsidR="00486AAC" w:rsidRDefault="00DF7F3F" w:rsidP="00486AAC">
            <w:r w:rsidRPr="00486AAC">
              <w:t>P</w:t>
            </w:r>
            <w:r w:rsidR="00486AAC" w:rsidRPr="00486AAC">
              <w:t>ośrednie</w:t>
            </w:r>
          </w:p>
          <w:p w14:paraId="4DC3FDB5" w14:textId="5C9D9AD4" w:rsidR="00DF7F3F" w:rsidRPr="00486AAC" w:rsidRDefault="00DF7F3F" w:rsidP="00486AAC">
            <w:r>
              <w:t>- możliwość udostępniania danych do ponownego wykorzystywania</w:t>
            </w:r>
          </w:p>
        </w:tc>
      </w:tr>
      <w:tr w:rsidR="00486AAC" w:rsidRPr="00486AAC" w14:paraId="07C0656E" w14:textId="77777777" w:rsidTr="00836C1E">
        <w:trPr>
          <w:trHeight w:val="142"/>
        </w:trPr>
        <w:tc>
          <w:tcPr>
            <w:tcW w:w="2522" w:type="dxa"/>
            <w:shd w:val="clear" w:color="auto" w:fill="auto"/>
          </w:tcPr>
          <w:p w14:paraId="6B88F00B" w14:textId="77777777" w:rsidR="00486AAC" w:rsidRPr="00486AAC" w:rsidRDefault="00486AAC" w:rsidP="00486AAC">
            <w:r w:rsidRPr="00486AAC">
              <w:t xml:space="preserve">Przedsiębiorstwa publiczne działające w obszarze transportu kolejowego – </w:t>
            </w:r>
            <w:r w:rsidRPr="00486AAC">
              <w:lastRenderedPageBreak/>
              <w:t>pasażerskiego</w:t>
            </w:r>
          </w:p>
        </w:tc>
        <w:tc>
          <w:tcPr>
            <w:tcW w:w="2723" w:type="dxa"/>
            <w:shd w:val="clear" w:color="auto" w:fill="auto"/>
          </w:tcPr>
          <w:p w14:paraId="7F6DC7CF" w14:textId="77777777" w:rsidR="00486AAC" w:rsidRPr="00486AAC" w:rsidRDefault="00486AAC" w:rsidP="00486AAC">
            <w:r w:rsidRPr="00486AAC">
              <w:lastRenderedPageBreak/>
              <w:t xml:space="preserve">Przewozy pasażerskie realizowane są przez 12 operatorów, którzy mają zawarte umowy </w:t>
            </w:r>
            <w:r w:rsidRPr="00486AAC">
              <w:lastRenderedPageBreak/>
              <w:t>o świadczenie usług publicznych z: ministrem właściwym ds. transportu, marszałkami województw i Prezydentem m.st. Warszawy.</w:t>
            </w:r>
          </w:p>
        </w:tc>
        <w:tc>
          <w:tcPr>
            <w:tcW w:w="3686" w:type="dxa"/>
            <w:gridSpan w:val="2"/>
            <w:shd w:val="clear" w:color="auto" w:fill="auto"/>
          </w:tcPr>
          <w:p w14:paraId="31974D1B" w14:textId="0331CFF5" w:rsidR="00486AAC" w:rsidRPr="00486AAC" w:rsidRDefault="00486AAC" w:rsidP="00486AAC">
            <w:r w:rsidRPr="00486AAC">
              <w:lastRenderedPageBreak/>
              <w:t>UTK</w:t>
            </w:r>
            <w:r w:rsidRPr="00AC40CD">
              <w:rPr>
                <w:rStyle w:val="IGindeksgrny"/>
              </w:rPr>
              <w:footnoteReference w:id="5"/>
            </w:r>
            <w:r w:rsidR="00AC40CD" w:rsidRPr="00AC40CD">
              <w:rPr>
                <w:rStyle w:val="IGindeksgrny"/>
              </w:rPr>
              <w:t>)</w:t>
            </w:r>
          </w:p>
        </w:tc>
        <w:tc>
          <w:tcPr>
            <w:tcW w:w="1987" w:type="dxa"/>
            <w:gridSpan w:val="2"/>
            <w:shd w:val="clear" w:color="auto" w:fill="auto"/>
          </w:tcPr>
          <w:p w14:paraId="2549A277" w14:textId="01912C22" w:rsidR="00486AAC" w:rsidRDefault="00DF7F3F" w:rsidP="00486AAC">
            <w:r w:rsidRPr="00486AAC">
              <w:t>P</w:t>
            </w:r>
            <w:r w:rsidR="00486AAC" w:rsidRPr="00486AAC">
              <w:t>ośrednie</w:t>
            </w:r>
          </w:p>
          <w:p w14:paraId="1475D6DC" w14:textId="3956C787" w:rsidR="00DF7F3F" w:rsidRPr="00486AAC" w:rsidRDefault="00DF7F3F" w:rsidP="00486AAC">
            <w:r>
              <w:t xml:space="preserve">- możliwość udostępniania danych do </w:t>
            </w:r>
            <w:r>
              <w:lastRenderedPageBreak/>
              <w:t>ponownego wykorzystywania</w:t>
            </w:r>
          </w:p>
        </w:tc>
      </w:tr>
      <w:tr w:rsidR="00486AAC" w:rsidRPr="00486AAC" w14:paraId="640C9664" w14:textId="77777777" w:rsidTr="00836C1E">
        <w:trPr>
          <w:trHeight w:val="142"/>
        </w:trPr>
        <w:tc>
          <w:tcPr>
            <w:tcW w:w="2522" w:type="dxa"/>
            <w:shd w:val="clear" w:color="auto" w:fill="auto"/>
          </w:tcPr>
          <w:p w14:paraId="7AFFE694" w14:textId="77777777" w:rsidR="00486AAC" w:rsidRPr="00486AAC" w:rsidRDefault="00486AAC" w:rsidP="00486AAC">
            <w:r w:rsidRPr="00486AAC">
              <w:lastRenderedPageBreak/>
              <w:t>Porty lotnicze</w:t>
            </w:r>
          </w:p>
        </w:tc>
        <w:tc>
          <w:tcPr>
            <w:tcW w:w="2723" w:type="dxa"/>
            <w:shd w:val="clear" w:color="auto" w:fill="auto"/>
          </w:tcPr>
          <w:p w14:paraId="463DAFC1" w14:textId="77777777" w:rsidR="00486AAC" w:rsidRPr="00486AAC" w:rsidRDefault="00486AAC" w:rsidP="00486AAC">
            <w:r w:rsidRPr="00486AAC">
              <w:t>14 (w przyszłym roku liczba ta wzrośnie do 15 – w czwartym kwartale 2020 roku ma zakończyć się budowa terminala Radom – Sadków) </w:t>
            </w:r>
          </w:p>
        </w:tc>
        <w:tc>
          <w:tcPr>
            <w:tcW w:w="3686" w:type="dxa"/>
            <w:gridSpan w:val="2"/>
            <w:shd w:val="clear" w:color="auto" w:fill="auto"/>
          </w:tcPr>
          <w:p w14:paraId="478C5FD8" w14:textId="2903A4AD" w:rsidR="00486AAC" w:rsidRPr="00486AAC" w:rsidRDefault="00486AAC" w:rsidP="00486AAC">
            <w:r w:rsidRPr="00486AAC">
              <w:t>ULC</w:t>
            </w:r>
            <w:r w:rsidRPr="00AC40CD">
              <w:rPr>
                <w:rStyle w:val="IGindeksgrny"/>
              </w:rPr>
              <w:footnoteReference w:id="6"/>
            </w:r>
            <w:r w:rsidR="00AC40CD" w:rsidRPr="00AC40CD">
              <w:rPr>
                <w:rStyle w:val="IGindeksgrny"/>
              </w:rPr>
              <w:t>)</w:t>
            </w:r>
          </w:p>
        </w:tc>
        <w:tc>
          <w:tcPr>
            <w:tcW w:w="1987" w:type="dxa"/>
            <w:gridSpan w:val="2"/>
            <w:shd w:val="clear" w:color="auto" w:fill="auto"/>
          </w:tcPr>
          <w:p w14:paraId="51316235" w14:textId="593F4E24" w:rsidR="00486AAC" w:rsidRDefault="00DF7F3F" w:rsidP="00486AAC">
            <w:r w:rsidRPr="00486AAC">
              <w:t>P</w:t>
            </w:r>
            <w:r w:rsidR="00486AAC" w:rsidRPr="00486AAC">
              <w:t>ośrednie</w:t>
            </w:r>
          </w:p>
          <w:p w14:paraId="6F45CE69" w14:textId="64D116A7" w:rsidR="00DF7F3F" w:rsidRPr="00486AAC" w:rsidRDefault="00DF7F3F" w:rsidP="00486AAC">
            <w:r w:rsidRPr="00DF7F3F">
              <w:t>- możliwość udostępniania danych do ponownego wykorzystywania</w:t>
            </w:r>
          </w:p>
        </w:tc>
      </w:tr>
      <w:tr w:rsidR="00486AAC" w:rsidRPr="00486AAC" w14:paraId="1629C1B8" w14:textId="77777777" w:rsidTr="00836C1E">
        <w:trPr>
          <w:trHeight w:val="301"/>
        </w:trPr>
        <w:tc>
          <w:tcPr>
            <w:tcW w:w="2522" w:type="dxa"/>
            <w:shd w:val="clear" w:color="auto" w:fill="auto"/>
          </w:tcPr>
          <w:p w14:paraId="51F26B18" w14:textId="77777777" w:rsidR="00486AAC" w:rsidRPr="00486AAC" w:rsidRDefault="00486AAC" w:rsidP="00486AAC">
            <w:r w:rsidRPr="00486AAC">
              <w:t>Porty morskie</w:t>
            </w:r>
          </w:p>
        </w:tc>
        <w:tc>
          <w:tcPr>
            <w:tcW w:w="2723" w:type="dxa"/>
            <w:shd w:val="clear" w:color="auto" w:fill="auto"/>
          </w:tcPr>
          <w:p w14:paraId="5C035FB8" w14:textId="77777777" w:rsidR="00486AAC" w:rsidRPr="00486AAC" w:rsidRDefault="00486AAC" w:rsidP="00486AAC">
            <w:r w:rsidRPr="00486AAC">
              <w:t>4 (Gdańsk, Gdynia, Szczecin, Świnoujście)</w:t>
            </w:r>
          </w:p>
        </w:tc>
        <w:tc>
          <w:tcPr>
            <w:tcW w:w="3686" w:type="dxa"/>
            <w:gridSpan w:val="2"/>
            <w:shd w:val="clear" w:color="auto" w:fill="auto"/>
          </w:tcPr>
          <w:p w14:paraId="087BF42F" w14:textId="2E4D0A29" w:rsidR="00486AAC" w:rsidRPr="00486AAC" w:rsidRDefault="00486AAC" w:rsidP="00486AAC">
            <w:r w:rsidRPr="00486AAC">
              <w:t>MGMiŻŚ</w:t>
            </w:r>
            <w:r w:rsidRPr="00AC40CD">
              <w:rPr>
                <w:rStyle w:val="IGindeksgrny"/>
              </w:rPr>
              <w:footnoteReference w:id="7"/>
            </w:r>
            <w:r w:rsidR="00AC40CD" w:rsidRPr="00AC40CD">
              <w:rPr>
                <w:rStyle w:val="IGindeksgrny"/>
              </w:rPr>
              <w:t>)</w:t>
            </w:r>
          </w:p>
        </w:tc>
        <w:tc>
          <w:tcPr>
            <w:tcW w:w="1987" w:type="dxa"/>
            <w:gridSpan w:val="2"/>
            <w:shd w:val="clear" w:color="auto" w:fill="auto"/>
          </w:tcPr>
          <w:p w14:paraId="445EF49C" w14:textId="2EB940B1" w:rsidR="00486AAC" w:rsidRDefault="00DF7F3F" w:rsidP="00486AAC">
            <w:r w:rsidRPr="00486AAC">
              <w:t>P</w:t>
            </w:r>
            <w:r w:rsidR="00486AAC" w:rsidRPr="00486AAC">
              <w:t>ośrednie</w:t>
            </w:r>
          </w:p>
          <w:p w14:paraId="1653567D" w14:textId="29F0DAF9" w:rsidR="00DF7F3F" w:rsidRPr="00486AAC" w:rsidRDefault="00DF7F3F" w:rsidP="00486AAC">
            <w:r w:rsidRPr="00DF7F3F">
              <w:t>- możliwość udostępniania danych do ponownego wykorzystywania</w:t>
            </w:r>
          </w:p>
        </w:tc>
      </w:tr>
      <w:tr w:rsidR="00486AAC" w:rsidRPr="00486AAC" w14:paraId="413E5F26" w14:textId="77777777" w:rsidTr="00836C1E">
        <w:trPr>
          <w:trHeight w:val="752"/>
        </w:trPr>
        <w:tc>
          <w:tcPr>
            <w:tcW w:w="2522" w:type="dxa"/>
            <w:tcBorders>
              <w:top w:val="single" w:sz="4" w:space="0" w:color="auto"/>
              <w:left w:val="single" w:sz="4" w:space="0" w:color="auto"/>
              <w:bottom w:val="single" w:sz="4" w:space="0" w:color="auto"/>
              <w:right w:val="single" w:sz="4" w:space="0" w:color="auto"/>
            </w:tcBorders>
            <w:shd w:val="clear" w:color="auto" w:fill="auto"/>
          </w:tcPr>
          <w:p w14:paraId="5AF96E2F" w14:textId="77777777" w:rsidR="00486AAC" w:rsidRPr="00486AAC" w:rsidRDefault="00486AAC" w:rsidP="00486AAC">
            <w:r w:rsidRPr="00486AAC">
              <w:t>Przedsiębiorstwa publiczne działające w obszarze górnictwa i wydobycia</w:t>
            </w:r>
          </w:p>
        </w:tc>
        <w:tc>
          <w:tcPr>
            <w:tcW w:w="2723" w:type="dxa"/>
            <w:tcBorders>
              <w:top w:val="single" w:sz="4" w:space="0" w:color="auto"/>
              <w:left w:val="single" w:sz="4" w:space="0" w:color="auto"/>
              <w:bottom w:val="single" w:sz="4" w:space="0" w:color="auto"/>
              <w:right w:val="single" w:sz="4" w:space="0" w:color="auto"/>
            </w:tcBorders>
            <w:shd w:val="clear" w:color="auto" w:fill="auto"/>
          </w:tcPr>
          <w:p w14:paraId="2E04DFB6" w14:textId="77777777" w:rsidR="00486AAC" w:rsidRPr="00486AAC" w:rsidRDefault="00486AAC" w:rsidP="00486AAC">
            <w:r w:rsidRPr="00486AAC">
              <w:t>33</w:t>
            </w:r>
          </w:p>
        </w:tc>
        <w:tc>
          <w:tcPr>
            <w:tcW w:w="3686" w:type="dxa"/>
            <w:gridSpan w:val="2"/>
            <w:tcBorders>
              <w:top w:val="single" w:sz="4" w:space="0" w:color="auto"/>
              <w:left w:val="single" w:sz="4" w:space="0" w:color="auto"/>
              <w:bottom w:val="single" w:sz="4" w:space="0" w:color="auto"/>
              <w:right w:val="single" w:sz="4" w:space="0" w:color="auto"/>
            </w:tcBorders>
            <w:shd w:val="clear" w:color="auto" w:fill="auto"/>
          </w:tcPr>
          <w:p w14:paraId="0C070C68" w14:textId="5C8B91AC" w:rsidR="00486AAC" w:rsidRPr="00486AAC" w:rsidRDefault="00486AAC" w:rsidP="00486AAC">
            <w:r w:rsidRPr="00486AAC">
              <w:t>GUS</w:t>
            </w:r>
            <w:r w:rsidRPr="00AC40CD">
              <w:rPr>
                <w:rStyle w:val="IGindeksgrny"/>
              </w:rPr>
              <w:footnoteReference w:id="8"/>
            </w:r>
            <w:r w:rsidR="00AC40CD" w:rsidRPr="00AC40CD">
              <w:rPr>
                <w:rStyle w:val="IGindeksgrny"/>
              </w:rPr>
              <w:t>)</w:t>
            </w:r>
          </w:p>
        </w:tc>
        <w:tc>
          <w:tcPr>
            <w:tcW w:w="1987" w:type="dxa"/>
            <w:gridSpan w:val="2"/>
            <w:tcBorders>
              <w:top w:val="single" w:sz="4" w:space="0" w:color="auto"/>
              <w:left w:val="single" w:sz="4" w:space="0" w:color="auto"/>
              <w:bottom w:val="single" w:sz="4" w:space="0" w:color="auto"/>
              <w:right w:val="single" w:sz="4" w:space="0" w:color="auto"/>
            </w:tcBorders>
            <w:shd w:val="clear" w:color="auto" w:fill="auto"/>
          </w:tcPr>
          <w:p w14:paraId="180D41B3" w14:textId="0285495D" w:rsidR="00486AAC" w:rsidRDefault="00DF7F3F" w:rsidP="00486AAC">
            <w:r w:rsidRPr="00486AAC">
              <w:t>P</w:t>
            </w:r>
            <w:r w:rsidR="00486AAC" w:rsidRPr="00486AAC">
              <w:t>ośrednie</w:t>
            </w:r>
          </w:p>
          <w:p w14:paraId="0573A99B" w14:textId="004AF8FB" w:rsidR="00DF7F3F" w:rsidRPr="00486AAC" w:rsidRDefault="00DF7F3F" w:rsidP="00486AAC">
            <w:r w:rsidRPr="00DF7F3F">
              <w:t>- możliwość udostępniania danych do ponownego wykorzystywania</w:t>
            </w:r>
          </w:p>
        </w:tc>
      </w:tr>
      <w:tr w:rsidR="00486AAC" w:rsidRPr="00486AAC" w14:paraId="006154A7" w14:textId="77777777" w:rsidTr="00836C1E">
        <w:trPr>
          <w:trHeight w:val="142"/>
        </w:trPr>
        <w:tc>
          <w:tcPr>
            <w:tcW w:w="2522" w:type="dxa"/>
            <w:shd w:val="clear" w:color="auto" w:fill="auto"/>
          </w:tcPr>
          <w:p w14:paraId="10D5055B" w14:textId="77777777" w:rsidR="00486AAC" w:rsidRPr="00486AAC" w:rsidRDefault="00486AAC" w:rsidP="00486AAC">
            <w:r w:rsidRPr="00486AAC">
              <w:t xml:space="preserve">Przedsiębiorstwa publiczne działające </w:t>
            </w:r>
            <w:r w:rsidRPr="00486AAC">
              <w:lastRenderedPageBreak/>
              <w:t>w obszarze produkcji i dostaw gazu, energii cieplnej, energii elektrycznej</w:t>
            </w:r>
          </w:p>
        </w:tc>
        <w:tc>
          <w:tcPr>
            <w:tcW w:w="2723" w:type="dxa"/>
            <w:shd w:val="clear" w:color="auto" w:fill="auto"/>
          </w:tcPr>
          <w:p w14:paraId="573B31A6" w14:textId="77777777" w:rsidR="00486AAC" w:rsidRPr="00486AAC" w:rsidRDefault="00486AAC" w:rsidP="00486AAC">
            <w:r w:rsidRPr="00486AAC">
              <w:lastRenderedPageBreak/>
              <w:t>343</w:t>
            </w:r>
          </w:p>
        </w:tc>
        <w:tc>
          <w:tcPr>
            <w:tcW w:w="3686" w:type="dxa"/>
            <w:gridSpan w:val="2"/>
            <w:shd w:val="clear" w:color="auto" w:fill="auto"/>
          </w:tcPr>
          <w:p w14:paraId="14EC92FC" w14:textId="716057F6" w:rsidR="00486AAC" w:rsidRPr="00486AAC" w:rsidRDefault="00486AAC" w:rsidP="00486AAC">
            <w:r w:rsidRPr="00486AAC">
              <w:t>GUS</w:t>
            </w:r>
            <w:r w:rsidRPr="00AC40CD">
              <w:rPr>
                <w:rStyle w:val="IGindeksgrny"/>
              </w:rPr>
              <w:footnoteReference w:id="9"/>
            </w:r>
            <w:r w:rsidR="00AC40CD" w:rsidRPr="00AC40CD">
              <w:rPr>
                <w:rStyle w:val="IGindeksgrny"/>
              </w:rPr>
              <w:t>)</w:t>
            </w:r>
          </w:p>
        </w:tc>
        <w:tc>
          <w:tcPr>
            <w:tcW w:w="1987" w:type="dxa"/>
            <w:gridSpan w:val="2"/>
            <w:shd w:val="clear" w:color="auto" w:fill="auto"/>
          </w:tcPr>
          <w:p w14:paraId="573E6403" w14:textId="1722E7BC" w:rsidR="00486AAC" w:rsidRDefault="00DF7F3F" w:rsidP="00486AAC">
            <w:r w:rsidRPr="00486AAC">
              <w:t>P</w:t>
            </w:r>
            <w:r w:rsidR="00486AAC" w:rsidRPr="00486AAC">
              <w:t>ośrednie</w:t>
            </w:r>
          </w:p>
          <w:p w14:paraId="52CF93AE" w14:textId="2075BE29" w:rsidR="00DF7F3F" w:rsidRPr="00486AAC" w:rsidRDefault="00DF7F3F" w:rsidP="00486AAC">
            <w:r w:rsidRPr="00DF7F3F">
              <w:t xml:space="preserve">- możliwość </w:t>
            </w:r>
            <w:r w:rsidRPr="00DF7F3F">
              <w:lastRenderedPageBreak/>
              <w:t>udostępniania danych do ponownego wykorzystywania</w:t>
            </w:r>
          </w:p>
        </w:tc>
      </w:tr>
      <w:tr w:rsidR="00486AAC" w:rsidRPr="00486AAC" w14:paraId="1707D34D" w14:textId="77777777" w:rsidTr="00836C1E">
        <w:trPr>
          <w:trHeight w:val="142"/>
        </w:trPr>
        <w:tc>
          <w:tcPr>
            <w:tcW w:w="2522" w:type="dxa"/>
            <w:shd w:val="clear" w:color="auto" w:fill="auto"/>
          </w:tcPr>
          <w:p w14:paraId="30F9475C" w14:textId="77777777" w:rsidR="00486AAC" w:rsidRPr="00486AAC" w:rsidRDefault="00486AAC" w:rsidP="00486AAC">
            <w:r w:rsidRPr="00486AAC">
              <w:lastRenderedPageBreak/>
              <w:t>Przedsiębiorstwa publiczne działające w obszarze poboru, uzdatniania i dostarczania wody</w:t>
            </w:r>
          </w:p>
        </w:tc>
        <w:tc>
          <w:tcPr>
            <w:tcW w:w="2723" w:type="dxa"/>
            <w:shd w:val="clear" w:color="auto" w:fill="auto"/>
          </w:tcPr>
          <w:p w14:paraId="66337335" w14:textId="77777777" w:rsidR="00486AAC" w:rsidRPr="00486AAC" w:rsidRDefault="00486AAC" w:rsidP="00486AAC">
            <w:r w:rsidRPr="00486AAC">
              <w:t>1130</w:t>
            </w:r>
          </w:p>
        </w:tc>
        <w:tc>
          <w:tcPr>
            <w:tcW w:w="3686" w:type="dxa"/>
            <w:gridSpan w:val="2"/>
            <w:shd w:val="clear" w:color="auto" w:fill="auto"/>
          </w:tcPr>
          <w:p w14:paraId="5ED797DC" w14:textId="181B6876" w:rsidR="00486AAC" w:rsidRPr="00486AAC" w:rsidRDefault="00486AAC" w:rsidP="00486AAC">
            <w:r w:rsidRPr="00486AAC">
              <w:t>GUS</w:t>
            </w:r>
            <w:r w:rsidRPr="00AC40CD">
              <w:rPr>
                <w:rStyle w:val="IGindeksgrny"/>
              </w:rPr>
              <w:footnoteReference w:id="10"/>
            </w:r>
            <w:r w:rsidR="00AC40CD" w:rsidRPr="00AC40CD">
              <w:rPr>
                <w:rStyle w:val="IGindeksgrny"/>
              </w:rPr>
              <w:t>)</w:t>
            </w:r>
          </w:p>
        </w:tc>
        <w:tc>
          <w:tcPr>
            <w:tcW w:w="1987" w:type="dxa"/>
            <w:gridSpan w:val="2"/>
            <w:shd w:val="clear" w:color="auto" w:fill="auto"/>
          </w:tcPr>
          <w:p w14:paraId="600CEFC1" w14:textId="73CC3F18" w:rsidR="00486AAC" w:rsidRDefault="00DF7F3F" w:rsidP="00486AAC">
            <w:r w:rsidRPr="00486AAC">
              <w:t>P</w:t>
            </w:r>
            <w:r w:rsidR="00486AAC" w:rsidRPr="00486AAC">
              <w:t>ośrednie</w:t>
            </w:r>
          </w:p>
          <w:p w14:paraId="0FE9CA70" w14:textId="7F7A0635" w:rsidR="00DF7F3F" w:rsidRPr="00486AAC" w:rsidRDefault="00DF7F3F" w:rsidP="00486AAC">
            <w:r w:rsidRPr="00DF7F3F">
              <w:t>- możliwość udostępniania danych do ponownego wykorzystywania</w:t>
            </w:r>
          </w:p>
        </w:tc>
      </w:tr>
      <w:tr w:rsidR="00486AAC" w:rsidRPr="00486AAC" w14:paraId="1F6B9475" w14:textId="77777777" w:rsidTr="00836C1E">
        <w:trPr>
          <w:trHeight w:val="142"/>
        </w:trPr>
        <w:tc>
          <w:tcPr>
            <w:tcW w:w="2522" w:type="dxa"/>
            <w:shd w:val="clear" w:color="auto" w:fill="auto"/>
          </w:tcPr>
          <w:p w14:paraId="2241F5AF" w14:textId="77777777" w:rsidR="00486AAC" w:rsidRPr="00486AAC" w:rsidRDefault="00486AAC" w:rsidP="00486AAC">
            <w:r w:rsidRPr="00486AAC">
              <w:t>Przedsiębiorstwa publiczne działające w obszarze odprowadzania i oczyszczania ścieków</w:t>
            </w:r>
          </w:p>
        </w:tc>
        <w:tc>
          <w:tcPr>
            <w:tcW w:w="2723" w:type="dxa"/>
            <w:shd w:val="clear" w:color="auto" w:fill="auto"/>
          </w:tcPr>
          <w:p w14:paraId="577B03B4" w14:textId="77777777" w:rsidR="00486AAC" w:rsidRPr="00486AAC" w:rsidRDefault="00486AAC" w:rsidP="00486AAC">
            <w:r w:rsidRPr="00486AAC">
              <w:t>285</w:t>
            </w:r>
          </w:p>
        </w:tc>
        <w:tc>
          <w:tcPr>
            <w:tcW w:w="3686" w:type="dxa"/>
            <w:gridSpan w:val="2"/>
            <w:shd w:val="clear" w:color="auto" w:fill="auto"/>
          </w:tcPr>
          <w:p w14:paraId="2549F505" w14:textId="38274B02" w:rsidR="00486AAC" w:rsidRPr="00486AAC" w:rsidRDefault="00486AAC" w:rsidP="00486AAC">
            <w:r w:rsidRPr="00486AAC">
              <w:t>GUS</w:t>
            </w:r>
            <w:r w:rsidRPr="00AC40CD">
              <w:rPr>
                <w:rStyle w:val="IGindeksgrny"/>
              </w:rPr>
              <w:footnoteReference w:id="11"/>
            </w:r>
            <w:r w:rsidR="00AC40CD" w:rsidRPr="00AC40CD">
              <w:rPr>
                <w:rStyle w:val="IGindeksgrny"/>
              </w:rPr>
              <w:t>)</w:t>
            </w:r>
          </w:p>
        </w:tc>
        <w:tc>
          <w:tcPr>
            <w:tcW w:w="1987" w:type="dxa"/>
            <w:gridSpan w:val="2"/>
            <w:shd w:val="clear" w:color="auto" w:fill="auto"/>
          </w:tcPr>
          <w:p w14:paraId="074D1891" w14:textId="219B72AB" w:rsidR="00486AAC" w:rsidRDefault="00DF7F3F" w:rsidP="00486AAC">
            <w:r w:rsidRPr="00486AAC">
              <w:t>P</w:t>
            </w:r>
            <w:r w:rsidR="00486AAC" w:rsidRPr="00486AAC">
              <w:t>ośrednie</w:t>
            </w:r>
          </w:p>
          <w:p w14:paraId="2149987C" w14:textId="6E0110BC" w:rsidR="00DF7F3F" w:rsidRPr="00486AAC" w:rsidRDefault="00DF7F3F" w:rsidP="00486AAC">
            <w:r w:rsidRPr="00DF7F3F">
              <w:t>- możliwość udostępniania danych do ponownego wykorzystywania</w:t>
            </w:r>
          </w:p>
        </w:tc>
      </w:tr>
    </w:tbl>
    <w:p w14:paraId="7D2B03F3" w14:textId="77777777" w:rsidR="00486AAC" w:rsidRPr="00486AAC" w:rsidRDefault="00486AAC" w:rsidP="00486AAC"/>
    <w:tbl>
      <w:tblPr>
        <w:tblW w:w="1091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5"/>
        <w:gridCol w:w="646"/>
        <w:gridCol w:w="199"/>
        <w:gridCol w:w="709"/>
        <w:gridCol w:w="395"/>
        <w:gridCol w:w="314"/>
        <w:gridCol w:w="28"/>
        <w:gridCol w:w="681"/>
        <w:gridCol w:w="541"/>
        <w:gridCol w:w="167"/>
        <w:gridCol w:w="486"/>
        <w:gridCol w:w="222"/>
        <w:gridCol w:w="710"/>
        <w:gridCol w:w="6"/>
        <w:gridCol w:w="532"/>
        <w:gridCol w:w="171"/>
        <w:gridCol w:w="234"/>
        <w:gridCol w:w="333"/>
        <w:gridCol w:w="567"/>
        <w:gridCol w:w="38"/>
        <w:gridCol w:w="529"/>
        <w:gridCol w:w="409"/>
        <w:gridCol w:w="158"/>
        <w:gridCol w:w="1268"/>
        <w:gridCol w:w="10"/>
      </w:tblGrid>
      <w:tr w:rsidR="00486AAC" w:rsidRPr="00486AAC" w14:paraId="136CC43B" w14:textId="77777777" w:rsidTr="009F408A">
        <w:trPr>
          <w:gridAfter w:val="1"/>
          <w:wAfter w:w="10" w:type="dxa"/>
          <w:trHeight w:val="302"/>
        </w:trPr>
        <w:tc>
          <w:tcPr>
            <w:tcW w:w="10908" w:type="dxa"/>
            <w:gridSpan w:val="24"/>
            <w:shd w:val="clear" w:color="auto" w:fill="99CCFF"/>
            <w:vAlign w:val="center"/>
          </w:tcPr>
          <w:p w14:paraId="76436B00" w14:textId="3FEFB8FA" w:rsidR="00486AAC" w:rsidRPr="001B643A" w:rsidRDefault="001B643A" w:rsidP="00486AAC">
            <w:pPr>
              <w:rPr>
                <w:rStyle w:val="Ppogrubienie"/>
              </w:rPr>
            </w:pPr>
            <w:r w:rsidRPr="001B643A">
              <w:rPr>
                <w:rStyle w:val="Ppogrubienie"/>
              </w:rPr>
              <w:t xml:space="preserve">5. </w:t>
            </w:r>
            <w:r w:rsidR="00486AAC" w:rsidRPr="001B643A">
              <w:rPr>
                <w:rStyle w:val="Ppogrubienie"/>
              </w:rPr>
              <w:t>Informacje na temat zakresu, czasu trwania</w:t>
            </w:r>
            <w:r w:rsidR="00BE01F2" w:rsidRPr="001B643A">
              <w:rPr>
                <w:rStyle w:val="Ppogrubienie"/>
              </w:rPr>
              <w:t xml:space="preserve"> i</w:t>
            </w:r>
            <w:r w:rsidR="00BE01F2">
              <w:rPr>
                <w:rStyle w:val="Ppogrubienie"/>
              </w:rPr>
              <w:t> </w:t>
            </w:r>
            <w:r w:rsidR="00486AAC" w:rsidRPr="001B643A">
              <w:rPr>
                <w:rStyle w:val="Ppogrubienie"/>
              </w:rPr>
              <w:t>podsumowanie wyników konsultacji</w:t>
            </w:r>
          </w:p>
        </w:tc>
      </w:tr>
      <w:tr w:rsidR="00486AAC" w:rsidRPr="00486AAC" w14:paraId="6FE327EE" w14:textId="77777777" w:rsidTr="009F408A">
        <w:trPr>
          <w:gridAfter w:val="1"/>
          <w:wAfter w:w="10" w:type="dxa"/>
          <w:trHeight w:val="342"/>
        </w:trPr>
        <w:tc>
          <w:tcPr>
            <w:tcW w:w="10908" w:type="dxa"/>
            <w:gridSpan w:val="24"/>
            <w:shd w:val="clear" w:color="auto" w:fill="FFFFFF"/>
          </w:tcPr>
          <w:p w14:paraId="77D2C818" w14:textId="1E53455F" w:rsidR="00486AAC" w:rsidRDefault="00F670B7" w:rsidP="00486AAC">
            <w:r>
              <w:t>Projekt został</w:t>
            </w:r>
            <w:r w:rsidR="00486AAC" w:rsidRPr="00486AAC">
              <w:t xml:space="preserve"> skierowany do konsultacji publicznych oraz opiniowania do szerokiego kręgu interesariuszy</w:t>
            </w:r>
            <w:r w:rsidR="004448B5">
              <w:t xml:space="preserve"> z </w:t>
            </w:r>
            <w:r w:rsidR="005C6EBA">
              <w:t>7</w:t>
            </w:r>
            <w:r w:rsidR="004448B5" w:rsidRPr="004448B5">
              <w:t xml:space="preserve"> dniowym terminem na przedstawienie stanowiska.</w:t>
            </w:r>
          </w:p>
          <w:p w14:paraId="52382CBE" w14:textId="4898976F" w:rsidR="00C36205" w:rsidRPr="00C36205" w:rsidRDefault="00F670B7" w:rsidP="00C36205">
            <w:pPr>
              <w:rPr>
                <w:rStyle w:val="Ppogrubienie"/>
              </w:rPr>
            </w:pPr>
            <w:r>
              <w:rPr>
                <w:rStyle w:val="Ppogrubienie"/>
              </w:rPr>
              <w:t>Projekt został</w:t>
            </w:r>
            <w:r w:rsidR="00DE3B26">
              <w:rPr>
                <w:rStyle w:val="Ppogrubienie"/>
              </w:rPr>
              <w:t xml:space="preserve"> skierowany w ramach</w:t>
            </w:r>
            <w:r w:rsidR="00C36205" w:rsidRPr="001B643A">
              <w:rPr>
                <w:rStyle w:val="Ppogrubienie"/>
              </w:rPr>
              <w:t xml:space="preserve"> konsul</w:t>
            </w:r>
            <w:r>
              <w:rPr>
                <w:rStyle w:val="Ppogrubienie"/>
              </w:rPr>
              <w:t>tacji publicznych do</w:t>
            </w:r>
            <w:r w:rsidR="00C36205" w:rsidRPr="001B643A">
              <w:rPr>
                <w:rStyle w:val="Ppogrubienie"/>
              </w:rPr>
              <w:t xml:space="preserve"> następujących podmiotów: </w:t>
            </w:r>
          </w:p>
          <w:p w14:paraId="501953A8" w14:textId="0787C1CD" w:rsidR="00C36205" w:rsidRPr="00C36205" w:rsidRDefault="00C36205" w:rsidP="00C36205">
            <w:pPr>
              <w:pStyle w:val="PKTpunkt"/>
            </w:pPr>
            <w:r w:rsidRPr="001B643A">
              <w:t xml:space="preserve">1) </w:t>
            </w:r>
            <w:r w:rsidRPr="00C36205">
              <w:t>Creative Commons Polska</w:t>
            </w:r>
          </w:p>
          <w:p w14:paraId="76AB3DAD" w14:textId="77777777" w:rsidR="00C36205" w:rsidRPr="00C36205" w:rsidRDefault="00C36205" w:rsidP="00C36205">
            <w:pPr>
              <w:pStyle w:val="PKTpunkt"/>
            </w:pPr>
            <w:r>
              <w:t xml:space="preserve">2) </w:t>
            </w:r>
            <w:r w:rsidRPr="00C36205">
              <w:t>Forum Związków Zawodowych</w:t>
            </w:r>
          </w:p>
          <w:p w14:paraId="226A1A66" w14:textId="77777777" w:rsidR="00C36205" w:rsidRPr="00C36205" w:rsidRDefault="00C36205" w:rsidP="00C36205">
            <w:pPr>
              <w:pStyle w:val="PKTpunkt"/>
            </w:pPr>
            <w:r>
              <w:t xml:space="preserve">3) </w:t>
            </w:r>
            <w:r w:rsidRPr="00C36205">
              <w:t>Fundacja Centrum Cyfrowe</w:t>
            </w:r>
          </w:p>
          <w:p w14:paraId="5B837AF8" w14:textId="77777777" w:rsidR="00C36205" w:rsidRPr="00C36205" w:rsidRDefault="00C36205" w:rsidP="00C36205">
            <w:pPr>
              <w:pStyle w:val="PKTpunkt"/>
            </w:pPr>
            <w:r>
              <w:t xml:space="preserve">4) </w:t>
            </w:r>
            <w:r w:rsidRPr="00C36205">
              <w:t>Fundacja ePaństwo</w:t>
            </w:r>
          </w:p>
          <w:p w14:paraId="5E11539C" w14:textId="77777777" w:rsidR="00C36205" w:rsidRPr="00C36205" w:rsidRDefault="00C36205" w:rsidP="00C36205">
            <w:pPr>
              <w:pStyle w:val="PKTpunkt"/>
            </w:pPr>
            <w:r>
              <w:t xml:space="preserve">5) </w:t>
            </w:r>
            <w:r w:rsidRPr="00C36205">
              <w:t xml:space="preserve">Fundacja im. Stefana Batorego </w:t>
            </w:r>
          </w:p>
          <w:p w14:paraId="59C16781" w14:textId="77777777" w:rsidR="00C36205" w:rsidRPr="00C36205" w:rsidRDefault="00C36205" w:rsidP="00C36205">
            <w:pPr>
              <w:pStyle w:val="PKTpunkt"/>
            </w:pPr>
            <w:r>
              <w:t xml:space="preserve">6) </w:t>
            </w:r>
            <w:r w:rsidRPr="00C36205">
              <w:t>Fundacja Instrat</w:t>
            </w:r>
          </w:p>
          <w:p w14:paraId="6BACA5EA" w14:textId="77777777" w:rsidR="00C36205" w:rsidRPr="00C36205" w:rsidRDefault="00C36205" w:rsidP="00C36205">
            <w:pPr>
              <w:pStyle w:val="PKTpunkt"/>
            </w:pPr>
            <w:r>
              <w:t xml:space="preserve">7) </w:t>
            </w:r>
            <w:r w:rsidRPr="00C36205">
              <w:t>Fundacja na Rzecz Nauki Polskiej</w:t>
            </w:r>
          </w:p>
          <w:p w14:paraId="5965EAFB" w14:textId="77777777" w:rsidR="00C36205" w:rsidRPr="00C36205" w:rsidRDefault="00C36205" w:rsidP="00C36205">
            <w:pPr>
              <w:pStyle w:val="PKTpunkt"/>
            </w:pPr>
            <w:r>
              <w:t xml:space="preserve">8) </w:t>
            </w:r>
            <w:r w:rsidRPr="00C36205">
              <w:t>Fundacja Nowe Media</w:t>
            </w:r>
          </w:p>
          <w:p w14:paraId="35F48B75" w14:textId="77777777" w:rsidR="00C36205" w:rsidRPr="00C36205" w:rsidRDefault="00C36205" w:rsidP="00C36205">
            <w:pPr>
              <w:pStyle w:val="PKTpunkt"/>
            </w:pPr>
            <w:r>
              <w:t xml:space="preserve">9) </w:t>
            </w:r>
            <w:r w:rsidRPr="00C36205">
              <w:t>Fundacja Nowoczesna Polska</w:t>
            </w:r>
          </w:p>
          <w:p w14:paraId="0196CD0B" w14:textId="77777777" w:rsidR="00C36205" w:rsidRPr="00C36205" w:rsidRDefault="00C36205" w:rsidP="00C36205">
            <w:pPr>
              <w:pStyle w:val="PKTpunkt"/>
            </w:pPr>
            <w:r>
              <w:t xml:space="preserve">10) </w:t>
            </w:r>
            <w:r w:rsidRPr="00C36205">
              <w:t>Fundacja Orange</w:t>
            </w:r>
          </w:p>
          <w:p w14:paraId="1144C1B1" w14:textId="77777777" w:rsidR="00C36205" w:rsidRPr="00C36205" w:rsidRDefault="00C36205" w:rsidP="00C36205">
            <w:pPr>
              <w:pStyle w:val="PKTpunkt"/>
            </w:pPr>
            <w:r>
              <w:lastRenderedPageBreak/>
              <w:t xml:space="preserve">11) </w:t>
            </w:r>
            <w:r w:rsidRPr="00C36205">
              <w:t>Fundacja Panoptykon</w:t>
            </w:r>
          </w:p>
          <w:p w14:paraId="15C75A9A" w14:textId="77777777" w:rsidR="00C36205" w:rsidRPr="00C36205" w:rsidRDefault="00C36205" w:rsidP="00C36205">
            <w:pPr>
              <w:pStyle w:val="PKTpunkt"/>
            </w:pPr>
            <w:r>
              <w:t xml:space="preserve">12) </w:t>
            </w:r>
            <w:r w:rsidRPr="00C36205">
              <w:t>Fundacja Rozwoju Systemu Edukacji</w:t>
            </w:r>
          </w:p>
          <w:p w14:paraId="1BEB86E0" w14:textId="77777777" w:rsidR="00C36205" w:rsidRPr="00C36205" w:rsidRDefault="00C36205" w:rsidP="00C36205">
            <w:pPr>
              <w:pStyle w:val="PKTpunkt"/>
            </w:pPr>
            <w:r>
              <w:t xml:space="preserve">13) </w:t>
            </w:r>
            <w:r w:rsidRPr="00C36205">
              <w:t>Instytut Spraw Publicznych</w:t>
            </w:r>
          </w:p>
          <w:p w14:paraId="35A1EEB1" w14:textId="7E22802E" w:rsidR="00C36205" w:rsidRPr="00C36205" w:rsidRDefault="00C36205" w:rsidP="00C36205">
            <w:pPr>
              <w:pStyle w:val="PKTpunkt"/>
            </w:pPr>
            <w:r>
              <w:t xml:space="preserve">14) </w:t>
            </w:r>
            <w:r w:rsidRPr="00C36205">
              <w:t>Interdyscyplinarne Centrum Modelowania Matematycznego i Komputerowego</w:t>
            </w:r>
          </w:p>
          <w:p w14:paraId="204EDE0C" w14:textId="77777777" w:rsidR="00C36205" w:rsidRPr="00C36205" w:rsidRDefault="00C36205" w:rsidP="00C36205">
            <w:pPr>
              <w:pStyle w:val="PKTpunkt"/>
            </w:pPr>
            <w:r>
              <w:t xml:space="preserve">15) </w:t>
            </w:r>
            <w:r w:rsidRPr="00C36205">
              <w:t>Konfederacja Lewiatan</w:t>
            </w:r>
          </w:p>
          <w:p w14:paraId="0CA93726" w14:textId="0C9C5315" w:rsidR="00C36205" w:rsidRPr="00C36205" w:rsidRDefault="00C36205" w:rsidP="00C36205">
            <w:pPr>
              <w:pStyle w:val="PKTpunkt"/>
            </w:pPr>
            <w:r>
              <w:t xml:space="preserve">16) </w:t>
            </w:r>
            <w:r w:rsidRPr="00C36205">
              <w:t>Krajowa Izba Gospodarcza Elektroniki i Telekomunikacji</w:t>
            </w:r>
          </w:p>
          <w:p w14:paraId="52B5568A" w14:textId="77777777" w:rsidR="00C36205" w:rsidRPr="00C36205" w:rsidRDefault="00C36205" w:rsidP="00C36205">
            <w:pPr>
              <w:pStyle w:val="PKTpunkt"/>
            </w:pPr>
            <w:r>
              <w:t xml:space="preserve">17) </w:t>
            </w:r>
            <w:r w:rsidRPr="00C36205">
              <w:t>Krajowa Izba Producentów Audiowizualnych</w:t>
            </w:r>
          </w:p>
          <w:p w14:paraId="11C5CCA5" w14:textId="77777777" w:rsidR="00C36205" w:rsidRPr="00C36205" w:rsidRDefault="00C36205" w:rsidP="00C36205">
            <w:pPr>
              <w:pStyle w:val="PKTpunkt"/>
            </w:pPr>
            <w:r>
              <w:t xml:space="preserve">18) </w:t>
            </w:r>
            <w:r w:rsidRPr="00C36205">
              <w:t>Niezależny Samorządny Związek Zawodowy „Solidarność”</w:t>
            </w:r>
          </w:p>
          <w:p w14:paraId="6C48879E" w14:textId="77777777" w:rsidR="00C36205" w:rsidRPr="00C36205" w:rsidRDefault="00C36205" w:rsidP="00C36205">
            <w:pPr>
              <w:pStyle w:val="PKTpunkt"/>
            </w:pPr>
            <w:r>
              <w:t xml:space="preserve">19) </w:t>
            </w:r>
            <w:r w:rsidRPr="00C36205">
              <w:t>Ogólnopolskie Porozumienie Związków Zawodowych</w:t>
            </w:r>
          </w:p>
          <w:p w14:paraId="3587A2A6" w14:textId="77777777" w:rsidR="00C36205" w:rsidRPr="00C36205" w:rsidRDefault="00C36205" w:rsidP="00C36205">
            <w:pPr>
              <w:pStyle w:val="PKTpunkt"/>
            </w:pPr>
            <w:r>
              <w:t xml:space="preserve">20) </w:t>
            </w:r>
            <w:r w:rsidRPr="00C36205">
              <w:t>Polska Akademia Umiejętności</w:t>
            </w:r>
          </w:p>
          <w:p w14:paraId="2F7783A9" w14:textId="77777777" w:rsidR="00C36205" w:rsidRPr="00C36205" w:rsidRDefault="00C36205" w:rsidP="00C36205">
            <w:pPr>
              <w:pStyle w:val="PKTpunkt"/>
            </w:pPr>
            <w:r>
              <w:t xml:space="preserve">21) </w:t>
            </w:r>
            <w:r w:rsidRPr="00C36205">
              <w:t xml:space="preserve">Polska Izba Informatyki i Telekomunikacji </w:t>
            </w:r>
          </w:p>
          <w:p w14:paraId="1702BD91" w14:textId="77777777" w:rsidR="00C36205" w:rsidRPr="00C36205" w:rsidRDefault="00C36205" w:rsidP="00C36205">
            <w:pPr>
              <w:pStyle w:val="PKTpunkt"/>
            </w:pPr>
            <w:r>
              <w:t xml:space="preserve">22) </w:t>
            </w:r>
            <w:r w:rsidRPr="00C36205">
              <w:t>Polska Izba Komunikacji Elektronicznej</w:t>
            </w:r>
          </w:p>
          <w:p w14:paraId="5F2F2EFA" w14:textId="642C1588" w:rsidR="00C36205" w:rsidRPr="00C36205" w:rsidRDefault="00C36205" w:rsidP="00C36205">
            <w:pPr>
              <w:pStyle w:val="PKTpunkt"/>
            </w:pPr>
            <w:r>
              <w:t xml:space="preserve">23) </w:t>
            </w:r>
            <w:r w:rsidRPr="00C36205">
              <w:t>Polskie Towarzystwo Informatyczne</w:t>
            </w:r>
          </w:p>
          <w:p w14:paraId="302A1BB7" w14:textId="77777777" w:rsidR="00C36205" w:rsidRPr="00C36205" w:rsidRDefault="00C36205" w:rsidP="00C36205">
            <w:pPr>
              <w:pStyle w:val="PKTpunkt"/>
            </w:pPr>
            <w:r>
              <w:t xml:space="preserve">24) </w:t>
            </w:r>
            <w:r w:rsidRPr="00C36205">
              <w:t>Poznańskie Towarzystwo Przyjaciół Nauk</w:t>
            </w:r>
          </w:p>
          <w:p w14:paraId="5A760EB9" w14:textId="77777777" w:rsidR="00C36205" w:rsidRPr="00C36205" w:rsidRDefault="00C36205" w:rsidP="00C36205">
            <w:pPr>
              <w:pStyle w:val="PKTpunkt"/>
            </w:pPr>
            <w:r>
              <w:t xml:space="preserve">25) </w:t>
            </w:r>
            <w:r w:rsidRPr="00C36205">
              <w:t>Pracodawcy RP</w:t>
            </w:r>
          </w:p>
          <w:p w14:paraId="7E1FC7D7" w14:textId="77777777" w:rsidR="00C36205" w:rsidRPr="00C36205" w:rsidRDefault="00C36205" w:rsidP="00C36205">
            <w:pPr>
              <w:pStyle w:val="PKTpunkt"/>
            </w:pPr>
            <w:r>
              <w:t xml:space="preserve">26) </w:t>
            </w:r>
            <w:r w:rsidRPr="00C36205">
              <w:t>Ruch społeczny Obywatele Nauki</w:t>
            </w:r>
          </w:p>
          <w:p w14:paraId="24426DE1" w14:textId="77777777" w:rsidR="00C36205" w:rsidRPr="00C36205" w:rsidRDefault="00C36205" w:rsidP="00C36205">
            <w:pPr>
              <w:pStyle w:val="PKTpunkt"/>
            </w:pPr>
            <w:r>
              <w:t xml:space="preserve">27) </w:t>
            </w:r>
            <w:r w:rsidRPr="00C36205">
              <w:t>Sieć Obywatelska Watchdog Polska</w:t>
            </w:r>
          </w:p>
          <w:p w14:paraId="237E246F" w14:textId="77777777" w:rsidR="00C36205" w:rsidRPr="00C36205" w:rsidRDefault="00C36205" w:rsidP="00C36205">
            <w:pPr>
              <w:pStyle w:val="PKTpunkt"/>
            </w:pPr>
            <w:r>
              <w:t xml:space="preserve">28) </w:t>
            </w:r>
            <w:r w:rsidRPr="00C36205">
              <w:t>Stowarzyszenie Autorów i Wydawców COPYRIGHT POLSKA</w:t>
            </w:r>
          </w:p>
          <w:p w14:paraId="39488C0B" w14:textId="77777777" w:rsidR="00C36205" w:rsidRPr="00C36205" w:rsidRDefault="00C36205" w:rsidP="00C36205">
            <w:pPr>
              <w:pStyle w:val="PKTpunkt"/>
            </w:pPr>
            <w:r>
              <w:t xml:space="preserve">29) </w:t>
            </w:r>
            <w:r w:rsidRPr="00C36205">
              <w:t>Stowarzyszenie autorów ZAiKS</w:t>
            </w:r>
          </w:p>
          <w:p w14:paraId="2F31540B" w14:textId="77777777" w:rsidR="00C36205" w:rsidRPr="00C36205" w:rsidRDefault="00C36205" w:rsidP="00C36205">
            <w:pPr>
              <w:pStyle w:val="PKTpunkt"/>
            </w:pPr>
            <w:r>
              <w:t xml:space="preserve">30) </w:t>
            </w:r>
            <w:r w:rsidRPr="00C36205">
              <w:t>Stowarzyszenie Bibliotekarzy Polskich</w:t>
            </w:r>
          </w:p>
          <w:p w14:paraId="1271FFDE" w14:textId="77777777" w:rsidR="00C36205" w:rsidRPr="00C36205" w:rsidRDefault="00C36205" w:rsidP="00C36205">
            <w:pPr>
              <w:pStyle w:val="PKTpunkt"/>
            </w:pPr>
            <w:r>
              <w:t xml:space="preserve">31) </w:t>
            </w:r>
            <w:r w:rsidRPr="00C36205">
              <w:t>Stowarzyszenie Dziennikarzy i Wydawców REPROPOL</w:t>
            </w:r>
          </w:p>
          <w:p w14:paraId="3A71A145" w14:textId="77777777" w:rsidR="00C36205" w:rsidRPr="00C36205" w:rsidRDefault="00C36205" w:rsidP="00C36205">
            <w:pPr>
              <w:pStyle w:val="PKTpunkt"/>
            </w:pPr>
            <w:r>
              <w:t xml:space="preserve">32) </w:t>
            </w:r>
            <w:r w:rsidRPr="00C36205">
              <w:t xml:space="preserve">Stowarzyszenie Klimatologów Polskich </w:t>
            </w:r>
          </w:p>
          <w:p w14:paraId="3444A1B1" w14:textId="77777777" w:rsidR="00C36205" w:rsidRPr="00C36205" w:rsidRDefault="00C36205" w:rsidP="00C36205">
            <w:pPr>
              <w:pStyle w:val="PKTpunkt"/>
            </w:pPr>
            <w:r>
              <w:t xml:space="preserve">33) </w:t>
            </w:r>
            <w:r w:rsidRPr="00C36205">
              <w:t>Stowarzyszenie Kreatywna Polska</w:t>
            </w:r>
          </w:p>
          <w:p w14:paraId="47FBE408" w14:textId="77777777" w:rsidR="00C36205" w:rsidRPr="00C36205" w:rsidRDefault="00C36205" w:rsidP="00C36205">
            <w:pPr>
              <w:pStyle w:val="PKTpunkt"/>
            </w:pPr>
            <w:r>
              <w:t xml:space="preserve">34) </w:t>
            </w:r>
            <w:r w:rsidRPr="00C36205">
              <w:t>Stowarzyszenie OpenStreetMap Polska</w:t>
            </w:r>
          </w:p>
          <w:p w14:paraId="2567F3DB" w14:textId="4643DDCD" w:rsidR="00C36205" w:rsidRPr="00C36205" w:rsidRDefault="00C36205" w:rsidP="00C36205">
            <w:pPr>
              <w:pStyle w:val="PKTpunkt"/>
            </w:pPr>
            <w:r>
              <w:t xml:space="preserve">35) </w:t>
            </w:r>
            <w:r w:rsidRPr="00C36205">
              <w:t>Stowarzyszenie Wikimedia Polska</w:t>
            </w:r>
          </w:p>
          <w:p w14:paraId="2002D015" w14:textId="77777777" w:rsidR="00C36205" w:rsidRPr="00C36205" w:rsidRDefault="00C36205" w:rsidP="00C36205">
            <w:pPr>
              <w:pStyle w:val="PKTpunkt"/>
            </w:pPr>
            <w:r>
              <w:t xml:space="preserve">36) </w:t>
            </w:r>
            <w:r w:rsidRPr="00C36205">
              <w:t>Związek Pracodawców Branży Internetowej Interactive Advertising Bureau Polska</w:t>
            </w:r>
          </w:p>
          <w:p w14:paraId="26F57FF6" w14:textId="77777777" w:rsidR="00C36205" w:rsidRPr="00C36205" w:rsidRDefault="00C36205" w:rsidP="00C36205">
            <w:pPr>
              <w:pStyle w:val="PKTpunkt"/>
            </w:pPr>
            <w:r>
              <w:t xml:space="preserve">37) </w:t>
            </w:r>
            <w:r w:rsidRPr="00C36205">
              <w:t>Związek Pracodawców Business Centre Club</w:t>
            </w:r>
          </w:p>
          <w:p w14:paraId="333ABB0A" w14:textId="77777777" w:rsidR="00C36205" w:rsidRPr="00C36205" w:rsidRDefault="00C36205" w:rsidP="00C36205">
            <w:pPr>
              <w:pStyle w:val="PKTpunkt"/>
            </w:pPr>
            <w:r>
              <w:t xml:space="preserve">38) </w:t>
            </w:r>
            <w:r w:rsidRPr="00C36205">
              <w:t>Związek Producentów Audio Video</w:t>
            </w:r>
          </w:p>
          <w:p w14:paraId="2641EEF9" w14:textId="7FC069DA" w:rsidR="00C36205" w:rsidRPr="00486AAC" w:rsidRDefault="00C36205" w:rsidP="00DE3B26">
            <w:pPr>
              <w:pStyle w:val="PKTpunkt"/>
            </w:pPr>
            <w:r>
              <w:t xml:space="preserve">39) </w:t>
            </w:r>
            <w:r w:rsidRPr="00C36205">
              <w:t>Związek Przedsiębiorców i Pracodawców</w:t>
            </w:r>
          </w:p>
          <w:p w14:paraId="4A79925C" w14:textId="7418FA92" w:rsidR="00C36205" w:rsidRPr="00C36205" w:rsidRDefault="00F670B7" w:rsidP="00C36205">
            <w:pPr>
              <w:rPr>
                <w:rStyle w:val="Ppogrubienie"/>
              </w:rPr>
            </w:pPr>
            <w:r>
              <w:rPr>
                <w:rStyle w:val="Ppogrubienie"/>
              </w:rPr>
              <w:t>Projekt został</w:t>
            </w:r>
            <w:r w:rsidR="00C36205" w:rsidRPr="001B643A">
              <w:rPr>
                <w:rStyle w:val="Ppogrubienie"/>
              </w:rPr>
              <w:t xml:space="preserve"> skierowany do opiniowania do </w:t>
            </w:r>
            <w:r w:rsidR="00C36205" w:rsidRPr="00C36205">
              <w:rPr>
                <w:rStyle w:val="Ppogrubienie"/>
              </w:rPr>
              <w:t>następujących podmiotów:</w:t>
            </w:r>
          </w:p>
          <w:p w14:paraId="103694E3" w14:textId="70E6A70A" w:rsidR="00C36205" w:rsidRPr="00C36205" w:rsidRDefault="002E26FC" w:rsidP="00C36205">
            <w:r>
              <w:t>1</w:t>
            </w:r>
            <w:r w:rsidR="00C36205">
              <w:t xml:space="preserve">) </w:t>
            </w:r>
            <w:r w:rsidR="00C36205" w:rsidRPr="00C36205">
              <w:t>Centrum e</w:t>
            </w:r>
            <w:r w:rsidR="00C36205" w:rsidRPr="00C36205">
              <w:softHyphen/>
            </w:r>
            <w:r w:rsidR="00C36205" w:rsidRPr="00C36205">
              <w:noBreakHyphen/>
              <w:t>Zdrowia</w:t>
            </w:r>
          </w:p>
          <w:p w14:paraId="18FA775F" w14:textId="1CF72DC5" w:rsidR="00C36205" w:rsidRPr="00C36205" w:rsidRDefault="002E26FC" w:rsidP="00C36205">
            <w:r>
              <w:t>2</w:t>
            </w:r>
            <w:r w:rsidR="00C36205">
              <w:t xml:space="preserve">) </w:t>
            </w:r>
            <w:r w:rsidR="00C36205" w:rsidRPr="00C36205">
              <w:t xml:space="preserve">Instytut Pamięci Narodowej </w:t>
            </w:r>
            <w:r w:rsidR="00C36205" w:rsidRPr="00C36205">
              <w:noBreakHyphen/>
              <w:t xml:space="preserve"> Komisja Ścigania Zbrodni przeciwko Narodowi Polskiemu</w:t>
            </w:r>
          </w:p>
          <w:p w14:paraId="5BC2461C" w14:textId="6763E27A" w:rsidR="00C36205" w:rsidRPr="00C36205" w:rsidRDefault="002E26FC" w:rsidP="00C36205">
            <w:r>
              <w:t>3</w:t>
            </w:r>
            <w:r w:rsidR="00C36205">
              <w:t xml:space="preserve">) </w:t>
            </w:r>
            <w:r w:rsidR="00C36205" w:rsidRPr="00C36205">
              <w:t>Kancelaria Prezydenta RP</w:t>
            </w:r>
          </w:p>
          <w:p w14:paraId="69A35435" w14:textId="39E26DBD" w:rsidR="00164DA6" w:rsidRPr="00C36205" w:rsidRDefault="002E26FC" w:rsidP="00C36205">
            <w:r>
              <w:t>4</w:t>
            </w:r>
            <w:r w:rsidR="00C36205">
              <w:t xml:space="preserve">) </w:t>
            </w:r>
            <w:r w:rsidR="00C36205" w:rsidRPr="00C36205">
              <w:t>Krajowa Rada Radiofonii i Telewizji</w:t>
            </w:r>
          </w:p>
          <w:p w14:paraId="2E59D2F1" w14:textId="34A0EE1F" w:rsidR="00C36205" w:rsidRPr="00C36205" w:rsidRDefault="00164DA6" w:rsidP="00C36205">
            <w:r>
              <w:t>5</w:t>
            </w:r>
            <w:r w:rsidR="00C36205">
              <w:t xml:space="preserve">) </w:t>
            </w:r>
            <w:r w:rsidR="00C36205" w:rsidRPr="00C36205">
              <w:t>Naczelna Dyrekcja Archiwów Państwowych</w:t>
            </w:r>
          </w:p>
          <w:p w14:paraId="46FE23F1" w14:textId="1CDBDD47" w:rsidR="00C36205" w:rsidRPr="00C36205" w:rsidRDefault="00164DA6" w:rsidP="00C36205">
            <w:r>
              <w:t>6</w:t>
            </w:r>
            <w:r w:rsidR="00C36205">
              <w:t xml:space="preserve">) </w:t>
            </w:r>
            <w:r w:rsidR="00C36205" w:rsidRPr="00C36205">
              <w:t>Najwyższa Izba Kontroli</w:t>
            </w:r>
          </w:p>
          <w:p w14:paraId="1EB5BDD4" w14:textId="39C4A13E" w:rsidR="00C36205" w:rsidRPr="00C36205" w:rsidRDefault="00164DA6" w:rsidP="00C36205">
            <w:r>
              <w:lastRenderedPageBreak/>
              <w:t>7</w:t>
            </w:r>
            <w:r w:rsidR="00C36205">
              <w:t xml:space="preserve">) </w:t>
            </w:r>
            <w:r w:rsidR="00C36205" w:rsidRPr="00C36205">
              <w:t>Narodowy Bank Polski</w:t>
            </w:r>
          </w:p>
          <w:p w14:paraId="3D40295C" w14:textId="476AA70F" w:rsidR="00C36205" w:rsidRPr="00C36205" w:rsidRDefault="00164DA6" w:rsidP="00C36205">
            <w:r>
              <w:t>8</w:t>
            </w:r>
            <w:r w:rsidR="00C36205">
              <w:t xml:space="preserve">) </w:t>
            </w:r>
            <w:r w:rsidR="00C36205" w:rsidRPr="00C36205">
              <w:t>Narodowe Centrum Badań i Rozwoju</w:t>
            </w:r>
          </w:p>
          <w:p w14:paraId="617F82DD" w14:textId="6197B4A0" w:rsidR="00C36205" w:rsidRPr="00C36205" w:rsidRDefault="00164DA6" w:rsidP="00C36205">
            <w:r>
              <w:t>9</w:t>
            </w:r>
            <w:r w:rsidR="00C36205">
              <w:t xml:space="preserve">) </w:t>
            </w:r>
            <w:r w:rsidR="00C36205" w:rsidRPr="00C36205">
              <w:t>Narodowe Centrum Nauki</w:t>
            </w:r>
          </w:p>
          <w:p w14:paraId="73CC4D52" w14:textId="5FA1D9D3" w:rsidR="00C36205" w:rsidRPr="00C36205" w:rsidRDefault="00C36205" w:rsidP="00C36205">
            <w:r>
              <w:t>1</w:t>
            </w:r>
            <w:r w:rsidR="00164DA6">
              <w:t>0</w:t>
            </w:r>
            <w:r>
              <w:t xml:space="preserve">) </w:t>
            </w:r>
            <w:r w:rsidRPr="00C36205">
              <w:t>Narodowy Instytut Dziedzictwa</w:t>
            </w:r>
          </w:p>
          <w:p w14:paraId="7FBF3859" w14:textId="5F2E66AA" w:rsidR="00C36205" w:rsidRPr="00C36205" w:rsidRDefault="00C36205" w:rsidP="00C36205">
            <w:r>
              <w:t>1</w:t>
            </w:r>
            <w:r w:rsidR="00164DA6">
              <w:t>1</w:t>
            </w:r>
            <w:r>
              <w:t xml:space="preserve">) </w:t>
            </w:r>
            <w:r w:rsidRPr="00C36205">
              <w:t xml:space="preserve">Naukowa i Akademicka Sieć Komputerowa </w:t>
            </w:r>
            <w:r w:rsidRPr="00C36205">
              <w:noBreakHyphen/>
              <w:t xml:space="preserve"> Państwowy Instytut Badawczy</w:t>
            </w:r>
          </w:p>
          <w:p w14:paraId="65E1AE62" w14:textId="122580FF" w:rsidR="00C36205" w:rsidRPr="00C36205" w:rsidRDefault="00C36205" w:rsidP="00C36205">
            <w:r>
              <w:t>1</w:t>
            </w:r>
            <w:r w:rsidR="00164DA6">
              <w:t>2</w:t>
            </w:r>
            <w:r>
              <w:t xml:space="preserve">) </w:t>
            </w:r>
            <w:r w:rsidRPr="00C36205">
              <w:t>Narodowy Fundusz Zdrowia</w:t>
            </w:r>
          </w:p>
          <w:p w14:paraId="7A8EC787" w14:textId="5A2081DE" w:rsidR="00C36205" w:rsidRPr="00C36205" w:rsidRDefault="00C36205" w:rsidP="00C36205">
            <w:r>
              <w:t>1</w:t>
            </w:r>
            <w:r w:rsidR="009344DA">
              <w:t>3</w:t>
            </w:r>
            <w:r>
              <w:t xml:space="preserve">) </w:t>
            </w:r>
            <w:r w:rsidRPr="00C36205">
              <w:t>Urząd Lotnictwa Cywilnego</w:t>
            </w:r>
          </w:p>
          <w:p w14:paraId="528975C3" w14:textId="56642D14" w:rsidR="00C36205" w:rsidRPr="00C36205" w:rsidRDefault="00C36205" w:rsidP="00C36205">
            <w:r>
              <w:t>1</w:t>
            </w:r>
            <w:r w:rsidR="009344DA">
              <w:t>4</w:t>
            </w:r>
            <w:r>
              <w:t xml:space="preserve">) </w:t>
            </w:r>
            <w:r w:rsidRPr="00C36205">
              <w:t>Urząd Transportu Kolejowego</w:t>
            </w:r>
          </w:p>
          <w:p w14:paraId="7E778D15" w14:textId="29F12490" w:rsidR="00C36205" w:rsidRPr="00C36205" w:rsidRDefault="00C36205" w:rsidP="00C36205">
            <w:r>
              <w:t>1</w:t>
            </w:r>
            <w:r w:rsidR="009344DA">
              <w:t>5</w:t>
            </w:r>
            <w:r>
              <w:t xml:space="preserve">) </w:t>
            </w:r>
            <w:r w:rsidRPr="00C36205">
              <w:t>Polska Akademia Nauk</w:t>
            </w:r>
          </w:p>
          <w:p w14:paraId="4B6C5743" w14:textId="64BAE4DF" w:rsidR="00C36205" w:rsidRPr="00C36205" w:rsidRDefault="00C36205" w:rsidP="00C36205">
            <w:r>
              <w:t>1</w:t>
            </w:r>
            <w:r w:rsidR="009344DA">
              <w:t>6</w:t>
            </w:r>
            <w:r>
              <w:t xml:space="preserve">) </w:t>
            </w:r>
            <w:r w:rsidRPr="00C36205">
              <w:t>Prezes Głównego Urzędu Statystycznego</w:t>
            </w:r>
          </w:p>
          <w:p w14:paraId="165C9044" w14:textId="0B04BCBE" w:rsidR="00C36205" w:rsidRPr="00C36205" w:rsidRDefault="00C36205" w:rsidP="00C36205">
            <w:r>
              <w:t>1</w:t>
            </w:r>
            <w:r w:rsidR="009344DA">
              <w:t>7</w:t>
            </w:r>
            <w:r>
              <w:t xml:space="preserve">) </w:t>
            </w:r>
            <w:r w:rsidRPr="00C36205">
              <w:t>Prezes Urzędu Komunikacji Elektronicznej</w:t>
            </w:r>
          </w:p>
          <w:p w14:paraId="78173BE5" w14:textId="013CFFDD" w:rsidR="00C36205" w:rsidRPr="00C36205" w:rsidRDefault="009344DA" w:rsidP="00C36205">
            <w:r>
              <w:t>18</w:t>
            </w:r>
            <w:r w:rsidR="00C36205">
              <w:t xml:space="preserve">) </w:t>
            </w:r>
            <w:r w:rsidR="00C36205" w:rsidRPr="00C36205">
              <w:t>Prezes Urzędu Ochrony Danych Osobowych</w:t>
            </w:r>
          </w:p>
          <w:p w14:paraId="2E61AD10" w14:textId="01696413" w:rsidR="00C36205" w:rsidRPr="00C36205" w:rsidRDefault="009344DA" w:rsidP="00C36205">
            <w:r>
              <w:t>19</w:t>
            </w:r>
            <w:r w:rsidR="00C36205">
              <w:t xml:space="preserve">) </w:t>
            </w:r>
            <w:r w:rsidR="00C36205" w:rsidRPr="00C36205">
              <w:t>Prezes Urzędu Ochrony Konkurencji i Konsumentów</w:t>
            </w:r>
          </w:p>
          <w:p w14:paraId="743915CD" w14:textId="455D6800" w:rsidR="00C36205" w:rsidRPr="00C36205" w:rsidRDefault="00C36205" w:rsidP="00C36205">
            <w:r>
              <w:t>2</w:t>
            </w:r>
            <w:r w:rsidR="009344DA">
              <w:t>0</w:t>
            </w:r>
            <w:r>
              <w:t xml:space="preserve">) </w:t>
            </w:r>
            <w:r w:rsidRPr="00C36205">
              <w:t>Prezes Urzędu Zamówień Publicznych</w:t>
            </w:r>
          </w:p>
          <w:p w14:paraId="4D065541" w14:textId="5D4EAE34" w:rsidR="00C36205" w:rsidRPr="00C36205" w:rsidRDefault="00C36205" w:rsidP="00C36205">
            <w:r>
              <w:t>2</w:t>
            </w:r>
            <w:r w:rsidR="009344DA">
              <w:t>1</w:t>
            </w:r>
            <w:r>
              <w:t xml:space="preserve">) </w:t>
            </w:r>
            <w:r w:rsidRPr="00C36205">
              <w:t>Prokuratoria Generalna Rzeczypospolitej Polskiej</w:t>
            </w:r>
          </w:p>
          <w:p w14:paraId="07017B27" w14:textId="308FE354" w:rsidR="00C36205" w:rsidRPr="00C36205" w:rsidRDefault="00C36205" w:rsidP="00C36205">
            <w:r>
              <w:t>2</w:t>
            </w:r>
            <w:r w:rsidR="009344DA">
              <w:t>2</w:t>
            </w:r>
            <w:r>
              <w:t xml:space="preserve">) </w:t>
            </w:r>
            <w:r w:rsidRPr="00C36205">
              <w:t>Rada Główna Instytutów Badawczych</w:t>
            </w:r>
          </w:p>
          <w:p w14:paraId="5EDE4728" w14:textId="6DE25545" w:rsidR="00C36205" w:rsidRPr="00C36205" w:rsidRDefault="00C36205" w:rsidP="00C36205">
            <w:r>
              <w:t>2</w:t>
            </w:r>
            <w:r w:rsidR="009344DA">
              <w:t>3</w:t>
            </w:r>
            <w:r>
              <w:t xml:space="preserve">) </w:t>
            </w:r>
            <w:r w:rsidRPr="00C36205">
              <w:t>Rada Mediów Narodowych</w:t>
            </w:r>
          </w:p>
          <w:p w14:paraId="105CA805" w14:textId="30D82482" w:rsidR="00C36205" w:rsidRPr="00C36205" w:rsidRDefault="00C36205" w:rsidP="00C36205">
            <w:r>
              <w:t>2</w:t>
            </w:r>
            <w:r w:rsidR="009344DA">
              <w:t>4</w:t>
            </w:r>
            <w:r>
              <w:t xml:space="preserve">) </w:t>
            </w:r>
            <w:r w:rsidRPr="00C36205">
              <w:t>Rządowe Centrum Bezpieczeństwa</w:t>
            </w:r>
          </w:p>
          <w:p w14:paraId="179149F5" w14:textId="77777777" w:rsidR="00C36205" w:rsidRDefault="00C36205" w:rsidP="00C36205">
            <w:r>
              <w:t>2</w:t>
            </w:r>
            <w:r w:rsidR="009344DA">
              <w:t>5</w:t>
            </w:r>
            <w:r>
              <w:t xml:space="preserve">) </w:t>
            </w:r>
            <w:r w:rsidRPr="00C36205">
              <w:t>Szef Agencji Bezpieczeństwa Wewnętrznego</w:t>
            </w:r>
          </w:p>
          <w:p w14:paraId="4EB0CE32" w14:textId="6589C781" w:rsidR="00CB58B3" w:rsidRPr="00486AAC" w:rsidRDefault="00CB58B3" w:rsidP="00C36205">
            <w:r w:rsidRPr="00CB58B3">
              <w:t xml:space="preserve">Uwagi do projektu uchwały zgłosiło 18 podmiotów. Szczegółowe zestawienie uwag zgłoszonych przez podmioty w ramach opiniowania i konsultacji publicznych zawarte jest w </w:t>
            </w:r>
            <w:r>
              <w:t xml:space="preserve">odrębnej </w:t>
            </w:r>
            <w:r w:rsidRPr="00CB58B3">
              <w:t>tabeli, która stanowi część raportu</w:t>
            </w:r>
            <w:r>
              <w:t xml:space="preserve"> z konsultacji</w:t>
            </w:r>
            <w:r w:rsidRPr="00CB58B3">
              <w:t>.</w:t>
            </w:r>
          </w:p>
        </w:tc>
      </w:tr>
      <w:tr w:rsidR="00486AAC" w:rsidRPr="00486AAC" w14:paraId="5BA1E797" w14:textId="77777777" w:rsidTr="009F408A">
        <w:trPr>
          <w:gridAfter w:val="1"/>
          <w:wAfter w:w="10" w:type="dxa"/>
          <w:trHeight w:val="363"/>
        </w:trPr>
        <w:tc>
          <w:tcPr>
            <w:tcW w:w="10908" w:type="dxa"/>
            <w:gridSpan w:val="24"/>
            <w:shd w:val="clear" w:color="auto" w:fill="99CCFF"/>
            <w:vAlign w:val="center"/>
          </w:tcPr>
          <w:p w14:paraId="787FD882" w14:textId="46A1431C" w:rsidR="00486AAC" w:rsidRPr="001B643A" w:rsidRDefault="00486AAC" w:rsidP="00486AAC">
            <w:pPr>
              <w:rPr>
                <w:rStyle w:val="Ppogrubienie"/>
              </w:rPr>
            </w:pPr>
            <w:r w:rsidRPr="001B643A">
              <w:rPr>
                <w:rStyle w:val="Ppogrubienie"/>
              </w:rPr>
              <w:lastRenderedPageBreak/>
              <w:t xml:space="preserve"> </w:t>
            </w:r>
            <w:r w:rsidR="001B643A" w:rsidRPr="001B643A">
              <w:rPr>
                <w:rStyle w:val="Ppogrubienie"/>
              </w:rPr>
              <w:t xml:space="preserve">6. </w:t>
            </w:r>
            <w:r w:rsidRPr="001B643A">
              <w:rPr>
                <w:rStyle w:val="Ppogrubienie"/>
              </w:rPr>
              <w:t>Wpływ na sektor finansów publicznych</w:t>
            </w:r>
          </w:p>
        </w:tc>
      </w:tr>
      <w:tr w:rsidR="00486AAC" w:rsidRPr="00486AAC" w14:paraId="575BD69A" w14:textId="77777777" w:rsidTr="009F408A">
        <w:trPr>
          <w:gridAfter w:val="1"/>
          <w:wAfter w:w="10" w:type="dxa"/>
          <w:trHeight w:val="142"/>
        </w:trPr>
        <w:tc>
          <w:tcPr>
            <w:tcW w:w="2410" w:type="dxa"/>
            <w:gridSpan w:val="3"/>
            <w:vMerge w:val="restart"/>
            <w:shd w:val="clear" w:color="auto" w:fill="FFFFFF"/>
          </w:tcPr>
          <w:p w14:paraId="6D3E6924" w14:textId="03276CA1" w:rsidR="00486AAC" w:rsidRPr="00486AAC" w:rsidRDefault="00486AAC" w:rsidP="00486AAC">
            <w:r w:rsidRPr="00486AAC">
              <w:t>(ceny stałe</w:t>
            </w:r>
            <w:r w:rsidR="00BE01F2" w:rsidRPr="00486AAC">
              <w:t xml:space="preserve"> z</w:t>
            </w:r>
            <w:r w:rsidR="007E5EBD">
              <w:t xml:space="preserve"> 2020 </w:t>
            </w:r>
            <w:r w:rsidRPr="00486AAC">
              <w:t>r.)</w:t>
            </w:r>
          </w:p>
        </w:tc>
        <w:tc>
          <w:tcPr>
            <w:tcW w:w="8498" w:type="dxa"/>
            <w:gridSpan w:val="21"/>
            <w:shd w:val="clear" w:color="auto" w:fill="FFFFFF"/>
          </w:tcPr>
          <w:p w14:paraId="0E546964" w14:textId="0E95509E" w:rsidR="00486AAC" w:rsidRPr="00486AAC" w:rsidRDefault="00486AAC" w:rsidP="00486AAC">
            <w:r w:rsidRPr="00486AAC">
              <w:t>Skutki</w:t>
            </w:r>
            <w:r w:rsidR="00BE01F2" w:rsidRPr="00486AAC">
              <w:t xml:space="preserve"> w</w:t>
            </w:r>
            <w:r w:rsidR="00BE01F2">
              <w:t> </w:t>
            </w:r>
            <w:r w:rsidRPr="00486AAC">
              <w:t>okresie 1</w:t>
            </w:r>
            <w:r w:rsidR="00BE01F2" w:rsidRPr="00486AAC">
              <w:t>0</w:t>
            </w:r>
            <w:r w:rsidR="00BE01F2">
              <w:t> </w:t>
            </w:r>
            <w:r w:rsidRPr="00486AAC">
              <w:t>lat od wejścia</w:t>
            </w:r>
            <w:r w:rsidR="00BE01F2" w:rsidRPr="00486AAC">
              <w:t xml:space="preserve"> w</w:t>
            </w:r>
            <w:r w:rsidR="00BE01F2">
              <w:t> </w:t>
            </w:r>
            <w:r w:rsidRPr="00486AAC">
              <w:t>życie zmian [mln zł]</w:t>
            </w:r>
          </w:p>
        </w:tc>
      </w:tr>
      <w:tr w:rsidR="00486AAC" w:rsidRPr="00486AAC" w14:paraId="0540F2A6" w14:textId="77777777" w:rsidTr="009F408A">
        <w:trPr>
          <w:gridAfter w:val="1"/>
          <w:wAfter w:w="10" w:type="dxa"/>
          <w:trHeight w:val="142"/>
        </w:trPr>
        <w:tc>
          <w:tcPr>
            <w:tcW w:w="2410" w:type="dxa"/>
            <w:gridSpan w:val="3"/>
            <w:vMerge/>
            <w:shd w:val="clear" w:color="auto" w:fill="FFFFFF"/>
          </w:tcPr>
          <w:p w14:paraId="7944B167" w14:textId="77777777" w:rsidR="00486AAC" w:rsidRPr="00486AAC" w:rsidRDefault="00486AAC" w:rsidP="00486AAC"/>
        </w:tc>
        <w:tc>
          <w:tcPr>
            <w:tcW w:w="709" w:type="dxa"/>
            <w:shd w:val="clear" w:color="auto" w:fill="FFFFFF"/>
          </w:tcPr>
          <w:p w14:paraId="5B56A5FE" w14:textId="77777777" w:rsidR="00486AAC" w:rsidRPr="00486AAC" w:rsidRDefault="00486AAC" w:rsidP="00486AAC">
            <w:r w:rsidRPr="00486AAC">
              <w:t>0</w:t>
            </w:r>
          </w:p>
        </w:tc>
        <w:tc>
          <w:tcPr>
            <w:tcW w:w="709" w:type="dxa"/>
            <w:gridSpan w:val="2"/>
            <w:shd w:val="clear" w:color="auto" w:fill="FFFFFF"/>
          </w:tcPr>
          <w:p w14:paraId="262AD891" w14:textId="77777777" w:rsidR="00486AAC" w:rsidRPr="00486AAC" w:rsidRDefault="00486AAC" w:rsidP="00486AAC">
            <w:r w:rsidRPr="00486AAC">
              <w:t>1</w:t>
            </w:r>
          </w:p>
        </w:tc>
        <w:tc>
          <w:tcPr>
            <w:tcW w:w="709" w:type="dxa"/>
            <w:gridSpan w:val="2"/>
            <w:shd w:val="clear" w:color="auto" w:fill="FFFFFF"/>
          </w:tcPr>
          <w:p w14:paraId="54C2FD9A" w14:textId="77777777" w:rsidR="00486AAC" w:rsidRPr="00486AAC" w:rsidRDefault="00486AAC" w:rsidP="00486AAC">
            <w:r w:rsidRPr="00486AAC">
              <w:t>2</w:t>
            </w:r>
          </w:p>
        </w:tc>
        <w:tc>
          <w:tcPr>
            <w:tcW w:w="708" w:type="dxa"/>
            <w:gridSpan w:val="2"/>
            <w:shd w:val="clear" w:color="auto" w:fill="FFFFFF"/>
          </w:tcPr>
          <w:p w14:paraId="5787EF5C" w14:textId="77777777" w:rsidR="00486AAC" w:rsidRPr="00486AAC" w:rsidRDefault="00486AAC" w:rsidP="00486AAC">
            <w:r w:rsidRPr="00486AAC">
              <w:t>3</w:t>
            </w:r>
          </w:p>
        </w:tc>
        <w:tc>
          <w:tcPr>
            <w:tcW w:w="708" w:type="dxa"/>
            <w:gridSpan w:val="2"/>
            <w:shd w:val="clear" w:color="auto" w:fill="FFFFFF"/>
          </w:tcPr>
          <w:p w14:paraId="14F68447" w14:textId="77777777" w:rsidR="00486AAC" w:rsidRPr="00486AAC" w:rsidRDefault="00486AAC" w:rsidP="00486AAC">
            <w:r w:rsidRPr="00486AAC">
              <w:t>4</w:t>
            </w:r>
          </w:p>
        </w:tc>
        <w:tc>
          <w:tcPr>
            <w:tcW w:w="710" w:type="dxa"/>
            <w:shd w:val="clear" w:color="auto" w:fill="FFFFFF"/>
          </w:tcPr>
          <w:p w14:paraId="503D41D4" w14:textId="77777777" w:rsidR="00486AAC" w:rsidRPr="00486AAC" w:rsidRDefault="00486AAC" w:rsidP="00486AAC">
            <w:r w:rsidRPr="00486AAC">
              <w:t>5</w:t>
            </w:r>
          </w:p>
        </w:tc>
        <w:tc>
          <w:tcPr>
            <w:tcW w:w="709" w:type="dxa"/>
            <w:gridSpan w:val="3"/>
            <w:shd w:val="clear" w:color="auto" w:fill="FFFFFF"/>
          </w:tcPr>
          <w:p w14:paraId="59133808" w14:textId="77777777" w:rsidR="00486AAC" w:rsidRPr="00486AAC" w:rsidRDefault="00486AAC" w:rsidP="00486AAC">
            <w:r w:rsidRPr="00486AAC">
              <w:t>6</w:t>
            </w:r>
          </w:p>
        </w:tc>
        <w:tc>
          <w:tcPr>
            <w:tcW w:w="567" w:type="dxa"/>
            <w:gridSpan w:val="2"/>
            <w:shd w:val="clear" w:color="auto" w:fill="FFFFFF"/>
          </w:tcPr>
          <w:p w14:paraId="515978D3" w14:textId="77777777" w:rsidR="00486AAC" w:rsidRPr="00486AAC" w:rsidRDefault="00486AAC" w:rsidP="00486AAC">
            <w:r w:rsidRPr="00486AAC">
              <w:t>7</w:t>
            </w:r>
          </w:p>
        </w:tc>
        <w:tc>
          <w:tcPr>
            <w:tcW w:w="567" w:type="dxa"/>
            <w:shd w:val="clear" w:color="auto" w:fill="FFFFFF"/>
          </w:tcPr>
          <w:p w14:paraId="707D2266" w14:textId="77777777" w:rsidR="00486AAC" w:rsidRPr="00486AAC" w:rsidRDefault="00486AAC" w:rsidP="00486AAC">
            <w:r w:rsidRPr="00486AAC">
              <w:t>8</w:t>
            </w:r>
          </w:p>
        </w:tc>
        <w:tc>
          <w:tcPr>
            <w:tcW w:w="567" w:type="dxa"/>
            <w:gridSpan w:val="2"/>
            <w:shd w:val="clear" w:color="auto" w:fill="FFFFFF"/>
          </w:tcPr>
          <w:p w14:paraId="0B9D848A" w14:textId="77777777" w:rsidR="00486AAC" w:rsidRPr="00486AAC" w:rsidRDefault="00486AAC" w:rsidP="00486AAC">
            <w:r w:rsidRPr="00486AAC">
              <w:t>9</w:t>
            </w:r>
          </w:p>
        </w:tc>
        <w:tc>
          <w:tcPr>
            <w:tcW w:w="567" w:type="dxa"/>
            <w:gridSpan w:val="2"/>
            <w:shd w:val="clear" w:color="auto" w:fill="FFFFFF"/>
          </w:tcPr>
          <w:p w14:paraId="34F261BF" w14:textId="77777777" w:rsidR="00486AAC" w:rsidRPr="00486AAC" w:rsidRDefault="00486AAC" w:rsidP="00486AAC">
            <w:r w:rsidRPr="00486AAC">
              <w:t>10</w:t>
            </w:r>
          </w:p>
        </w:tc>
        <w:tc>
          <w:tcPr>
            <w:tcW w:w="1268" w:type="dxa"/>
            <w:shd w:val="clear" w:color="auto" w:fill="FFFFFF"/>
          </w:tcPr>
          <w:p w14:paraId="519CBE64" w14:textId="7AC2E33B" w:rsidR="00486AAC" w:rsidRPr="00486AAC" w:rsidRDefault="00486AAC" w:rsidP="00486AAC">
            <w:r w:rsidRPr="00486AAC">
              <w:t>Łącznie (</w:t>
            </w:r>
            <w:r w:rsidR="00BE01F2" w:rsidRPr="00486AAC">
              <w:t>0</w:t>
            </w:r>
            <w:r w:rsidR="00BE01F2">
              <w:noBreakHyphen/>
            </w:r>
            <w:r w:rsidRPr="00486AAC">
              <w:t>10)</w:t>
            </w:r>
          </w:p>
        </w:tc>
      </w:tr>
      <w:tr w:rsidR="00486AAC" w:rsidRPr="00486AAC" w14:paraId="779CE02A" w14:textId="77777777" w:rsidTr="009F408A">
        <w:trPr>
          <w:trHeight w:val="321"/>
        </w:trPr>
        <w:tc>
          <w:tcPr>
            <w:tcW w:w="2410" w:type="dxa"/>
            <w:gridSpan w:val="3"/>
            <w:shd w:val="clear" w:color="auto" w:fill="FFFFFF"/>
            <w:vAlign w:val="center"/>
          </w:tcPr>
          <w:p w14:paraId="27A9887F" w14:textId="77777777" w:rsidR="00486AAC" w:rsidRPr="00486AAC" w:rsidRDefault="00486AAC" w:rsidP="00486AAC">
            <w:r w:rsidRPr="00486AAC">
              <w:t>Dochody ogółem</w:t>
            </w:r>
          </w:p>
        </w:tc>
        <w:tc>
          <w:tcPr>
            <w:tcW w:w="709" w:type="dxa"/>
            <w:shd w:val="clear" w:color="auto" w:fill="FFFFFF"/>
          </w:tcPr>
          <w:p w14:paraId="2DE640D6" w14:textId="77777777" w:rsidR="00486AAC" w:rsidRPr="00486AAC" w:rsidRDefault="00486AAC" w:rsidP="00486AAC">
            <w:r w:rsidRPr="00486AAC">
              <w:t>0,00</w:t>
            </w:r>
          </w:p>
        </w:tc>
        <w:tc>
          <w:tcPr>
            <w:tcW w:w="709" w:type="dxa"/>
            <w:gridSpan w:val="2"/>
            <w:shd w:val="clear" w:color="auto" w:fill="FFFFFF"/>
          </w:tcPr>
          <w:p w14:paraId="75521D44" w14:textId="77777777" w:rsidR="00486AAC" w:rsidRPr="00486AAC" w:rsidRDefault="00486AAC" w:rsidP="00486AAC">
            <w:r w:rsidRPr="00486AAC">
              <w:t>0,00</w:t>
            </w:r>
          </w:p>
        </w:tc>
        <w:tc>
          <w:tcPr>
            <w:tcW w:w="709" w:type="dxa"/>
            <w:gridSpan w:val="2"/>
            <w:shd w:val="clear" w:color="auto" w:fill="FFFFFF"/>
          </w:tcPr>
          <w:p w14:paraId="6A39BD80" w14:textId="77777777" w:rsidR="00486AAC" w:rsidRPr="00486AAC" w:rsidRDefault="00486AAC" w:rsidP="00486AAC">
            <w:r w:rsidRPr="00486AAC">
              <w:t>0,00</w:t>
            </w:r>
          </w:p>
        </w:tc>
        <w:tc>
          <w:tcPr>
            <w:tcW w:w="708" w:type="dxa"/>
            <w:gridSpan w:val="2"/>
            <w:shd w:val="clear" w:color="auto" w:fill="FFFFFF"/>
          </w:tcPr>
          <w:p w14:paraId="4427C4D2" w14:textId="77777777" w:rsidR="00486AAC" w:rsidRPr="00486AAC" w:rsidRDefault="00486AAC" w:rsidP="00486AAC">
            <w:r w:rsidRPr="00486AAC">
              <w:t>0,00</w:t>
            </w:r>
          </w:p>
        </w:tc>
        <w:tc>
          <w:tcPr>
            <w:tcW w:w="708" w:type="dxa"/>
            <w:gridSpan w:val="2"/>
            <w:shd w:val="clear" w:color="auto" w:fill="FFFFFF"/>
          </w:tcPr>
          <w:p w14:paraId="44B686A7" w14:textId="77777777" w:rsidR="00486AAC" w:rsidRPr="00486AAC" w:rsidRDefault="00486AAC" w:rsidP="00486AAC">
            <w:r w:rsidRPr="00486AAC">
              <w:t>0,00</w:t>
            </w:r>
          </w:p>
        </w:tc>
        <w:tc>
          <w:tcPr>
            <w:tcW w:w="710" w:type="dxa"/>
            <w:shd w:val="clear" w:color="auto" w:fill="FFFFFF"/>
          </w:tcPr>
          <w:p w14:paraId="295890C2" w14:textId="77777777" w:rsidR="00486AAC" w:rsidRPr="00486AAC" w:rsidRDefault="00486AAC" w:rsidP="00486AAC">
            <w:r w:rsidRPr="00486AAC">
              <w:t>0,00</w:t>
            </w:r>
          </w:p>
        </w:tc>
        <w:tc>
          <w:tcPr>
            <w:tcW w:w="709" w:type="dxa"/>
            <w:gridSpan w:val="3"/>
            <w:shd w:val="clear" w:color="auto" w:fill="FFFFFF"/>
          </w:tcPr>
          <w:p w14:paraId="45B61F05" w14:textId="77777777" w:rsidR="00486AAC" w:rsidRPr="00486AAC" w:rsidRDefault="00486AAC" w:rsidP="00486AAC">
            <w:r w:rsidRPr="00486AAC">
              <w:t>0,00</w:t>
            </w:r>
          </w:p>
        </w:tc>
        <w:tc>
          <w:tcPr>
            <w:tcW w:w="567" w:type="dxa"/>
            <w:gridSpan w:val="2"/>
            <w:shd w:val="clear" w:color="auto" w:fill="FFFFFF"/>
          </w:tcPr>
          <w:p w14:paraId="76D0D3A9" w14:textId="77777777" w:rsidR="00486AAC" w:rsidRPr="00486AAC" w:rsidRDefault="00486AAC" w:rsidP="00486AAC">
            <w:r w:rsidRPr="00486AAC">
              <w:t>0,00</w:t>
            </w:r>
          </w:p>
        </w:tc>
        <w:tc>
          <w:tcPr>
            <w:tcW w:w="567" w:type="dxa"/>
            <w:shd w:val="clear" w:color="auto" w:fill="FFFFFF"/>
          </w:tcPr>
          <w:p w14:paraId="4454FA39" w14:textId="77777777" w:rsidR="00486AAC" w:rsidRPr="00486AAC" w:rsidRDefault="00486AAC" w:rsidP="00486AAC">
            <w:r w:rsidRPr="00486AAC">
              <w:t>0,00</w:t>
            </w:r>
          </w:p>
        </w:tc>
        <w:tc>
          <w:tcPr>
            <w:tcW w:w="567" w:type="dxa"/>
            <w:gridSpan w:val="2"/>
            <w:shd w:val="clear" w:color="auto" w:fill="FFFFFF"/>
          </w:tcPr>
          <w:p w14:paraId="0B10320E" w14:textId="77777777" w:rsidR="00486AAC" w:rsidRPr="00486AAC" w:rsidRDefault="00486AAC" w:rsidP="00486AAC">
            <w:r w:rsidRPr="00486AAC">
              <w:t>0,00</w:t>
            </w:r>
          </w:p>
        </w:tc>
        <w:tc>
          <w:tcPr>
            <w:tcW w:w="567" w:type="dxa"/>
            <w:gridSpan w:val="2"/>
            <w:shd w:val="clear" w:color="auto" w:fill="FFFFFF"/>
          </w:tcPr>
          <w:p w14:paraId="075CF24B" w14:textId="77777777" w:rsidR="00486AAC" w:rsidRPr="00486AAC" w:rsidRDefault="00486AAC" w:rsidP="00486AAC">
            <w:r w:rsidRPr="00486AAC">
              <w:t>0,00</w:t>
            </w:r>
          </w:p>
        </w:tc>
        <w:tc>
          <w:tcPr>
            <w:tcW w:w="1278" w:type="dxa"/>
            <w:gridSpan w:val="2"/>
            <w:shd w:val="clear" w:color="auto" w:fill="FFFFFF"/>
          </w:tcPr>
          <w:p w14:paraId="13C7EB5C" w14:textId="77777777" w:rsidR="00486AAC" w:rsidRPr="00486AAC" w:rsidRDefault="00486AAC" w:rsidP="00486AAC"/>
        </w:tc>
      </w:tr>
      <w:tr w:rsidR="00486AAC" w:rsidRPr="00486AAC" w14:paraId="772B0861" w14:textId="77777777" w:rsidTr="009F408A">
        <w:trPr>
          <w:trHeight w:val="321"/>
        </w:trPr>
        <w:tc>
          <w:tcPr>
            <w:tcW w:w="2410" w:type="dxa"/>
            <w:gridSpan w:val="3"/>
            <w:shd w:val="clear" w:color="auto" w:fill="FFFFFF"/>
            <w:vAlign w:val="center"/>
          </w:tcPr>
          <w:p w14:paraId="5850B0DB" w14:textId="77777777" w:rsidR="00486AAC" w:rsidRPr="00486AAC" w:rsidRDefault="00486AAC" w:rsidP="00486AAC">
            <w:r w:rsidRPr="00486AAC">
              <w:t>budżet państwa</w:t>
            </w:r>
          </w:p>
        </w:tc>
        <w:tc>
          <w:tcPr>
            <w:tcW w:w="709" w:type="dxa"/>
            <w:shd w:val="clear" w:color="auto" w:fill="FFFFFF"/>
          </w:tcPr>
          <w:p w14:paraId="2A9D964E" w14:textId="77777777" w:rsidR="00486AAC" w:rsidRPr="00486AAC" w:rsidRDefault="00486AAC" w:rsidP="00486AAC">
            <w:r w:rsidRPr="00486AAC">
              <w:t>0,00</w:t>
            </w:r>
          </w:p>
        </w:tc>
        <w:tc>
          <w:tcPr>
            <w:tcW w:w="709" w:type="dxa"/>
            <w:gridSpan w:val="2"/>
            <w:shd w:val="clear" w:color="auto" w:fill="FFFFFF"/>
          </w:tcPr>
          <w:p w14:paraId="7A9BF284" w14:textId="77777777" w:rsidR="00486AAC" w:rsidRPr="00486AAC" w:rsidRDefault="00486AAC" w:rsidP="00486AAC">
            <w:r w:rsidRPr="00486AAC">
              <w:t>0,00</w:t>
            </w:r>
          </w:p>
        </w:tc>
        <w:tc>
          <w:tcPr>
            <w:tcW w:w="709" w:type="dxa"/>
            <w:gridSpan w:val="2"/>
            <w:shd w:val="clear" w:color="auto" w:fill="FFFFFF"/>
          </w:tcPr>
          <w:p w14:paraId="4BB3BD65" w14:textId="77777777" w:rsidR="00486AAC" w:rsidRPr="00486AAC" w:rsidRDefault="00486AAC" w:rsidP="00486AAC">
            <w:r w:rsidRPr="00486AAC">
              <w:t>0,00</w:t>
            </w:r>
          </w:p>
        </w:tc>
        <w:tc>
          <w:tcPr>
            <w:tcW w:w="708" w:type="dxa"/>
            <w:gridSpan w:val="2"/>
            <w:shd w:val="clear" w:color="auto" w:fill="FFFFFF"/>
          </w:tcPr>
          <w:p w14:paraId="4975A6E1" w14:textId="77777777" w:rsidR="00486AAC" w:rsidRPr="00486AAC" w:rsidRDefault="00486AAC" w:rsidP="00486AAC">
            <w:r w:rsidRPr="00486AAC">
              <w:t>0,00</w:t>
            </w:r>
          </w:p>
        </w:tc>
        <w:tc>
          <w:tcPr>
            <w:tcW w:w="708" w:type="dxa"/>
            <w:gridSpan w:val="2"/>
            <w:shd w:val="clear" w:color="auto" w:fill="FFFFFF"/>
          </w:tcPr>
          <w:p w14:paraId="418FE1C0" w14:textId="77777777" w:rsidR="00486AAC" w:rsidRPr="00486AAC" w:rsidRDefault="00486AAC" w:rsidP="00486AAC">
            <w:r w:rsidRPr="00486AAC">
              <w:t>0,00</w:t>
            </w:r>
          </w:p>
        </w:tc>
        <w:tc>
          <w:tcPr>
            <w:tcW w:w="710" w:type="dxa"/>
            <w:shd w:val="clear" w:color="auto" w:fill="FFFFFF"/>
          </w:tcPr>
          <w:p w14:paraId="47D45EB0" w14:textId="77777777" w:rsidR="00486AAC" w:rsidRPr="00486AAC" w:rsidRDefault="00486AAC" w:rsidP="00486AAC">
            <w:r w:rsidRPr="00486AAC">
              <w:t>0,00</w:t>
            </w:r>
          </w:p>
        </w:tc>
        <w:tc>
          <w:tcPr>
            <w:tcW w:w="709" w:type="dxa"/>
            <w:gridSpan w:val="3"/>
            <w:shd w:val="clear" w:color="auto" w:fill="FFFFFF"/>
          </w:tcPr>
          <w:p w14:paraId="39415AE8" w14:textId="77777777" w:rsidR="00486AAC" w:rsidRPr="00486AAC" w:rsidRDefault="00486AAC" w:rsidP="00486AAC">
            <w:r w:rsidRPr="00486AAC">
              <w:t>0,00</w:t>
            </w:r>
          </w:p>
        </w:tc>
        <w:tc>
          <w:tcPr>
            <w:tcW w:w="567" w:type="dxa"/>
            <w:gridSpan w:val="2"/>
            <w:shd w:val="clear" w:color="auto" w:fill="FFFFFF"/>
          </w:tcPr>
          <w:p w14:paraId="1B494F60" w14:textId="77777777" w:rsidR="00486AAC" w:rsidRPr="00486AAC" w:rsidRDefault="00486AAC" w:rsidP="00486AAC">
            <w:r w:rsidRPr="00486AAC">
              <w:t>0,00</w:t>
            </w:r>
          </w:p>
        </w:tc>
        <w:tc>
          <w:tcPr>
            <w:tcW w:w="567" w:type="dxa"/>
            <w:shd w:val="clear" w:color="auto" w:fill="FFFFFF"/>
          </w:tcPr>
          <w:p w14:paraId="6676C83A" w14:textId="77777777" w:rsidR="00486AAC" w:rsidRPr="00486AAC" w:rsidRDefault="00486AAC" w:rsidP="00486AAC">
            <w:r w:rsidRPr="00486AAC">
              <w:t>0,00</w:t>
            </w:r>
          </w:p>
        </w:tc>
        <w:tc>
          <w:tcPr>
            <w:tcW w:w="567" w:type="dxa"/>
            <w:gridSpan w:val="2"/>
            <w:shd w:val="clear" w:color="auto" w:fill="FFFFFF"/>
          </w:tcPr>
          <w:p w14:paraId="75EC354E" w14:textId="77777777" w:rsidR="00486AAC" w:rsidRPr="00486AAC" w:rsidRDefault="00486AAC" w:rsidP="00486AAC">
            <w:r w:rsidRPr="00486AAC">
              <w:t>0,00</w:t>
            </w:r>
          </w:p>
        </w:tc>
        <w:tc>
          <w:tcPr>
            <w:tcW w:w="567" w:type="dxa"/>
            <w:gridSpan w:val="2"/>
            <w:shd w:val="clear" w:color="auto" w:fill="FFFFFF"/>
          </w:tcPr>
          <w:p w14:paraId="01C5E22F" w14:textId="77777777" w:rsidR="00486AAC" w:rsidRPr="00486AAC" w:rsidRDefault="00486AAC" w:rsidP="00486AAC">
            <w:r w:rsidRPr="00486AAC">
              <w:t>0,00</w:t>
            </w:r>
          </w:p>
        </w:tc>
        <w:tc>
          <w:tcPr>
            <w:tcW w:w="1278" w:type="dxa"/>
            <w:gridSpan w:val="2"/>
            <w:shd w:val="clear" w:color="auto" w:fill="FFFFFF"/>
          </w:tcPr>
          <w:p w14:paraId="1F82C778" w14:textId="77777777" w:rsidR="00486AAC" w:rsidRPr="00486AAC" w:rsidRDefault="00486AAC" w:rsidP="00486AAC"/>
        </w:tc>
      </w:tr>
      <w:tr w:rsidR="00486AAC" w:rsidRPr="00486AAC" w14:paraId="4BA99B85" w14:textId="77777777" w:rsidTr="009F408A">
        <w:trPr>
          <w:trHeight w:val="344"/>
        </w:trPr>
        <w:tc>
          <w:tcPr>
            <w:tcW w:w="2410" w:type="dxa"/>
            <w:gridSpan w:val="3"/>
            <w:shd w:val="clear" w:color="auto" w:fill="FFFFFF"/>
            <w:vAlign w:val="center"/>
          </w:tcPr>
          <w:p w14:paraId="48ED7483" w14:textId="77777777" w:rsidR="00486AAC" w:rsidRPr="00486AAC" w:rsidRDefault="00486AAC" w:rsidP="00486AAC">
            <w:r w:rsidRPr="00486AAC">
              <w:t>JST</w:t>
            </w:r>
          </w:p>
        </w:tc>
        <w:tc>
          <w:tcPr>
            <w:tcW w:w="709" w:type="dxa"/>
            <w:shd w:val="clear" w:color="auto" w:fill="FFFFFF"/>
          </w:tcPr>
          <w:p w14:paraId="589BA86B" w14:textId="77777777" w:rsidR="00486AAC" w:rsidRPr="00486AAC" w:rsidRDefault="00486AAC" w:rsidP="00486AAC">
            <w:r w:rsidRPr="00486AAC">
              <w:t>0,00</w:t>
            </w:r>
          </w:p>
        </w:tc>
        <w:tc>
          <w:tcPr>
            <w:tcW w:w="709" w:type="dxa"/>
            <w:gridSpan w:val="2"/>
            <w:shd w:val="clear" w:color="auto" w:fill="FFFFFF"/>
          </w:tcPr>
          <w:p w14:paraId="6699011D" w14:textId="77777777" w:rsidR="00486AAC" w:rsidRPr="00486AAC" w:rsidRDefault="00486AAC" w:rsidP="00486AAC">
            <w:r w:rsidRPr="00486AAC">
              <w:t>0,00</w:t>
            </w:r>
          </w:p>
        </w:tc>
        <w:tc>
          <w:tcPr>
            <w:tcW w:w="709" w:type="dxa"/>
            <w:gridSpan w:val="2"/>
            <w:shd w:val="clear" w:color="auto" w:fill="FFFFFF"/>
          </w:tcPr>
          <w:p w14:paraId="16CC9320" w14:textId="77777777" w:rsidR="00486AAC" w:rsidRPr="00486AAC" w:rsidRDefault="00486AAC" w:rsidP="00486AAC">
            <w:r w:rsidRPr="00486AAC">
              <w:t>0,00</w:t>
            </w:r>
          </w:p>
        </w:tc>
        <w:tc>
          <w:tcPr>
            <w:tcW w:w="708" w:type="dxa"/>
            <w:gridSpan w:val="2"/>
            <w:shd w:val="clear" w:color="auto" w:fill="FFFFFF"/>
          </w:tcPr>
          <w:p w14:paraId="4134E115" w14:textId="77777777" w:rsidR="00486AAC" w:rsidRPr="00486AAC" w:rsidRDefault="00486AAC" w:rsidP="00486AAC">
            <w:r w:rsidRPr="00486AAC">
              <w:t>0,00</w:t>
            </w:r>
          </w:p>
        </w:tc>
        <w:tc>
          <w:tcPr>
            <w:tcW w:w="708" w:type="dxa"/>
            <w:gridSpan w:val="2"/>
            <w:shd w:val="clear" w:color="auto" w:fill="FFFFFF"/>
          </w:tcPr>
          <w:p w14:paraId="24ABADC9" w14:textId="77777777" w:rsidR="00486AAC" w:rsidRPr="00486AAC" w:rsidRDefault="00486AAC" w:rsidP="00486AAC">
            <w:r w:rsidRPr="00486AAC">
              <w:t>0,00</w:t>
            </w:r>
          </w:p>
        </w:tc>
        <w:tc>
          <w:tcPr>
            <w:tcW w:w="710" w:type="dxa"/>
            <w:shd w:val="clear" w:color="auto" w:fill="FFFFFF"/>
          </w:tcPr>
          <w:p w14:paraId="6936B29C" w14:textId="77777777" w:rsidR="00486AAC" w:rsidRPr="00486AAC" w:rsidRDefault="00486AAC" w:rsidP="00486AAC">
            <w:r w:rsidRPr="00486AAC">
              <w:t>0,00</w:t>
            </w:r>
          </w:p>
        </w:tc>
        <w:tc>
          <w:tcPr>
            <w:tcW w:w="709" w:type="dxa"/>
            <w:gridSpan w:val="3"/>
            <w:shd w:val="clear" w:color="auto" w:fill="FFFFFF"/>
          </w:tcPr>
          <w:p w14:paraId="726F0C85" w14:textId="77777777" w:rsidR="00486AAC" w:rsidRPr="00486AAC" w:rsidRDefault="00486AAC" w:rsidP="00486AAC">
            <w:r w:rsidRPr="00486AAC">
              <w:t>0,00</w:t>
            </w:r>
          </w:p>
        </w:tc>
        <w:tc>
          <w:tcPr>
            <w:tcW w:w="567" w:type="dxa"/>
            <w:gridSpan w:val="2"/>
            <w:shd w:val="clear" w:color="auto" w:fill="FFFFFF"/>
          </w:tcPr>
          <w:p w14:paraId="29404234" w14:textId="77777777" w:rsidR="00486AAC" w:rsidRPr="00486AAC" w:rsidRDefault="00486AAC" w:rsidP="00486AAC">
            <w:r w:rsidRPr="00486AAC">
              <w:t>0,00</w:t>
            </w:r>
          </w:p>
        </w:tc>
        <w:tc>
          <w:tcPr>
            <w:tcW w:w="567" w:type="dxa"/>
            <w:shd w:val="clear" w:color="auto" w:fill="FFFFFF"/>
          </w:tcPr>
          <w:p w14:paraId="21389058" w14:textId="77777777" w:rsidR="00486AAC" w:rsidRPr="00486AAC" w:rsidRDefault="00486AAC" w:rsidP="00486AAC">
            <w:r w:rsidRPr="00486AAC">
              <w:t>0,00</w:t>
            </w:r>
          </w:p>
        </w:tc>
        <w:tc>
          <w:tcPr>
            <w:tcW w:w="567" w:type="dxa"/>
            <w:gridSpan w:val="2"/>
            <w:shd w:val="clear" w:color="auto" w:fill="FFFFFF"/>
          </w:tcPr>
          <w:p w14:paraId="12065670" w14:textId="77777777" w:rsidR="00486AAC" w:rsidRPr="00486AAC" w:rsidRDefault="00486AAC" w:rsidP="00486AAC">
            <w:r w:rsidRPr="00486AAC">
              <w:t>0,00</w:t>
            </w:r>
          </w:p>
        </w:tc>
        <w:tc>
          <w:tcPr>
            <w:tcW w:w="567" w:type="dxa"/>
            <w:gridSpan w:val="2"/>
            <w:shd w:val="clear" w:color="auto" w:fill="FFFFFF"/>
          </w:tcPr>
          <w:p w14:paraId="182ED1B2" w14:textId="77777777" w:rsidR="00486AAC" w:rsidRPr="00486AAC" w:rsidRDefault="00486AAC" w:rsidP="00486AAC">
            <w:r w:rsidRPr="00486AAC">
              <w:t>0,00</w:t>
            </w:r>
          </w:p>
        </w:tc>
        <w:tc>
          <w:tcPr>
            <w:tcW w:w="1278" w:type="dxa"/>
            <w:gridSpan w:val="2"/>
            <w:shd w:val="clear" w:color="auto" w:fill="FFFFFF"/>
          </w:tcPr>
          <w:p w14:paraId="572F4652" w14:textId="77777777" w:rsidR="00486AAC" w:rsidRPr="00486AAC" w:rsidRDefault="00486AAC" w:rsidP="00486AAC"/>
        </w:tc>
      </w:tr>
      <w:tr w:rsidR="00486AAC" w:rsidRPr="00486AAC" w14:paraId="3DC5E96E" w14:textId="77777777" w:rsidTr="009F408A">
        <w:trPr>
          <w:trHeight w:val="344"/>
        </w:trPr>
        <w:tc>
          <w:tcPr>
            <w:tcW w:w="2410" w:type="dxa"/>
            <w:gridSpan w:val="3"/>
            <w:shd w:val="clear" w:color="auto" w:fill="FFFFFF"/>
            <w:vAlign w:val="center"/>
          </w:tcPr>
          <w:p w14:paraId="44C00E17" w14:textId="77777777" w:rsidR="00486AAC" w:rsidRPr="00486AAC" w:rsidRDefault="00486AAC" w:rsidP="00486AAC">
            <w:r w:rsidRPr="00486AAC">
              <w:t>pozostałe jednostki (oddzielnie)</w:t>
            </w:r>
          </w:p>
        </w:tc>
        <w:tc>
          <w:tcPr>
            <w:tcW w:w="709" w:type="dxa"/>
            <w:shd w:val="clear" w:color="auto" w:fill="FFFFFF"/>
          </w:tcPr>
          <w:p w14:paraId="16E95ADB" w14:textId="77777777" w:rsidR="00486AAC" w:rsidRPr="00486AAC" w:rsidRDefault="00486AAC" w:rsidP="00486AAC">
            <w:r w:rsidRPr="00486AAC">
              <w:t>0,00</w:t>
            </w:r>
          </w:p>
        </w:tc>
        <w:tc>
          <w:tcPr>
            <w:tcW w:w="709" w:type="dxa"/>
            <w:gridSpan w:val="2"/>
            <w:shd w:val="clear" w:color="auto" w:fill="FFFFFF"/>
          </w:tcPr>
          <w:p w14:paraId="114F3683" w14:textId="77777777" w:rsidR="00486AAC" w:rsidRPr="00486AAC" w:rsidRDefault="00486AAC" w:rsidP="00486AAC">
            <w:r w:rsidRPr="00486AAC">
              <w:t>0,00</w:t>
            </w:r>
          </w:p>
        </w:tc>
        <w:tc>
          <w:tcPr>
            <w:tcW w:w="709" w:type="dxa"/>
            <w:gridSpan w:val="2"/>
            <w:shd w:val="clear" w:color="auto" w:fill="FFFFFF"/>
          </w:tcPr>
          <w:p w14:paraId="26EB06D9" w14:textId="77777777" w:rsidR="00486AAC" w:rsidRPr="00486AAC" w:rsidRDefault="00486AAC" w:rsidP="00486AAC">
            <w:r w:rsidRPr="00486AAC">
              <w:t>0,00</w:t>
            </w:r>
          </w:p>
        </w:tc>
        <w:tc>
          <w:tcPr>
            <w:tcW w:w="708" w:type="dxa"/>
            <w:gridSpan w:val="2"/>
            <w:shd w:val="clear" w:color="auto" w:fill="FFFFFF"/>
          </w:tcPr>
          <w:p w14:paraId="217282B5" w14:textId="77777777" w:rsidR="00486AAC" w:rsidRPr="00486AAC" w:rsidRDefault="00486AAC" w:rsidP="00486AAC">
            <w:r w:rsidRPr="00486AAC">
              <w:t>0,00</w:t>
            </w:r>
          </w:p>
        </w:tc>
        <w:tc>
          <w:tcPr>
            <w:tcW w:w="708" w:type="dxa"/>
            <w:gridSpan w:val="2"/>
            <w:shd w:val="clear" w:color="auto" w:fill="FFFFFF"/>
          </w:tcPr>
          <w:p w14:paraId="410D255B" w14:textId="77777777" w:rsidR="00486AAC" w:rsidRPr="00486AAC" w:rsidRDefault="00486AAC" w:rsidP="00486AAC">
            <w:r w:rsidRPr="00486AAC">
              <w:t>0,00</w:t>
            </w:r>
          </w:p>
        </w:tc>
        <w:tc>
          <w:tcPr>
            <w:tcW w:w="710" w:type="dxa"/>
            <w:shd w:val="clear" w:color="auto" w:fill="FFFFFF"/>
          </w:tcPr>
          <w:p w14:paraId="305EF877" w14:textId="77777777" w:rsidR="00486AAC" w:rsidRPr="00486AAC" w:rsidRDefault="00486AAC" w:rsidP="00486AAC">
            <w:r w:rsidRPr="00486AAC">
              <w:t>0,00</w:t>
            </w:r>
          </w:p>
        </w:tc>
        <w:tc>
          <w:tcPr>
            <w:tcW w:w="709" w:type="dxa"/>
            <w:gridSpan w:val="3"/>
            <w:shd w:val="clear" w:color="auto" w:fill="FFFFFF"/>
          </w:tcPr>
          <w:p w14:paraId="466EAFFE" w14:textId="77777777" w:rsidR="00486AAC" w:rsidRPr="00486AAC" w:rsidRDefault="00486AAC" w:rsidP="00486AAC">
            <w:r w:rsidRPr="00486AAC">
              <w:t>0,00</w:t>
            </w:r>
          </w:p>
        </w:tc>
        <w:tc>
          <w:tcPr>
            <w:tcW w:w="567" w:type="dxa"/>
            <w:gridSpan w:val="2"/>
            <w:shd w:val="clear" w:color="auto" w:fill="FFFFFF"/>
          </w:tcPr>
          <w:p w14:paraId="1F62770C" w14:textId="77777777" w:rsidR="00486AAC" w:rsidRPr="00486AAC" w:rsidRDefault="00486AAC" w:rsidP="00486AAC">
            <w:r w:rsidRPr="00486AAC">
              <w:t>0,00</w:t>
            </w:r>
          </w:p>
        </w:tc>
        <w:tc>
          <w:tcPr>
            <w:tcW w:w="567" w:type="dxa"/>
            <w:shd w:val="clear" w:color="auto" w:fill="FFFFFF"/>
          </w:tcPr>
          <w:p w14:paraId="1F7DBDAF" w14:textId="77777777" w:rsidR="00486AAC" w:rsidRPr="00486AAC" w:rsidRDefault="00486AAC" w:rsidP="00486AAC">
            <w:r w:rsidRPr="00486AAC">
              <w:t>0,00</w:t>
            </w:r>
          </w:p>
        </w:tc>
        <w:tc>
          <w:tcPr>
            <w:tcW w:w="567" w:type="dxa"/>
            <w:gridSpan w:val="2"/>
            <w:shd w:val="clear" w:color="auto" w:fill="FFFFFF"/>
          </w:tcPr>
          <w:p w14:paraId="35E2B080" w14:textId="77777777" w:rsidR="00486AAC" w:rsidRPr="00486AAC" w:rsidRDefault="00486AAC" w:rsidP="00486AAC">
            <w:r w:rsidRPr="00486AAC">
              <w:t>0,00</w:t>
            </w:r>
          </w:p>
        </w:tc>
        <w:tc>
          <w:tcPr>
            <w:tcW w:w="567" w:type="dxa"/>
            <w:gridSpan w:val="2"/>
            <w:shd w:val="clear" w:color="auto" w:fill="FFFFFF"/>
          </w:tcPr>
          <w:p w14:paraId="5499F4BE" w14:textId="77777777" w:rsidR="00486AAC" w:rsidRPr="00486AAC" w:rsidRDefault="00486AAC" w:rsidP="00486AAC">
            <w:r w:rsidRPr="00486AAC">
              <w:t>0,00</w:t>
            </w:r>
          </w:p>
        </w:tc>
        <w:tc>
          <w:tcPr>
            <w:tcW w:w="1278" w:type="dxa"/>
            <w:gridSpan w:val="2"/>
            <w:shd w:val="clear" w:color="auto" w:fill="FFFFFF"/>
          </w:tcPr>
          <w:p w14:paraId="314EF97C" w14:textId="77777777" w:rsidR="00486AAC" w:rsidRPr="00486AAC" w:rsidRDefault="00486AAC" w:rsidP="00486AAC"/>
        </w:tc>
      </w:tr>
      <w:tr w:rsidR="00486AAC" w:rsidRPr="00486AAC" w14:paraId="363B4BC4" w14:textId="77777777" w:rsidTr="009F408A">
        <w:trPr>
          <w:trHeight w:val="330"/>
        </w:trPr>
        <w:tc>
          <w:tcPr>
            <w:tcW w:w="2410" w:type="dxa"/>
            <w:gridSpan w:val="3"/>
            <w:shd w:val="clear" w:color="auto" w:fill="FFFFFF"/>
            <w:vAlign w:val="center"/>
          </w:tcPr>
          <w:p w14:paraId="6C990390" w14:textId="77777777" w:rsidR="00486AAC" w:rsidRPr="00486AAC" w:rsidRDefault="00486AAC" w:rsidP="00486AAC">
            <w:r w:rsidRPr="00486AAC">
              <w:t>Wydatki ogółem</w:t>
            </w:r>
          </w:p>
        </w:tc>
        <w:tc>
          <w:tcPr>
            <w:tcW w:w="709" w:type="dxa"/>
            <w:shd w:val="clear" w:color="auto" w:fill="FFFFFF"/>
          </w:tcPr>
          <w:p w14:paraId="452AAD03" w14:textId="77777777" w:rsidR="00486AAC" w:rsidRPr="00486AAC" w:rsidRDefault="00486AAC" w:rsidP="00486AAC">
            <w:r w:rsidRPr="00486AAC">
              <w:t>17,2</w:t>
            </w:r>
            <w:r w:rsidRPr="00486AAC">
              <w:lastRenderedPageBreak/>
              <w:t>13</w:t>
            </w:r>
          </w:p>
        </w:tc>
        <w:tc>
          <w:tcPr>
            <w:tcW w:w="709" w:type="dxa"/>
            <w:gridSpan w:val="2"/>
            <w:shd w:val="clear" w:color="auto" w:fill="FFFFFF"/>
          </w:tcPr>
          <w:p w14:paraId="113C361E" w14:textId="77777777" w:rsidR="00486AAC" w:rsidRPr="00486AAC" w:rsidRDefault="00486AAC" w:rsidP="00486AAC">
            <w:r w:rsidRPr="00486AAC">
              <w:lastRenderedPageBreak/>
              <w:t>11,6</w:t>
            </w:r>
            <w:r w:rsidRPr="00486AAC">
              <w:lastRenderedPageBreak/>
              <w:t>52</w:t>
            </w:r>
          </w:p>
        </w:tc>
        <w:tc>
          <w:tcPr>
            <w:tcW w:w="709" w:type="dxa"/>
            <w:gridSpan w:val="2"/>
            <w:shd w:val="clear" w:color="auto" w:fill="FFFFFF"/>
          </w:tcPr>
          <w:p w14:paraId="4DF4D133" w14:textId="77777777" w:rsidR="00486AAC" w:rsidRPr="00486AAC" w:rsidRDefault="00486AAC" w:rsidP="00486AAC">
            <w:r w:rsidRPr="00486AAC">
              <w:lastRenderedPageBreak/>
              <w:t>12,6</w:t>
            </w:r>
            <w:r w:rsidRPr="00486AAC">
              <w:lastRenderedPageBreak/>
              <w:t>12</w:t>
            </w:r>
          </w:p>
        </w:tc>
        <w:tc>
          <w:tcPr>
            <w:tcW w:w="708" w:type="dxa"/>
            <w:gridSpan w:val="2"/>
            <w:shd w:val="clear" w:color="auto" w:fill="FFFFFF"/>
          </w:tcPr>
          <w:p w14:paraId="440A6320" w14:textId="77777777" w:rsidR="00486AAC" w:rsidRPr="00486AAC" w:rsidRDefault="00486AAC" w:rsidP="00486AAC">
            <w:r w:rsidRPr="00486AAC">
              <w:lastRenderedPageBreak/>
              <w:t>0,98</w:t>
            </w:r>
          </w:p>
        </w:tc>
        <w:tc>
          <w:tcPr>
            <w:tcW w:w="708" w:type="dxa"/>
            <w:gridSpan w:val="2"/>
            <w:shd w:val="clear" w:color="auto" w:fill="FFFFFF"/>
          </w:tcPr>
          <w:p w14:paraId="5D89950B" w14:textId="77777777" w:rsidR="00486AAC" w:rsidRPr="00486AAC" w:rsidRDefault="00486AAC" w:rsidP="00486AAC">
            <w:r w:rsidRPr="00486AAC">
              <w:t>4,76</w:t>
            </w:r>
            <w:r w:rsidRPr="00486AAC">
              <w:lastRenderedPageBreak/>
              <w:t>4</w:t>
            </w:r>
          </w:p>
        </w:tc>
        <w:tc>
          <w:tcPr>
            <w:tcW w:w="710" w:type="dxa"/>
            <w:shd w:val="clear" w:color="auto" w:fill="FFFFFF"/>
          </w:tcPr>
          <w:p w14:paraId="0227BFB6" w14:textId="77777777" w:rsidR="00486AAC" w:rsidRPr="00486AAC" w:rsidRDefault="00486AAC" w:rsidP="00486AAC">
            <w:r w:rsidRPr="00486AAC">
              <w:lastRenderedPageBreak/>
              <w:t>10,7</w:t>
            </w:r>
            <w:r w:rsidRPr="00486AAC">
              <w:lastRenderedPageBreak/>
              <w:t>16</w:t>
            </w:r>
          </w:p>
        </w:tc>
        <w:tc>
          <w:tcPr>
            <w:tcW w:w="709" w:type="dxa"/>
            <w:gridSpan w:val="3"/>
            <w:shd w:val="clear" w:color="auto" w:fill="FFFFFF"/>
          </w:tcPr>
          <w:p w14:paraId="49F24E22" w14:textId="77777777" w:rsidR="00486AAC" w:rsidRPr="00486AAC" w:rsidRDefault="00486AAC" w:rsidP="00486AAC">
            <w:r w:rsidRPr="00486AAC">
              <w:lastRenderedPageBreak/>
              <w:t>2,53</w:t>
            </w:r>
            <w:r w:rsidRPr="00486AAC">
              <w:lastRenderedPageBreak/>
              <w:t>2</w:t>
            </w:r>
          </w:p>
        </w:tc>
        <w:tc>
          <w:tcPr>
            <w:tcW w:w="567" w:type="dxa"/>
            <w:gridSpan w:val="2"/>
            <w:shd w:val="clear" w:color="auto" w:fill="FFFFFF"/>
          </w:tcPr>
          <w:p w14:paraId="6FAC3DDA" w14:textId="77777777" w:rsidR="00486AAC" w:rsidRPr="00486AAC" w:rsidRDefault="00486AAC" w:rsidP="00486AAC">
            <w:r w:rsidRPr="00486AAC">
              <w:lastRenderedPageBreak/>
              <w:t>0,0</w:t>
            </w:r>
            <w:r w:rsidRPr="00486AAC">
              <w:lastRenderedPageBreak/>
              <w:t>0</w:t>
            </w:r>
          </w:p>
        </w:tc>
        <w:tc>
          <w:tcPr>
            <w:tcW w:w="567" w:type="dxa"/>
            <w:shd w:val="clear" w:color="auto" w:fill="FFFFFF"/>
          </w:tcPr>
          <w:p w14:paraId="3DCDBA53" w14:textId="77777777" w:rsidR="00486AAC" w:rsidRPr="00486AAC" w:rsidRDefault="00486AAC" w:rsidP="00486AAC">
            <w:r w:rsidRPr="00486AAC">
              <w:lastRenderedPageBreak/>
              <w:t>0,0</w:t>
            </w:r>
            <w:r w:rsidRPr="00486AAC">
              <w:lastRenderedPageBreak/>
              <w:t>0</w:t>
            </w:r>
          </w:p>
        </w:tc>
        <w:tc>
          <w:tcPr>
            <w:tcW w:w="567" w:type="dxa"/>
            <w:gridSpan w:val="2"/>
            <w:shd w:val="clear" w:color="auto" w:fill="FFFFFF"/>
          </w:tcPr>
          <w:p w14:paraId="1871CBCF" w14:textId="77777777" w:rsidR="00486AAC" w:rsidRPr="00486AAC" w:rsidRDefault="00486AAC" w:rsidP="00486AAC">
            <w:r w:rsidRPr="00486AAC">
              <w:lastRenderedPageBreak/>
              <w:t>0,0</w:t>
            </w:r>
            <w:r w:rsidRPr="00486AAC">
              <w:lastRenderedPageBreak/>
              <w:t>0</w:t>
            </w:r>
          </w:p>
        </w:tc>
        <w:tc>
          <w:tcPr>
            <w:tcW w:w="567" w:type="dxa"/>
            <w:gridSpan w:val="2"/>
            <w:shd w:val="clear" w:color="auto" w:fill="FFFFFF"/>
          </w:tcPr>
          <w:p w14:paraId="60A48CE1" w14:textId="77777777" w:rsidR="00486AAC" w:rsidRPr="00486AAC" w:rsidRDefault="00486AAC" w:rsidP="00486AAC">
            <w:r w:rsidRPr="00486AAC">
              <w:lastRenderedPageBreak/>
              <w:t>0,0</w:t>
            </w:r>
            <w:r w:rsidRPr="00486AAC">
              <w:lastRenderedPageBreak/>
              <w:t>0</w:t>
            </w:r>
          </w:p>
        </w:tc>
        <w:tc>
          <w:tcPr>
            <w:tcW w:w="1278" w:type="dxa"/>
            <w:gridSpan w:val="2"/>
            <w:shd w:val="clear" w:color="auto" w:fill="FFFFFF"/>
          </w:tcPr>
          <w:p w14:paraId="23BD74EC" w14:textId="77777777" w:rsidR="00486AAC" w:rsidRPr="00486AAC" w:rsidRDefault="00486AAC" w:rsidP="00486AAC">
            <w:r w:rsidRPr="00486AAC">
              <w:lastRenderedPageBreak/>
              <w:t xml:space="preserve"> 60,469</w:t>
            </w:r>
          </w:p>
        </w:tc>
      </w:tr>
      <w:tr w:rsidR="00486AAC" w:rsidRPr="00486AAC" w14:paraId="3873059E" w14:textId="77777777" w:rsidTr="009F408A">
        <w:trPr>
          <w:trHeight w:val="330"/>
        </w:trPr>
        <w:tc>
          <w:tcPr>
            <w:tcW w:w="2410" w:type="dxa"/>
            <w:gridSpan w:val="3"/>
            <w:shd w:val="clear" w:color="auto" w:fill="FFFFFF"/>
            <w:vAlign w:val="center"/>
          </w:tcPr>
          <w:p w14:paraId="1BD6635D" w14:textId="77777777" w:rsidR="00486AAC" w:rsidRPr="00486AAC" w:rsidRDefault="00486AAC" w:rsidP="00486AAC">
            <w:r w:rsidRPr="00486AAC">
              <w:t>budżet państwa</w:t>
            </w:r>
          </w:p>
        </w:tc>
        <w:tc>
          <w:tcPr>
            <w:tcW w:w="709" w:type="dxa"/>
            <w:shd w:val="clear" w:color="auto" w:fill="FFFFFF"/>
          </w:tcPr>
          <w:p w14:paraId="0AAEB35E" w14:textId="77777777" w:rsidR="00486AAC" w:rsidRPr="00486AAC" w:rsidRDefault="00486AAC" w:rsidP="00486AAC">
            <w:r w:rsidRPr="00486AAC">
              <w:t>17,213</w:t>
            </w:r>
          </w:p>
        </w:tc>
        <w:tc>
          <w:tcPr>
            <w:tcW w:w="709" w:type="dxa"/>
            <w:gridSpan w:val="2"/>
            <w:shd w:val="clear" w:color="auto" w:fill="FFFFFF"/>
          </w:tcPr>
          <w:p w14:paraId="6B23C2AF" w14:textId="77777777" w:rsidR="00486AAC" w:rsidRPr="00486AAC" w:rsidRDefault="00486AAC" w:rsidP="00486AAC">
            <w:r w:rsidRPr="00486AAC">
              <w:t>11,652</w:t>
            </w:r>
          </w:p>
        </w:tc>
        <w:tc>
          <w:tcPr>
            <w:tcW w:w="709" w:type="dxa"/>
            <w:gridSpan w:val="2"/>
            <w:shd w:val="clear" w:color="auto" w:fill="FFFFFF"/>
          </w:tcPr>
          <w:p w14:paraId="55F0B3DA" w14:textId="77777777" w:rsidR="00486AAC" w:rsidRPr="00486AAC" w:rsidRDefault="00486AAC" w:rsidP="00486AAC">
            <w:r w:rsidRPr="00486AAC">
              <w:t>12,612</w:t>
            </w:r>
          </w:p>
        </w:tc>
        <w:tc>
          <w:tcPr>
            <w:tcW w:w="708" w:type="dxa"/>
            <w:gridSpan w:val="2"/>
            <w:shd w:val="clear" w:color="auto" w:fill="FFFFFF"/>
          </w:tcPr>
          <w:p w14:paraId="0E308AD7" w14:textId="77777777" w:rsidR="00486AAC" w:rsidRPr="00486AAC" w:rsidRDefault="00486AAC" w:rsidP="00486AAC">
            <w:r w:rsidRPr="00486AAC">
              <w:t>0,98</w:t>
            </w:r>
          </w:p>
        </w:tc>
        <w:tc>
          <w:tcPr>
            <w:tcW w:w="708" w:type="dxa"/>
            <w:gridSpan w:val="2"/>
            <w:shd w:val="clear" w:color="auto" w:fill="FFFFFF"/>
          </w:tcPr>
          <w:p w14:paraId="774B0902" w14:textId="77777777" w:rsidR="00486AAC" w:rsidRPr="00486AAC" w:rsidRDefault="00486AAC" w:rsidP="00486AAC">
            <w:r w:rsidRPr="00486AAC">
              <w:t>4,764</w:t>
            </w:r>
          </w:p>
        </w:tc>
        <w:tc>
          <w:tcPr>
            <w:tcW w:w="710" w:type="dxa"/>
            <w:shd w:val="clear" w:color="auto" w:fill="FFFFFF"/>
          </w:tcPr>
          <w:p w14:paraId="14A586B1" w14:textId="77777777" w:rsidR="00486AAC" w:rsidRPr="00486AAC" w:rsidRDefault="00486AAC" w:rsidP="00486AAC">
            <w:r w:rsidRPr="00486AAC">
              <w:t>10,716</w:t>
            </w:r>
          </w:p>
        </w:tc>
        <w:tc>
          <w:tcPr>
            <w:tcW w:w="709" w:type="dxa"/>
            <w:gridSpan w:val="3"/>
            <w:shd w:val="clear" w:color="auto" w:fill="FFFFFF"/>
          </w:tcPr>
          <w:p w14:paraId="2D2CFC9C" w14:textId="77777777" w:rsidR="00486AAC" w:rsidRPr="00486AAC" w:rsidRDefault="00486AAC" w:rsidP="00486AAC">
            <w:r w:rsidRPr="00486AAC">
              <w:t>2,532</w:t>
            </w:r>
          </w:p>
        </w:tc>
        <w:tc>
          <w:tcPr>
            <w:tcW w:w="567" w:type="dxa"/>
            <w:gridSpan w:val="2"/>
            <w:shd w:val="clear" w:color="auto" w:fill="FFFFFF"/>
          </w:tcPr>
          <w:p w14:paraId="31E3AB03" w14:textId="77777777" w:rsidR="00486AAC" w:rsidRPr="00486AAC" w:rsidRDefault="00486AAC" w:rsidP="00486AAC">
            <w:r w:rsidRPr="00486AAC">
              <w:t>0,00</w:t>
            </w:r>
          </w:p>
        </w:tc>
        <w:tc>
          <w:tcPr>
            <w:tcW w:w="567" w:type="dxa"/>
            <w:shd w:val="clear" w:color="auto" w:fill="FFFFFF"/>
          </w:tcPr>
          <w:p w14:paraId="062470BA" w14:textId="77777777" w:rsidR="00486AAC" w:rsidRPr="00486AAC" w:rsidRDefault="00486AAC" w:rsidP="00486AAC">
            <w:r w:rsidRPr="00486AAC">
              <w:t>0,00</w:t>
            </w:r>
          </w:p>
        </w:tc>
        <w:tc>
          <w:tcPr>
            <w:tcW w:w="567" w:type="dxa"/>
            <w:gridSpan w:val="2"/>
            <w:shd w:val="clear" w:color="auto" w:fill="FFFFFF"/>
          </w:tcPr>
          <w:p w14:paraId="3F0552DB" w14:textId="77777777" w:rsidR="00486AAC" w:rsidRPr="00486AAC" w:rsidRDefault="00486AAC" w:rsidP="00486AAC">
            <w:r w:rsidRPr="00486AAC">
              <w:t>0,00</w:t>
            </w:r>
          </w:p>
        </w:tc>
        <w:tc>
          <w:tcPr>
            <w:tcW w:w="567" w:type="dxa"/>
            <w:gridSpan w:val="2"/>
            <w:shd w:val="clear" w:color="auto" w:fill="FFFFFF"/>
          </w:tcPr>
          <w:p w14:paraId="4A4879BE" w14:textId="77777777" w:rsidR="00486AAC" w:rsidRPr="00486AAC" w:rsidRDefault="00486AAC" w:rsidP="00486AAC">
            <w:r w:rsidRPr="00486AAC">
              <w:t>0,00</w:t>
            </w:r>
          </w:p>
        </w:tc>
        <w:tc>
          <w:tcPr>
            <w:tcW w:w="1278" w:type="dxa"/>
            <w:gridSpan w:val="2"/>
            <w:shd w:val="clear" w:color="auto" w:fill="FFFFFF"/>
          </w:tcPr>
          <w:p w14:paraId="59735439" w14:textId="77777777" w:rsidR="00486AAC" w:rsidRPr="00486AAC" w:rsidRDefault="00486AAC" w:rsidP="00486AAC">
            <w:r w:rsidRPr="00486AAC">
              <w:t xml:space="preserve"> 60,469</w:t>
            </w:r>
          </w:p>
        </w:tc>
      </w:tr>
      <w:tr w:rsidR="00486AAC" w:rsidRPr="00486AAC" w14:paraId="15BC3325" w14:textId="77777777" w:rsidTr="009F408A">
        <w:trPr>
          <w:trHeight w:val="351"/>
        </w:trPr>
        <w:tc>
          <w:tcPr>
            <w:tcW w:w="2410" w:type="dxa"/>
            <w:gridSpan w:val="3"/>
            <w:shd w:val="clear" w:color="auto" w:fill="FFFFFF"/>
            <w:vAlign w:val="center"/>
          </w:tcPr>
          <w:p w14:paraId="2FAB625B" w14:textId="77777777" w:rsidR="00486AAC" w:rsidRPr="00486AAC" w:rsidRDefault="00486AAC" w:rsidP="00486AAC">
            <w:r w:rsidRPr="00486AAC">
              <w:t>JST</w:t>
            </w:r>
          </w:p>
        </w:tc>
        <w:tc>
          <w:tcPr>
            <w:tcW w:w="709" w:type="dxa"/>
            <w:shd w:val="clear" w:color="auto" w:fill="FFFFFF"/>
          </w:tcPr>
          <w:p w14:paraId="5CE8FC5F" w14:textId="77777777" w:rsidR="00486AAC" w:rsidRPr="00486AAC" w:rsidRDefault="00486AAC" w:rsidP="00486AAC">
            <w:r w:rsidRPr="00486AAC">
              <w:t>0,00</w:t>
            </w:r>
          </w:p>
        </w:tc>
        <w:tc>
          <w:tcPr>
            <w:tcW w:w="709" w:type="dxa"/>
            <w:gridSpan w:val="2"/>
            <w:shd w:val="clear" w:color="auto" w:fill="FFFFFF"/>
          </w:tcPr>
          <w:p w14:paraId="7126B501" w14:textId="77777777" w:rsidR="00486AAC" w:rsidRPr="00486AAC" w:rsidRDefault="00486AAC" w:rsidP="00486AAC">
            <w:r w:rsidRPr="00486AAC">
              <w:t>0,00</w:t>
            </w:r>
          </w:p>
        </w:tc>
        <w:tc>
          <w:tcPr>
            <w:tcW w:w="709" w:type="dxa"/>
            <w:gridSpan w:val="2"/>
            <w:shd w:val="clear" w:color="auto" w:fill="FFFFFF"/>
          </w:tcPr>
          <w:p w14:paraId="74FAE82A" w14:textId="77777777" w:rsidR="00486AAC" w:rsidRPr="00486AAC" w:rsidRDefault="00486AAC" w:rsidP="00486AAC">
            <w:r w:rsidRPr="00486AAC">
              <w:t>0,00</w:t>
            </w:r>
          </w:p>
        </w:tc>
        <w:tc>
          <w:tcPr>
            <w:tcW w:w="708" w:type="dxa"/>
            <w:gridSpan w:val="2"/>
            <w:shd w:val="clear" w:color="auto" w:fill="FFFFFF"/>
          </w:tcPr>
          <w:p w14:paraId="58A97663" w14:textId="77777777" w:rsidR="00486AAC" w:rsidRPr="00486AAC" w:rsidRDefault="00486AAC" w:rsidP="00486AAC">
            <w:r w:rsidRPr="00486AAC">
              <w:t>0,00</w:t>
            </w:r>
          </w:p>
        </w:tc>
        <w:tc>
          <w:tcPr>
            <w:tcW w:w="708" w:type="dxa"/>
            <w:gridSpan w:val="2"/>
            <w:shd w:val="clear" w:color="auto" w:fill="FFFFFF"/>
          </w:tcPr>
          <w:p w14:paraId="782F99CA" w14:textId="77777777" w:rsidR="00486AAC" w:rsidRPr="00486AAC" w:rsidRDefault="00486AAC" w:rsidP="00486AAC">
            <w:r w:rsidRPr="00486AAC">
              <w:t>0,00</w:t>
            </w:r>
          </w:p>
        </w:tc>
        <w:tc>
          <w:tcPr>
            <w:tcW w:w="710" w:type="dxa"/>
            <w:shd w:val="clear" w:color="auto" w:fill="FFFFFF"/>
          </w:tcPr>
          <w:p w14:paraId="552BD4D1" w14:textId="77777777" w:rsidR="00486AAC" w:rsidRPr="00486AAC" w:rsidRDefault="00486AAC" w:rsidP="00486AAC">
            <w:r w:rsidRPr="00486AAC">
              <w:t>0,00</w:t>
            </w:r>
          </w:p>
        </w:tc>
        <w:tc>
          <w:tcPr>
            <w:tcW w:w="709" w:type="dxa"/>
            <w:gridSpan w:val="3"/>
            <w:shd w:val="clear" w:color="auto" w:fill="FFFFFF"/>
          </w:tcPr>
          <w:p w14:paraId="0D902846" w14:textId="77777777" w:rsidR="00486AAC" w:rsidRPr="00486AAC" w:rsidRDefault="00486AAC" w:rsidP="00486AAC">
            <w:r w:rsidRPr="00486AAC">
              <w:t>0,00</w:t>
            </w:r>
          </w:p>
        </w:tc>
        <w:tc>
          <w:tcPr>
            <w:tcW w:w="567" w:type="dxa"/>
            <w:gridSpan w:val="2"/>
            <w:shd w:val="clear" w:color="auto" w:fill="FFFFFF"/>
          </w:tcPr>
          <w:p w14:paraId="6E65D0CE" w14:textId="77777777" w:rsidR="00486AAC" w:rsidRPr="00486AAC" w:rsidRDefault="00486AAC" w:rsidP="00486AAC">
            <w:r w:rsidRPr="00486AAC">
              <w:t>0,00</w:t>
            </w:r>
          </w:p>
        </w:tc>
        <w:tc>
          <w:tcPr>
            <w:tcW w:w="567" w:type="dxa"/>
            <w:shd w:val="clear" w:color="auto" w:fill="FFFFFF"/>
          </w:tcPr>
          <w:p w14:paraId="530864B3" w14:textId="77777777" w:rsidR="00486AAC" w:rsidRPr="00486AAC" w:rsidRDefault="00486AAC" w:rsidP="00486AAC">
            <w:r w:rsidRPr="00486AAC">
              <w:t>0,00</w:t>
            </w:r>
          </w:p>
        </w:tc>
        <w:tc>
          <w:tcPr>
            <w:tcW w:w="567" w:type="dxa"/>
            <w:gridSpan w:val="2"/>
            <w:shd w:val="clear" w:color="auto" w:fill="FFFFFF"/>
          </w:tcPr>
          <w:p w14:paraId="040BF63B" w14:textId="77777777" w:rsidR="00486AAC" w:rsidRPr="00486AAC" w:rsidRDefault="00486AAC" w:rsidP="00486AAC">
            <w:r w:rsidRPr="00486AAC">
              <w:t>0,00</w:t>
            </w:r>
          </w:p>
        </w:tc>
        <w:tc>
          <w:tcPr>
            <w:tcW w:w="567" w:type="dxa"/>
            <w:gridSpan w:val="2"/>
            <w:shd w:val="clear" w:color="auto" w:fill="FFFFFF"/>
          </w:tcPr>
          <w:p w14:paraId="59F1E8AF" w14:textId="77777777" w:rsidR="00486AAC" w:rsidRPr="00486AAC" w:rsidRDefault="00486AAC" w:rsidP="00486AAC">
            <w:r w:rsidRPr="00486AAC">
              <w:t>0,00</w:t>
            </w:r>
          </w:p>
        </w:tc>
        <w:tc>
          <w:tcPr>
            <w:tcW w:w="1278" w:type="dxa"/>
            <w:gridSpan w:val="2"/>
            <w:shd w:val="clear" w:color="auto" w:fill="FFFFFF"/>
          </w:tcPr>
          <w:p w14:paraId="307864B5" w14:textId="77777777" w:rsidR="00486AAC" w:rsidRPr="00486AAC" w:rsidRDefault="00486AAC" w:rsidP="00486AAC"/>
        </w:tc>
      </w:tr>
      <w:tr w:rsidR="00486AAC" w:rsidRPr="00486AAC" w14:paraId="799D121F" w14:textId="77777777" w:rsidTr="009F408A">
        <w:trPr>
          <w:trHeight w:val="351"/>
        </w:trPr>
        <w:tc>
          <w:tcPr>
            <w:tcW w:w="2410" w:type="dxa"/>
            <w:gridSpan w:val="3"/>
            <w:shd w:val="clear" w:color="auto" w:fill="FFFFFF"/>
            <w:vAlign w:val="center"/>
          </w:tcPr>
          <w:p w14:paraId="7002DF8A" w14:textId="77777777" w:rsidR="00486AAC" w:rsidRPr="00486AAC" w:rsidRDefault="00486AAC" w:rsidP="00486AAC">
            <w:r w:rsidRPr="00486AAC">
              <w:t>pozostałe jednostki (oddzielnie)</w:t>
            </w:r>
          </w:p>
        </w:tc>
        <w:tc>
          <w:tcPr>
            <w:tcW w:w="709" w:type="dxa"/>
            <w:shd w:val="clear" w:color="auto" w:fill="FFFFFF"/>
          </w:tcPr>
          <w:p w14:paraId="3946ADD0" w14:textId="77777777" w:rsidR="00486AAC" w:rsidRPr="00486AAC" w:rsidRDefault="00486AAC" w:rsidP="00486AAC">
            <w:r w:rsidRPr="00486AAC">
              <w:t>0,00</w:t>
            </w:r>
          </w:p>
        </w:tc>
        <w:tc>
          <w:tcPr>
            <w:tcW w:w="709" w:type="dxa"/>
            <w:gridSpan w:val="2"/>
            <w:shd w:val="clear" w:color="auto" w:fill="FFFFFF"/>
          </w:tcPr>
          <w:p w14:paraId="6786E7FE" w14:textId="77777777" w:rsidR="00486AAC" w:rsidRPr="00486AAC" w:rsidRDefault="00486AAC" w:rsidP="00486AAC">
            <w:r w:rsidRPr="00486AAC">
              <w:t>0,00</w:t>
            </w:r>
          </w:p>
        </w:tc>
        <w:tc>
          <w:tcPr>
            <w:tcW w:w="709" w:type="dxa"/>
            <w:gridSpan w:val="2"/>
            <w:shd w:val="clear" w:color="auto" w:fill="FFFFFF"/>
          </w:tcPr>
          <w:p w14:paraId="3D7ED689" w14:textId="77777777" w:rsidR="00486AAC" w:rsidRPr="00486AAC" w:rsidRDefault="00486AAC" w:rsidP="00486AAC">
            <w:r w:rsidRPr="00486AAC">
              <w:t>0,00</w:t>
            </w:r>
          </w:p>
        </w:tc>
        <w:tc>
          <w:tcPr>
            <w:tcW w:w="708" w:type="dxa"/>
            <w:gridSpan w:val="2"/>
            <w:shd w:val="clear" w:color="auto" w:fill="FFFFFF"/>
          </w:tcPr>
          <w:p w14:paraId="45F928C0" w14:textId="77777777" w:rsidR="00486AAC" w:rsidRPr="00486AAC" w:rsidRDefault="00486AAC" w:rsidP="00486AAC">
            <w:r w:rsidRPr="00486AAC">
              <w:t>0,00</w:t>
            </w:r>
          </w:p>
        </w:tc>
        <w:tc>
          <w:tcPr>
            <w:tcW w:w="708" w:type="dxa"/>
            <w:gridSpan w:val="2"/>
            <w:shd w:val="clear" w:color="auto" w:fill="FFFFFF"/>
          </w:tcPr>
          <w:p w14:paraId="029D2592" w14:textId="77777777" w:rsidR="00486AAC" w:rsidRPr="00486AAC" w:rsidRDefault="00486AAC" w:rsidP="00486AAC">
            <w:r w:rsidRPr="00486AAC">
              <w:t>0,00</w:t>
            </w:r>
          </w:p>
        </w:tc>
        <w:tc>
          <w:tcPr>
            <w:tcW w:w="710" w:type="dxa"/>
            <w:shd w:val="clear" w:color="auto" w:fill="FFFFFF"/>
          </w:tcPr>
          <w:p w14:paraId="61B70104" w14:textId="77777777" w:rsidR="00486AAC" w:rsidRPr="00486AAC" w:rsidRDefault="00486AAC" w:rsidP="00486AAC">
            <w:r w:rsidRPr="00486AAC">
              <w:t>0,00</w:t>
            </w:r>
          </w:p>
        </w:tc>
        <w:tc>
          <w:tcPr>
            <w:tcW w:w="709" w:type="dxa"/>
            <w:gridSpan w:val="3"/>
            <w:shd w:val="clear" w:color="auto" w:fill="FFFFFF"/>
          </w:tcPr>
          <w:p w14:paraId="44AEF263" w14:textId="77777777" w:rsidR="00486AAC" w:rsidRPr="00486AAC" w:rsidRDefault="00486AAC" w:rsidP="00486AAC">
            <w:r w:rsidRPr="00486AAC">
              <w:t>0,00</w:t>
            </w:r>
          </w:p>
        </w:tc>
        <w:tc>
          <w:tcPr>
            <w:tcW w:w="567" w:type="dxa"/>
            <w:gridSpan w:val="2"/>
            <w:shd w:val="clear" w:color="auto" w:fill="FFFFFF"/>
          </w:tcPr>
          <w:p w14:paraId="06959B15" w14:textId="77777777" w:rsidR="00486AAC" w:rsidRPr="00486AAC" w:rsidRDefault="00486AAC" w:rsidP="00486AAC">
            <w:r w:rsidRPr="00486AAC">
              <w:t>0,00</w:t>
            </w:r>
          </w:p>
        </w:tc>
        <w:tc>
          <w:tcPr>
            <w:tcW w:w="567" w:type="dxa"/>
            <w:shd w:val="clear" w:color="auto" w:fill="FFFFFF"/>
          </w:tcPr>
          <w:p w14:paraId="346B234F" w14:textId="77777777" w:rsidR="00486AAC" w:rsidRPr="00486AAC" w:rsidRDefault="00486AAC" w:rsidP="00486AAC">
            <w:r w:rsidRPr="00486AAC">
              <w:t>0,00</w:t>
            </w:r>
          </w:p>
        </w:tc>
        <w:tc>
          <w:tcPr>
            <w:tcW w:w="567" w:type="dxa"/>
            <w:gridSpan w:val="2"/>
            <w:shd w:val="clear" w:color="auto" w:fill="FFFFFF"/>
          </w:tcPr>
          <w:p w14:paraId="0D366DC3" w14:textId="77777777" w:rsidR="00486AAC" w:rsidRPr="00486AAC" w:rsidRDefault="00486AAC" w:rsidP="00486AAC">
            <w:r w:rsidRPr="00486AAC">
              <w:t>0,00</w:t>
            </w:r>
          </w:p>
        </w:tc>
        <w:tc>
          <w:tcPr>
            <w:tcW w:w="567" w:type="dxa"/>
            <w:gridSpan w:val="2"/>
            <w:shd w:val="clear" w:color="auto" w:fill="FFFFFF"/>
          </w:tcPr>
          <w:p w14:paraId="7C1D8011" w14:textId="77777777" w:rsidR="00486AAC" w:rsidRPr="00486AAC" w:rsidRDefault="00486AAC" w:rsidP="00486AAC">
            <w:r w:rsidRPr="00486AAC">
              <w:t>0,00</w:t>
            </w:r>
          </w:p>
        </w:tc>
        <w:tc>
          <w:tcPr>
            <w:tcW w:w="1278" w:type="dxa"/>
            <w:gridSpan w:val="2"/>
            <w:shd w:val="clear" w:color="auto" w:fill="FFFFFF"/>
          </w:tcPr>
          <w:p w14:paraId="12C70F27" w14:textId="77777777" w:rsidR="00486AAC" w:rsidRPr="00486AAC" w:rsidRDefault="00486AAC" w:rsidP="00486AAC"/>
        </w:tc>
      </w:tr>
      <w:tr w:rsidR="00486AAC" w:rsidRPr="00486AAC" w14:paraId="7DF80A9A" w14:textId="77777777" w:rsidTr="009F408A">
        <w:trPr>
          <w:trHeight w:val="360"/>
        </w:trPr>
        <w:tc>
          <w:tcPr>
            <w:tcW w:w="2410" w:type="dxa"/>
            <w:gridSpan w:val="3"/>
            <w:shd w:val="clear" w:color="auto" w:fill="FFFFFF"/>
            <w:vAlign w:val="center"/>
          </w:tcPr>
          <w:p w14:paraId="19CD2FFE" w14:textId="77777777" w:rsidR="00486AAC" w:rsidRPr="00486AAC" w:rsidRDefault="00486AAC" w:rsidP="00486AAC">
            <w:r w:rsidRPr="00486AAC">
              <w:t>Saldo ogółem</w:t>
            </w:r>
          </w:p>
        </w:tc>
        <w:tc>
          <w:tcPr>
            <w:tcW w:w="709" w:type="dxa"/>
            <w:shd w:val="clear" w:color="auto" w:fill="FFFFFF"/>
          </w:tcPr>
          <w:p w14:paraId="6FB6D925" w14:textId="7F718FD3" w:rsidR="00486AAC" w:rsidRPr="00486AAC" w:rsidRDefault="00BE01F2" w:rsidP="00486AAC">
            <w:r>
              <w:softHyphen/>
            </w:r>
            <w:r>
              <w:noBreakHyphen/>
            </w:r>
            <w:r w:rsidR="00486AAC" w:rsidRPr="00486AAC">
              <w:t>17,213</w:t>
            </w:r>
          </w:p>
        </w:tc>
        <w:tc>
          <w:tcPr>
            <w:tcW w:w="709" w:type="dxa"/>
            <w:gridSpan w:val="2"/>
            <w:shd w:val="clear" w:color="auto" w:fill="FFFFFF"/>
          </w:tcPr>
          <w:p w14:paraId="54B55148" w14:textId="32036B56" w:rsidR="00486AAC" w:rsidRPr="00486AAC" w:rsidRDefault="00BE01F2" w:rsidP="00486AAC">
            <w:r>
              <w:softHyphen/>
            </w:r>
            <w:r>
              <w:noBreakHyphen/>
            </w:r>
            <w:r w:rsidR="00486AAC" w:rsidRPr="00486AAC">
              <w:t>11,652</w:t>
            </w:r>
          </w:p>
        </w:tc>
        <w:tc>
          <w:tcPr>
            <w:tcW w:w="709" w:type="dxa"/>
            <w:gridSpan w:val="2"/>
            <w:shd w:val="clear" w:color="auto" w:fill="FFFFFF"/>
          </w:tcPr>
          <w:p w14:paraId="4AFC2646" w14:textId="70EF4B33" w:rsidR="00486AAC" w:rsidRPr="00486AAC" w:rsidRDefault="00BE01F2" w:rsidP="00486AAC">
            <w:r>
              <w:noBreakHyphen/>
              <w:t xml:space="preserve"> </w:t>
            </w:r>
            <w:r w:rsidR="00486AAC" w:rsidRPr="00486AAC">
              <w:t>12,612</w:t>
            </w:r>
          </w:p>
        </w:tc>
        <w:tc>
          <w:tcPr>
            <w:tcW w:w="708" w:type="dxa"/>
            <w:gridSpan w:val="2"/>
            <w:shd w:val="clear" w:color="auto" w:fill="FFFFFF"/>
          </w:tcPr>
          <w:p w14:paraId="46553394" w14:textId="744AB0D6" w:rsidR="00486AAC" w:rsidRPr="00486AAC" w:rsidRDefault="00BE01F2" w:rsidP="00486AAC">
            <w:r>
              <w:softHyphen/>
            </w:r>
            <w:r>
              <w:noBreakHyphen/>
            </w:r>
            <w:r w:rsidR="00486AAC" w:rsidRPr="00486AAC">
              <w:t>0,98</w:t>
            </w:r>
          </w:p>
        </w:tc>
        <w:tc>
          <w:tcPr>
            <w:tcW w:w="708" w:type="dxa"/>
            <w:gridSpan w:val="2"/>
            <w:shd w:val="clear" w:color="auto" w:fill="FFFFFF"/>
          </w:tcPr>
          <w:p w14:paraId="4DA8A109" w14:textId="6DBE91D4" w:rsidR="00486AAC" w:rsidRPr="00486AAC" w:rsidRDefault="00BE01F2" w:rsidP="00486AAC">
            <w:r>
              <w:softHyphen/>
            </w:r>
            <w:r>
              <w:noBreakHyphen/>
            </w:r>
            <w:r w:rsidR="00486AAC" w:rsidRPr="00486AAC">
              <w:t>4,764</w:t>
            </w:r>
          </w:p>
        </w:tc>
        <w:tc>
          <w:tcPr>
            <w:tcW w:w="710" w:type="dxa"/>
            <w:shd w:val="clear" w:color="auto" w:fill="FFFFFF"/>
          </w:tcPr>
          <w:p w14:paraId="5936C22A" w14:textId="27F93A7A" w:rsidR="00486AAC" w:rsidRPr="00486AAC" w:rsidRDefault="00BE01F2" w:rsidP="00486AAC">
            <w:r>
              <w:softHyphen/>
            </w:r>
            <w:r>
              <w:noBreakHyphen/>
            </w:r>
            <w:r w:rsidR="00486AAC" w:rsidRPr="00486AAC">
              <w:t>10,716</w:t>
            </w:r>
          </w:p>
        </w:tc>
        <w:tc>
          <w:tcPr>
            <w:tcW w:w="709" w:type="dxa"/>
            <w:gridSpan w:val="3"/>
            <w:shd w:val="clear" w:color="auto" w:fill="FFFFFF"/>
          </w:tcPr>
          <w:p w14:paraId="24C3B4AE" w14:textId="37AAB739" w:rsidR="00486AAC" w:rsidRPr="00486AAC" w:rsidRDefault="00BE01F2" w:rsidP="00486AAC">
            <w:r>
              <w:softHyphen/>
            </w:r>
            <w:r>
              <w:noBreakHyphen/>
            </w:r>
            <w:r w:rsidR="00486AAC" w:rsidRPr="00486AAC">
              <w:t>2,532</w:t>
            </w:r>
          </w:p>
        </w:tc>
        <w:tc>
          <w:tcPr>
            <w:tcW w:w="567" w:type="dxa"/>
            <w:gridSpan w:val="2"/>
            <w:shd w:val="clear" w:color="auto" w:fill="FFFFFF"/>
          </w:tcPr>
          <w:p w14:paraId="02F72E83" w14:textId="77777777" w:rsidR="00486AAC" w:rsidRPr="00486AAC" w:rsidRDefault="00486AAC" w:rsidP="00486AAC">
            <w:r w:rsidRPr="00486AAC">
              <w:t>0,00</w:t>
            </w:r>
          </w:p>
        </w:tc>
        <w:tc>
          <w:tcPr>
            <w:tcW w:w="567" w:type="dxa"/>
            <w:shd w:val="clear" w:color="auto" w:fill="FFFFFF"/>
          </w:tcPr>
          <w:p w14:paraId="5FC00D03" w14:textId="77777777" w:rsidR="00486AAC" w:rsidRPr="00486AAC" w:rsidRDefault="00486AAC" w:rsidP="00486AAC">
            <w:r w:rsidRPr="00486AAC">
              <w:t>0,00</w:t>
            </w:r>
          </w:p>
        </w:tc>
        <w:tc>
          <w:tcPr>
            <w:tcW w:w="567" w:type="dxa"/>
            <w:gridSpan w:val="2"/>
            <w:shd w:val="clear" w:color="auto" w:fill="FFFFFF"/>
          </w:tcPr>
          <w:p w14:paraId="65C0197C" w14:textId="77777777" w:rsidR="00486AAC" w:rsidRPr="00486AAC" w:rsidRDefault="00486AAC" w:rsidP="00486AAC">
            <w:r w:rsidRPr="00486AAC">
              <w:t>0,00</w:t>
            </w:r>
          </w:p>
        </w:tc>
        <w:tc>
          <w:tcPr>
            <w:tcW w:w="567" w:type="dxa"/>
            <w:gridSpan w:val="2"/>
            <w:shd w:val="clear" w:color="auto" w:fill="FFFFFF"/>
          </w:tcPr>
          <w:p w14:paraId="159EA262" w14:textId="77777777" w:rsidR="00486AAC" w:rsidRPr="00486AAC" w:rsidRDefault="00486AAC" w:rsidP="00486AAC">
            <w:r w:rsidRPr="00486AAC">
              <w:t>0,00</w:t>
            </w:r>
          </w:p>
        </w:tc>
        <w:tc>
          <w:tcPr>
            <w:tcW w:w="1278" w:type="dxa"/>
            <w:gridSpan w:val="2"/>
            <w:shd w:val="clear" w:color="auto" w:fill="FFFFFF"/>
          </w:tcPr>
          <w:p w14:paraId="01C85881" w14:textId="6243594D" w:rsidR="00486AAC" w:rsidRPr="00486AAC" w:rsidRDefault="00486AAC" w:rsidP="00486AAC">
            <w:r w:rsidRPr="00486AAC">
              <w:t xml:space="preserve"> </w:t>
            </w:r>
            <w:r w:rsidR="00BE01F2">
              <w:softHyphen/>
            </w:r>
            <w:r w:rsidR="00BE01F2">
              <w:noBreakHyphen/>
            </w:r>
            <w:r w:rsidRPr="00486AAC">
              <w:t>60,469</w:t>
            </w:r>
          </w:p>
        </w:tc>
      </w:tr>
      <w:tr w:rsidR="00486AAC" w:rsidRPr="00486AAC" w14:paraId="6142EC4A" w14:textId="77777777" w:rsidTr="009F408A">
        <w:trPr>
          <w:trHeight w:val="360"/>
        </w:trPr>
        <w:tc>
          <w:tcPr>
            <w:tcW w:w="2410" w:type="dxa"/>
            <w:gridSpan w:val="3"/>
            <w:shd w:val="clear" w:color="auto" w:fill="FFFFFF"/>
            <w:vAlign w:val="center"/>
          </w:tcPr>
          <w:p w14:paraId="2FBBA990" w14:textId="77777777" w:rsidR="00486AAC" w:rsidRPr="00486AAC" w:rsidRDefault="00486AAC" w:rsidP="00486AAC">
            <w:r w:rsidRPr="00486AAC">
              <w:t>budżet państwa</w:t>
            </w:r>
          </w:p>
        </w:tc>
        <w:tc>
          <w:tcPr>
            <w:tcW w:w="709" w:type="dxa"/>
            <w:shd w:val="clear" w:color="auto" w:fill="FFFFFF"/>
          </w:tcPr>
          <w:p w14:paraId="4D64CE35" w14:textId="5C40C7D7" w:rsidR="00486AAC" w:rsidRPr="00486AAC" w:rsidRDefault="00BE01F2" w:rsidP="00486AAC">
            <w:r>
              <w:softHyphen/>
            </w:r>
            <w:r>
              <w:noBreakHyphen/>
            </w:r>
            <w:r w:rsidR="00486AAC" w:rsidRPr="00486AAC">
              <w:t>17,213</w:t>
            </w:r>
          </w:p>
        </w:tc>
        <w:tc>
          <w:tcPr>
            <w:tcW w:w="709" w:type="dxa"/>
            <w:gridSpan w:val="2"/>
            <w:shd w:val="clear" w:color="auto" w:fill="FFFFFF"/>
          </w:tcPr>
          <w:p w14:paraId="2F479960" w14:textId="677E4ED5" w:rsidR="00486AAC" w:rsidRPr="00486AAC" w:rsidRDefault="00BE01F2" w:rsidP="00486AAC">
            <w:r>
              <w:softHyphen/>
            </w:r>
            <w:r>
              <w:noBreakHyphen/>
            </w:r>
            <w:r w:rsidR="00486AAC" w:rsidRPr="00486AAC">
              <w:t>11,652</w:t>
            </w:r>
          </w:p>
        </w:tc>
        <w:tc>
          <w:tcPr>
            <w:tcW w:w="709" w:type="dxa"/>
            <w:gridSpan w:val="2"/>
            <w:shd w:val="clear" w:color="auto" w:fill="FFFFFF"/>
          </w:tcPr>
          <w:p w14:paraId="68D3D4B6" w14:textId="55B689BA" w:rsidR="00486AAC" w:rsidRPr="00486AAC" w:rsidRDefault="00BE01F2" w:rsidP="00486AAC">
            <w:r>
              <w:softHyphen/>
            </w:r>
            <w:r>
              <w:noBreakHyphen/>
            </w:r>
            <w:r w:rsidR="00486AAC" w:rsidRPr="00486AAC">
              <w:t>12,612</w:t>
            </w:r>
          </w:p>
        </w:tc>
        <w:tc>
          <w:tcPr>
            <w:tcW w:w="708" w:type="dxa"/>
            <w:gridSpan w:val="2"/>
            <w:shd w:val="clear" w:color="auto" w:fill="FFFFFF"/>
          </w:tcPr>
          <w:p w14:paraId="219425FB" w14:textId="4CB17E59" w:rsidR="00486AAC" w:rsidRPr="00486AAC" w:rsidRDefault="00BE01F2" w:rsidP="00486AAC">
            <w:r>
              <w:softHyphen/>
            </w:r>
            <w:r>
              <w:noBreakHyphen/>
            </w:r>
            <w:r w:rsidR="00486AAC" w:rsidRPr="00486AAC">
              <w:t>0,98</w:t>
            </w:r>
          </w:p>
        </w:tc>
        <w:tc>
          <w:tcPr>
            <w:tcW w:w="708" w:type="dxa"/>
            <w:gridSpan w:val="2"/>
            <w:shd w:val="clear" w:color="auto" w:fill="FFFFFF"/>
          </w:tcPr>
          <w:p w14:paraId="4B81DC2F" w14:textId="1AFEBD50" w:rsidR="00486AAC" w:rsidRPr="00486AAC" w:rsidRDefault="00BE01F2" w:rsidP="00486AAC">
            <w:r>
              <w:softHyphen/>
            </w:r>
            <w:r>
              <w:noBreakHyphen/>
            </w:r>
            <w:r w:rsidR="00486AAC" w:rsidRPr="00486AAC">
              <w:t>4,764</w:t>
            </w:r>
          </w:p>
        </w:tc>
        <w:tc>
          <w:tcPr>
            <w:tcW w:w="710" w:type="dxa"/>
            <w:shd w:val="clear" w:color="auto" w:fill="FFFFFF"/>
          </w:tcPr>
          <w:p w14:paraId="4FE8D449" w14:textId="66097AAE" w:rsidR="00486AAC" w:rsidRPr="00486AAC" w:rsidRDefault="00BE01F2" w:rsidP="00486AAC">
            <w:r>
              <w:softHyphen/>
            </w:r>
            <w:r>
              <w:noBreakHyphen/>
            </w:r>
            <w:r w:rsidR="00486AAC" w:rsidRPr="00486AAC">
              <w:t>10,716</w:t>
            </w:r>
          </w:p>
        </w:tc>
        <w:tc>
          <w:tcPr>
            <w:tcW w:w="709" w:type="dxa"/>
            <w:gridSpan w:val="3"/>
            <w:shd w:val="clear" w:color="auto" w:fill="FFFFFF"/>
          </w:tcPr>
          <w:p w14:paraId="3224CCDC" w14:textId="638D1441" w:rsidR="00486AAC" w:rsidRPr="00486AAC" w:rsidRDefault="00BE01F2" w:rsidP="00486AAC">
            <w:r>
              <w:softHyphen/>
            </w:r>
            <w:r>
              <w:noBreakHyphen/>
            </w:r>
            <w:r w:rsidR="00486AAC" w:rsidRPr="00486AAC">
              <w:t>2,532</w:t>
            </w:r>
          </w:p>
        </w:tc>
        <w:tc>
          <w:tcPr>
            <w:tcW w:w="567" w:type="dxa"/>
            <w:gridSpan w:val="2"/>
            <w:shd w:val="clear" w:color="auto" w:fill="FFFFFF"/>
          </w:tcPr>
          <w:p w14:paraId="48D3F3AE" w14:textId="77777777" w:rsidR="00486AAC" w:rsidRPr="00486AAC" w:rsidRDefault="00486AAC" w:rsidP="00486AAC">
            <w:r w:rsidRPr="00486AAC">
              <w:t>0,00</w:t>
            </w:r>
          </w:p>
        </w:tc>
        <w:tc>
          <w:tcPr>
            <w:tcW w:w="567" w:type="dxa"/>
            <w:shd w:val="clear" w:color="auto" w:fill="FFFFFF"/>
          </w:tcPr>
          <w:p w14:paraId="0638394C" w14:textId="77777777" w:rsidR="00486AAC" w:rsidRPr="00486AAC" w:rsidRDefault="00486AAC" w:rsidP="00486AAC">
            <w:r w:rsidRPr="00486AAC">
              <w:t>0,00</w:t>
            </w:r>
          </w:p>
        </w:tc>
        <w:tc>
          <w:tcPr>
            <w:tcW w:w="567" w:type="dxa"/>
            <w:gridSpan w:val="2"/>
            <w:shd w:val="clear" w:color="auto" w:fill="FFFFFF"/>
          </w:tcPr>
          <w:p w14:paraId="35FADF58" w14:textId="77777777" w:rsidR="00486AAC" w:rsidRPr="00486AAC" w:rsidRDefault="00486AAC" w:rsidP="00486AAC">
            <w:r w:rsidRPr="00486AAC">
              <w:t>0,00</w:t>
            </w:r>
          </w:p>
        </w:tc>
        <w:tc>
          <w:tcPr>
            <w:tcW w:w="567" w:type="dxa"/>
            <w:gridSpan w:val="2"/>
            <w:shd w:val="clear" w:color="auto" w:fill="FFFFFF"/>
          </w:tcPr>
          <w:p w14:paraId="7456F86D" w14:textId="77777777" w:rsidR="00486AAC" w:rsidRPr="00486AAC" w:rsidRDefault="00486AAC" w:rsidP="00486AAC">
            <w:r w:rsidRPr="00486AAC">
              <w:t>0,00</w:t>
            </w:r>
          </w:p>
        </w:tc>
        <w:tc>
          <w:tcPr>
            <w:tcW w:w="1278" w:type="dxa"/>
            <w:gridSpan w:val="2"/>
            <w:shd w:val="clear" w:color="auto" w:fill="FFFFFF"/>
          </w:tcPr>
          <w:p w14:paraId="4785560C" w14:textId="0AC9FCDE" w:rsidR="00486AAC" w:rsidRPr="00486AAC" w:rsidRDefault="00486AAC" w:rsidP="00486AAC">
            <w:r w:rsidRPr="00486AAC">
              <w:t xml:space="preserve"> </w:t>
            </w:r>
            <w:r w:rsidR="00BE01F2">
              <w:softHyphen/>
            </w:r>
            <w:r w:rsidR="00BE01F2">
              <w:noBreakHyphen/>
            </w:r>
            <w:r w:rsidRPr="00486AAC">
              <w:t>60,469</w:t>
            </w:r>
          </w:p>
        </w:tc>
      </w:tr>
      <w:tr w:rsidR="00486AAC" w:rsidRPr="00486AAC" w14:paraId="5DA2E491" w14:textId="77777777" w:rsidTr="009F408A">
        <w:trPr>
          <w:trHeight w:val="357"/>
        </w:trPr>
        <w:tc>
          <w:tcPr>
            <w:tcW w:w="2410" w:type="dxa"/>
            <w:gridSpan w:val="3"/>
            <w:shd w:val="clear" w:color="auto" w:fill="FFFFFF"/>
            <w:vAlign w:val="center"/>
          </w:tcPr>
          <w:p w14:paraId="5F6FBC3B" w14:textId="77777777" w:rsidR="00486AAC" w:rsidRPr="00486AAC" w:rsidRDefault="00486AAC" w:rsidP="00486AAC">
            <w:r w:rsidRPr="00486AAC">
              <w:t>JST</w:t>
            </w:r>
          </w:p>
        </w:tc>
        <w:tc>
          <w:tcPr>
            <w:tcW w:w="709" w:type="dxa"/>
            <w:shd w:val="clear" w:color="auto" w:fill="FFFFFF"/>
          </w:tcPr>
          <w:p w14:paraId="5C950C1B" w14:textId="77777777" w:rsidR="00486AAC" w:rsidRPr="00486AAC" w:rsidRDefault="00486AAC" w:rsidP="00486AAC">
            <w:r w:rsidRPr="00486AAC">
              <w:t>0,00</w:t>
            </w:r>
          </w:p>
        </w:tc>
        <w:tc>
          <w:tcPr>
            <w:tcW w:w="709" w:type="dxa"/>
            <w:gridSpan w:val="2"/>
            <w:shd w:val="clear" w:color="auto" w:fill="FFFFFF"/>
          </w:tcPr>
          <w:p w14:paraId="5CFE5E7E" w14:textId="77777777" w:rsidR="00486AAC" w:rsidRPr="00486AAC" w:rsidRDefault="00486AAC" w:rsidP="00486AAC">
            <w:r w:rsidRPr="00486AAC">
              <w:t>0,00</w:t>
            </w:r>
          </w:p>
        </w:tc>
        <w:tc>
          <w:tcPr>
            <w:tcW w:w="709" w:type="dxa"/>
            <w:gridSpan w:val="2"/>
            <w:shd w:val="clear" w:color="auto" w:fill="FFFFFF"/>
          </w:tcPr>
          <w:p w14:paraId="257BFD30" w14:textId="77777777" w:rsidR="00486AAC" w:rsidRPr="00486AAC" w:rsidRDefault="00486AAC" w:rsidP="00486AAC">
            <w:r w:rsidRPr="00486AAC">
              <w:t>0,00</w:t>
            </w:r>
          </w:p>
        </w:tc>
        <w:tc>
          <w:tcPr>
            <w:tcW w:w="708" w:type="dxa"/>
            <w:gridSpan w:val="2"/>
            <w:shd w:val="clear" w:color="auto" w:fill="FFFFFF"/>
          </w:tcPr>
          <w:p w14:paraId="20ACE61E" w14:textId="77777777" w:rsidR="00486AAC" w:rsidRPr="00486AAC" w:rsidRDefault="00486AAC" w:rsidP="00486AAC">
            <w:r w:rsidRPr="00486AAC">
              <w:t>0,00</w:t>
            </w:r>
          </w:p>
        </w:tc>
        <w:tc>
          <w:tcPr>
            <w:tcW w:w="708" w:type="dxa"/>
            <w:gridSpan w:val="2"/>
            <w:shd w:val="clear" w:color="auto" w:fill="FFFFFF"/>
          </w:tcPr>
          <w:p w14:paraId="2404D1E9" w14:textId="77777777" w:rsidR="00486AAC" w:rsidRPr="00486AAC" w:rsidRDefault="00486AAC" w:rsidP="00486AAC">
            <w:r w:rsidRPr="00486AAC">
              <w:t>0,00</w:t>
            </w:r>
          </w:p>
        </w:tc>
        <w:tc>
          <w:tcPr>
            <w:tcW w:w="710" w:type="dxa"/>
            <w:shd w:val="clear" w:color="auto" w:fill="FFFFFF"/>
          </w:tcPr>
          <w:p w14:paraId="67F59648" w14:textId="77777777" w:rsidR="00486AAC" w:rsidRPr="00486AAC" w:rsidRDefault="00486AAC" w:rsidP="00486AAC">
            <w:r w:rsidRPr="00486AAC">
              <w:t>0,00</w:t>
            </w:r>
          </w:p>
        </w:tc>
        <w:tc>
          <w:tcPr>
            <w:tcW w:w="709" w:type="dxa"/>
            <w:gridSpan w:val="3"/>
            <w:shd w:val="clear" w:color="auto" w:fill="FFFFFF"/>
          </w:tcPr>
          <w:p w14:paraId="539342AA" w14:textId="77777777" w:rsidR="00486AAC" w:rsidRPr="00486AAC" w:rsidRDefault="00486AAC" w:rsidP="00486AAC">
            <w:r w:rsidRPr="00486AAC">
              <w:t>0,00</w:t>
            </w:r>
          </w:p>
        </w:tc>
        <w:tc>
          <w:tcPr>
            <w:tcW w:w="567" w:type="dxa"/>
            <w:gridSpan w:val="2"/>
            <w:shd w:val="clear" w:color="auto" w:fill="FFFFFF"/>
          </w:tcPr>
          <w:p w14:paraId="53714CEC" w14:textId="77777777" w:rsidR="00486AAC" w:rsidRPr="00486AAC" w:rsidRDefault="00486AAC" w:rsidP="00486AAC">
            <w:r w:rsidRPr="00486AAC">
              <w:t>0,00</w:t>
            </w:r>
          </w:p>
        </w:tc>
        <w:tc>
          <w:tcPr>
            <w:tcW w:w="567" w:type="dxa"/>
            <w:shd w:val="clear" w:color="auto" w:fill="FFFFFF"/>
          </w:tcPr>
          <w:p w14:paraId="3CA0D96B" w14:textId="77777777" w:rsidR="00486AAC" w:rsidRPr="00486AAC" w:rsidRDefault="00486AAC" w:rsidP="00486AAC">
            <w:r w:rsidRPr="00486AAC">
              <w:t>0,00</w:t>
            </w:r>
          </w:p>
        </w:tc>
        <w:tc>
          <w:tcPr>
            <w:tcW w:w="567" w:type="dxa"/>
            <w:gridSpan w:val="2"/>
            <w:shd w:val="clear" w:color="auto" w:fill="FFFFFF"/>
          </w:tcPr>
          <w:p w14:paraId="01C1B5FE" w14:textId="77777777" w:rsidR="00486AAC" w:rsidRPr="00486AAC" w:rsidRDefault="00486AAC" w:rsidP="00486AAC">
            <w:r w:rsidRPr="00486AAC">
              <w:t>0,00</w:t>
            </w:r>
          </w:p>
        </w:tc>
        <w:tc>
          <w:tcPr>
            <w:tcW w:w="567" w:type="dxa"/>
            <w:gridSpan w:val="2"/>
            <w:shd w:val="clear" w:color="auto" w:fill="FFFFFF"/>
          </w:tcPr>
          <w:p w14:paraId="7F6F75C3" w14:textId="77777777" w:rsidR="00486AAC" w:rsidRPr="00486AAC" w:rsidRDefault="00486AAC" w:rsidP="00486AAC">
            <w:r w:rsidRPr="00486AAC">
              <w:t>0,00</w:t>
            </w:r>
          </w:p>
        </w:tc>
        <w:tc>
          <w:tcPr>
            <w:tcW w:w="1278" w:type="dxa"/>
            <w:gridSpan w:val="2"/>
            <w:shd w:val="clear" w:color="auto" w:fill="FFFFFF"/>
          </w:tcPr>
          <w:p w14:paraId="7205A549" w14:textId="77777777" w:rsidR="00486AAC" w:rsidRPr="00486AAC" w:rsidRDefault="00486AAC" w:rsidP="00486AAC"/>
        </w:tc>
      </w:tr>
      <w:tr w:rsidR="00486AAC" w:rsidRPr="00486AAC" w14:paraId="0DE908BF" w14:textId="77777777" w:rsidTr="009F408A">
        <w:trPr>
          <w:trHeight w:val="357"/>
        </w:trPr>
        <w:tc>
          <w:tcPr>
            <w:tcW w:w="2410" w:type="dxa"/>
            <w:gridSpan w:val="3"/>
            <w:shd w:val="clear" w:color="auto" w:fill="FFFFFF"/>
            <w:vAlign w:val="center"/>
          </w:tcPr>
          <w:p w14:paraId="4D27830A" w14:textId="77777777" w:rsidR="00486AAC" w:rsidRPr="00486AAC" w:rsidRDefault="00486AAC" w:rsidP="00486AAC">
            <w:r w:rsidRPr="00486AAC">
              <w:t>pozostałe jednostki (oddzielnie)</w:t>
            </w:r>
          </w:p>
        </w:tc>
        <w:tc>
          <w:tcPr>
            <w:tcW w:w="709" w:type="dxa"/>
            <w:shd w:val="clear" w:color="auto" w:fill="FFFFFF"/>
          </w:tcPr>
          <w:p w14:paraId="7FDAF3D7" w14:textId="77777777" w:rsidR="00486AAC" w:rsidRPr="00486AAC" w:rsidRDefault="00486AAC" w:rsidP="00486AAC">
            <w:r w:rsidRPr="00486AAC">
              <w:t>0,00</w:t>
            </w:r>
          </w:p>
        </w:tc>
        <w:tc>
          <w:tcPr>
            <w:tcW w:w="709" w:type="dxa"/>
            <w:gridSpan w:val="2"/>
            <w:shd w:val="clear" w:color="auto" w:fill="FFFFFF"/>
          </w:tcPr>
          <w:p w14:paraId="0DC97DD0" w14:textId="77777777" w:rsidR="00486AAC" w:rsidRPr="00486AAC" w:rsidRDefault="00486AAC" w:rsidP="00486AAC">
            <w:r w:rsidRPr="00486AAC">
              <w:t>0,00</w:t>
            </w:r>
          </w:p>
        </w:tc>
        <w:tc>
          <w:tcPr>
            <w:tcW w:w="709" w:type="dxa"/>
            <w:gridSpan w:val="2"/>
            <w:shd w:val="clear" w:color="auto" w:fill="FFFFFF"/>
          </w:tcPr>
          <w:p w14:paraId="05EC4E09" w14:textId="77777777" w:rsidR="00486AAC" w:rsidRPr="00486AAC" w:rsidRDefault="00486AAC" w:rsidP="00486AAC">
            <w:r w:rsidRPr="00486AAC">
              <w:t>0,00</w:t>
            </w:r>
          </w:p>
        </w:tc>
        <w:tc>
          <w:tcPr>
            <w:tcW w:w="708" w:type="dxa"/>
            <w:gridSpan w:val="2"/>
            <w:shd w:val="clear" w:color="auto" w:fill="FFFFFF"/>
          </w:tcPr>
          <w:p w14:paraId="557A6EF5" w14:textId="77777777" w:rsidR="00486AAC" w:rsidRPr="00486AAC" w:rsidRDefault="00486AAC" w:rsidP="00486AAC">
            <w:r w:rsidRPr="00486AAC">
              <w:t>0,00</w:t>
            </w:r>
          </w:p>
        </w:tc>
        <w:tc>
          <w:tcPr>
            <w:tcW w:w="708" w:type="dxa"/>
            <w:gridSpan w:val="2"/>
            <w:shd w:val="clear" w:color="auto" w:fill="FFFFFF"/>
          </w:tcPr>
          <w:p w14:paraId="54FF95FA" w14:textId="77777777" w:rsidR="00486AAC" w:rsidRPr="00486AAC" w:rsidRDefault="00486AAC" w:rsidP="00486AAC">
            <w:r w:rsidRPr="00486AAC">
              <w:t>0,00</w:t>
            </w:r>
          </w:p>
        </w:tc>
        <w:tc>
          <w:tcPr>
            <w:tcW w:w="710" w:type="dxa"/>
            <w:shd w:val="clear" w:color="auto" w:fill="FFFFFF"/>
          </w:tcPr>
          <w:p w14:paraId="6C298404" w14:textId="77777777" w:rsidR="00486AAC" w:rsidRPr="00486AAC" w:rsidRDefault="00486AAC" w:rsidP="00486AAC">
            <w:r w:rsidRPr="00486AAC">
              <w:t>0,00</w:t>
            </w:r>
          </w:p>
        </w:tc>
        <w:tc>
          <w:tcPr>
            <w:tcW w:w="709" w:type="dxa"/>
            <w:gridSpan w:val="3"/>
            <w:shd w:val="clear" w:color="auto" w:fill="FFFFFF"/>
          </w:tcPr>
          <w:p w14:paraId="0FBA7263" w14:textId="77777777" w:rsidR="00486AAC" w:rsidRPr="00486AAC" w:rsidRDefault="00486AAC" w:rsidP="00486AAC">
            <w:r w:rsidRPr="00486AAC">
              <w:t>0,00</w:t>
            </w:r>
          </w:p>
        </w:tc>
        <w:tc>
          <w:tcPr>
            <w:tcW w:w="567" w:type="dxa"/>
            <w:gridSpan w:val="2"/>
            <w:shd w:val="clear" w:color="auto" w:fill="FFFFFF"/>
          </w:tcPr>
          <w:p w14:paraId="7EC2E6D9" w14:textId="77777777" w:rsidR="00486AAC" w:rsidRPr="00486AAC" w:rsidRDefault="00486AAC" w:rsidP="00486AAC">
            <w:r w:rsidRPr="00486AAC">
              <w:t>0,00</w:t>
            </w:r>
          </w:p>
        </w:tc>
        <w:tc>
          <w:tcPr>
            <w:tcW w:w="567" w:type="dxa"/>
            <w:shd w:val="clear" w:color="auto" w:fill="FFFFFF"/>
          </w:tcPr>
          <w:p w14:paraId="161F1D74" w14:textId="77777777" w:rsidR="00486AAC" w:rsidRPr="00486AAC" w:rsidRDefault="00486AAC" w:rsidP="00486AAC">
            <w:r w:rsidRPr="00486AAC">
              <w:t>0,00</w:t>
            </w:r>
          </w:p>
        </w:tc>
        <w:tc>
          <w:tcPr>
            <w:tcW w:w="567" w:type="dxa"/>
            <w:gridSpan w:val="2"/>
            <w:shd w:val="clear" w:color="auto" w:fill="FFFFFF"/>
          </w:tcPr>
          <w:p w14:paraId="42B9A01D" w14:textId="77777777" w:rsidR="00486AAC" w:rsidRPr="00486AAC" w:rsidRDefault="00486AAC" w:rsidP="00486AAC">
            <w:r w:rsidRPr="00486AAC">
              <w:t>0,00</w:t>
            </w:r>
          </w:p>
        </w:tc>
        <w:tc>
          <w:tcPr>
            <w:tcW w:w="567" w:type="dxa"/>
            <w:gridSpan w:val="2"/>
            <w:shd w:val="clear" w:color="auto" w:fill="FFFFFF"/>
          </w:tcPr>
          <w:p w14:paraId="6640627B" w14:textId="77777777" w:rsidR="00486AAC" w:rsidRPr="00486AAC" w:rsidRDefault="00486AAC" w:rsidP="00486AAC">
            <w:r w:rsidRPr="00486AAC">
              <w:t>0,00</w:t>
            </w:r>
          </w:p>
        </w:tc>
        <w:tc>
          <w:tcPr>
            <w:tcW w:w="1278" w:type="dxa"/>
            <w:gridSpan w:val="2"/>
            <w:shd w:val="clear" w:color="auto" w:fill="FFFFFF"/>
          </w:tcPr>
          <w:p w14:paraId="4F0F02BE" w14:textId="77777777" w:rsidR="00486AAC" w:rsidRPr="00486AAC" w:rsidRDefault="00486AAC" w:rsidP="00486AAC"/>
        </w:tc>
      </w:tr>
      <w:tr w:rsidR="00486AAC" w:rsidRPr="00486AAC" w14:paraId="155674D5" w14:textId="77777777" w:rsidTr="009F408A">
        <w:trPr>
          <w:gridAfter w:val="1"/>
          <w:wAfter w:w="10" w:type="dxa"/>
          <w:trHeight w:val="348"/>
        </w:trPr>
        <w:tc>
          <w:tcPr>
            <w:tcW w:w="2211" w:type="dxa"/>
            <w:gridSpan w:val="2"/>
            <w:shd w:val="clear" w:color="auto" w:fill="FFFFFF"/>
            <w:vAlign w:val="center"/>
          </w:tcPr>
          <w:p w14:paraId="40013312" w14:textId="77777777" w:rsidR="00486AAC" w:rsidRPr="00486AAC" w:rsidRDefault="00486AAC" w:rsidP="00486AAC">
            <w:r w:rsidRPr="00486AAC">
              <w:t xml:space="preserve">Źródła finansowania </w:t>
            </w:r>
          </w:p>
        </w:tc>
        <w:tc>
          <w:tcPr>
            <w:tcW w:w="8697" w:type="dxa"/>
            <w:gridSpan w:val="22"/>
            <w:shd w:val="clear" w:color="auto" w:fill="FFFFFF"/>
            <w:vAlign w:val="center"/>
          </w:tcPr>
          <w:p w14:paraId="07FE934F" w14:textId="1A7EFB96" w:rsidR="00241E84" w:rsidRDefault="00486AAC" w:rsidP="007702C0">
            <w:pPr>
              <w:pStyle w:val="NIEARTTEKSTtekstnieartykuowanynppodstprawnarozplubpreambua"/>
              <w:ind w:firstLine="0"/>
            </w:pPr>
            <w:r w:rsidRPr="00486AAC">
              <w:t>Planowane koszty ogólne realizacji POD</w:t>
            </w:r>
            <w:r w:rsidR="00BE01F2" w:rsidRPr="00486AAC">
              <w:t xml:space="preserve"> w</w:t>
            </w:r>
            <w:r w:rsidR="00BE01F2">
              <w:t> </w:t>
            </w:r>
            <w:r w:rsidRPr="00486AAC">
              <w:t>znacznej części zostaną pokryte ze źródeł zagranicznych,</w:t>
            </w:r>
            <w:r w:rsidR="00BE01F2" w:rsidRPr="00486AAC">
              <w:t xml:space="preserve"> w</w:t>
            </w:r>
            <w:r w:rsidR="00BE01F2">
              <w:t> </w:t>
            </w:r>
            <w:r w:rsidRPr="00486AAC">
              <w:t>tym</w:t>
            </w:r>
            <w:r w:rsidR="00BE01F2" w:rsidRPr="00486AAC">
              <w:t xml:space="preserve"> z</w:t>
            </w:r>
            <w:r w:rsidR="00BE01F2">
              <w:t> </w:t>
            </w:r>
            <w:r w:rsidRPr="00486AAC">
              <w:t>Programu Operacyjnego Polska Cyfrowa na lata 201</w:t>
            </w:r>
            <w:r w:rsidR="00467432">
              <w:t>4</w:t>
            </w:r>
            <w:r w:rsidR="00BE01F2">
              <w:noBreakHyphen/>
            </w:r>
            <w:r w:rsidRPr="00486AAC">
              <w:t>202</w:t>
            </w:r>
            <w:r w:rsidR="00BE01F2" w:rsidRPr="00486AAC">
              <w:t>0</w:t>
            </w:r>
            <w:r w:rsidR="00BE01F2">
              <w:t xml:space="preserve"> oraz</w:t>
            </w:r>
            <w:r w:rsidR="00AC40CD">
              <w:t xml:space="preserve"> </w:t>
            </w:r>
            <w:r w:rsidRPr="00486AAC">
              <w:t>w ramach nowej perspektywy finansowej na lata 202</w:t>
            </w:r>
            <w:r w:rsidR="00BE01F2" w:rsidRPr="00486AAC">
              <w:t>1</w:t>
            </w:r>
            <w:r w:rsidR="00BE01F2">
              <w:noBreakHyphen/>
            </w:r>
            <w:r w:rsidRPr="00486AAC">
              <w:t>202</w:t>
            </w:r>
            <w:r w:rsidR="00BE01F2" w:rsidRPr="00486AAC">
              <w:t>7</w:t>
            </w:r>
            <w:r w:rsidR="00241E84">
              <w:t xml:space="preserve"> - Wieloletnich Ramy Finansowe UE</w:t>
            </w:r>
            <w:r w:rsidR="00241E84" w:rsidRPr="00241E84">
              <w:t>. Obecnie przygotowywany zakres k</w:t>
            </w:r>
            <w:r w:rsidR="00241E84">
              <w:t xml:space="preserve">rajowego programu operacyjnego </w:t>
            </w:r>
            <w:r w:rsidR="00241E84" w:rsidRPr="00241E84">
              <w:t>zakłada finansowanie działań w zakresie zwiększenia dostępności i poprawy jakości danych w ramach celu „Cyfrowa dostępność i ponowne wykorzystanie informacji”. Szacowana skala wydatków finansowanych ze środków europejskich to kwota 42 mln zł.</w:t>
            </w:r>
          </w:p>
          <w:p w14:paraId="08122BCD" w14:textId="2F9566A2" w:rsidR="00241E84" w:rsidRDefault="00241E84" w:rsidP="00241E84">
            <w:r w:rsidRPr="00241E84">
              <w:t>Finansowanie działań w ramach realizacji POD zostało zaplanowane z projektów: Otwarte dane plus (POPC.02.03.01 00 0064/18 00) i Kronik@ Krajowe Repozytorium Obiektów Kultury i Nauki (POPC.02.03.01 IP.01 00 003/16) dofinansowanych ze środków Programu Operacyjnego Polska Cyfrowa na lata 2014 2020 w ramach II osi E¬ administracja i otwarty rząd, poddziałanie 2.3.1 „Cyfrowe udostępnienie informacji sektora publicznego ze źródeł administracyjnych i zasobów nauki”.</w:t>
            </w:r>
          </w:p>
          <w:p w14:paraId="7D51A347" w14:textId="77777777" w:rsidR="00F670B7" w:rsidRDefault="00F670B7" w:rsidP="00241E84"/>
          <w:p w14:paraId="367D36C6" w14:textId="77777777" w:rsidR="00241E84" w:rsidRDefault="00241E84" w:rsidP="00241E84">
            <w:r w:rsidRPr="00241E84">
              <w:t xml:space="preserve">Finansowanie ze środków krajowych zostało zaplanowane głównie z części 27 budżetu. Urząd obsługujący ministra właściwego do spraw informatyzacji jako koordynator realizacji Programu w pierwszym roku jego obowiązywania przewidział w swoim budżecie środki w wysokości 140 tyś zł. Do połowy 2022 r. cześć działań wynikająca z </w:t>
            </w:r>
            <w:r w:rsidRPr="00241E84">
              <w:lastRenderedPageBreak/>
              <w:t xml:space="preserve">Programu będzie realizowana za pomocą projektu „Otwarte dane plus”, w ramach II Osi „E-administracja i otwarty rząd” Programu Operacyjnego Polska Cyfrowa 2014-2020 (POPC). </w:t>
            </w:r>
          </w:p>
          <w:p w14:paraId="18920370" w14:textId="77777777" w:rsidR="00241E84" w:rsidRPr="00241E84" w:rsidRDefault="00241E84" w:rsidP="00241E84"/>
          <w:p w14:paraId="0122D015" w14:textId="77777777" w:rsidR="00241E84" w:rsidRDefault="00241E84" w:rsidP="00241E84">
            <w:r w:rsidRPr="00241E84">
              <w:t>Źródłami finansowania realizacji działań opisanych w Programie na latach 2021-2027 będą ponadto plany finansowe poszczególnych jednostek zaangażowanych we wdrażanie dokumentu – tj. realizatorów programu (członków Rady Ministrów oraz GUS) . Skutki finansowe, które wynikają z przedmiotowego projektu zostaną pokryte w ramach limitu wydatków w odpowiedniej części budżetu państwa bez konieczności ubiegania się o dodatkowe środki ponad limit dysponenta.</w:t>
            </w:r>
          </w:p>
          <w:p w14:paraId="6D4C0613" w14:textId="77777777" w:rsidR="00241E84" w:rsidRPr="00241E84" w:rsidRDefault="00241E84" w:rsidP="00241E84"/>
          <w:p w14:paraId="6ECB2007" w14:textId="77777777" w:rsidR="00241E84" w:rsidRDefault="00241E84" w:rsidP="00241E84">
            <w:r w:rsidRPr="00241E84">
              <w:t>Szczegółowa wielkość i struktura kosztów poszczególnych przedsięwzięć będzie określona w procesie inicjowania konkretnych projektów. Planowane do realizacji działania wskazane zostały w Planie działań na rzecz realizacji Programu otwierania danych na lata 2021-2027, który stanowi źródło informacji na temat planowanych inicjatyw. Z uwagi na siedmioletnią perspektywę realizacji Programu oraz zaplanowane działania, które będą zrealizowane w ramach zadań statutowych poszczególnych realizatorów Programu nie jest możliwe wskazanie szacunkowych kosztów w rozbiciu na poszczególne działania. W ramach mechanizmu monitorowania Programu Otwierania Danych przewidziana jest ewaluacja określonych działań i wówczas będzie możliwe uzupełninie programu szczegółowymi, dodatkowymi informacjami.</w:t>
            </w:r>
          </w:p>
          <w:p w14:paraId="26177764" w14:textId="77777777" w:rsidR="00241E84" w:rsidRPr="00241E84" w:rsidRDefault="00241E84" w:rsidP="00241E84"/>
          <w:p w14:paraId="6E88E8C3" w14:textId="65D38653" w:rsidR="00E5442A" w:rsidRPr="00E5442A" w:rsidRDefault="00241E84" w:rsidP="007702C0">
            <w:r w:rsidRPr="00241E84">
              <w:t>Ponadto przygotowywana obecnie perspektywa finansowa UE na lata 2021–2027 zakłada powołanie nowego instrumentu finansowego, który w kolejnych latach będzie wspierał obszar cyfryzacji w państwach członkowskich. Instrumentem tym będzie Program Cyfrowa Europa (ang. Digital Europe Programme: DEP) na lata 2021-2027, który zakłada zapewnienie środków finansowych dla podmiotów publicznych i prywatnych oraz instytucji badawczych na potrzeby rozwoju technologii cyfrowych oraz innowacji, zarówno w sektorze prywatnym, jak i publicznym. DEP przewiduje wsparcie fin</w:t>
            </w:r>
            <w:r w:rsidR="007702C0">
              <w:t xml:space="preserve">ansowe projektów z obszarów: </w:t>
            </w:r>
            <w:r w:rsidRPr="00241E84">
              <w:t>obliczenia superkomputerowe, sztuczna inteligencja , cyberbezpieczeństwo, zaawansowane umiejętności cyfrowe, zapewnienie szerokiego wykorzystania technologii cyfrowych w gospodarce i społeczeństwie.</w:t>
            </w:r>
          </w:p>
        </w:tc>
      </w:tr>
      <w:tr w:rsidR="00486AAC" w:rsidRPr="00486AAC" w14:paraId="165D646E" w14:textId="77777777" w:rsidTr="002E0A8C">
        <w:trPr>
          <w:gridAfter w:val="1"/>
          <w:wAfter w:w="10" w:type="dxa"/>
          <w:trHeight w:val="868"/>
        </w:trPr>
        <w:tc>
          <w:tcPr>
            <w:tcW w:w="2211" w:type="dxa"/>
            <w:gridSpan w:val="2"/>
            <w:shd w:val="clear" w:color="auto" w:fill="FFFFFF"/>
          </w:tcPr>
          <w:p w14:paraId="30CCC9C0" w14:textId="574B2C4E" w:rsidR="00486AAC" w:rsidRPr="00486AAC" w:rsidRDefault="00486AAC" w:rsidP="00486AAC">
            <w:r w:rsidRPr="00486AAC">
              <w:lastRenderedPageBreak/>
              <w:t xml:space="preserve"> Dodatkowe informacje,</w:t>
            </w:r>
            <w:r w:rsidR="00BE01F2" w:rsidRPr="00486AAC">
              <w:t xml:space="preserve"> w</w:t>
            </w:r>
            <w:r w:rsidR="00BE01F2">
              <w:t> </w:t>
            </w:r>
            <w:r w:rsidRPr="00486AAC">
              <w:t xml:space="preserve">tym wskazanie źródeł danych i przyjętych </w:t>
            </w:r>
            <w:r w:rsidRPr="00486AAC">
              <w:lastRenderedPageBreak/>
              <w:t>do obliczeń założeń</w:t>
            </w:r>
          </w:p>
        </w:tc>
        <w:tc>
          <w:tcPr>
            <w:tcW w:w="8697" w:type="dxa"/>
            <w:gridSpan w:val="22"/>
            <w:shd w:val="clear" w:color="auto" w:fill="FFFFFF"/>
          </w:tcPr>
          <w:p w14:paraId="3B649155" w14:textId="4F456966" w:rsidR="00486AAC" w:rsidRPr="002E0A8C" w:rsidRDefault="002E0A8C" w:rsidP="00486AAC">
            <w:pPr>
              <w:rPr>
                <w:rStyle w:val="Ppogrubienie"/>
              </w:rPr>
            </w:pPr>
            <w:r w:rsidRPr="002E0A8C">
              <w:rPr>
                <w:rStyle w:val="Ppogrubienie"/>
              </w:rPr>
              <w:lastRenderedPageBreak/>
              <w:t xml:space="preserve">I. </w:t>
            </w:r>
            <w:r w:rsidR="00486AAC" w:rsidRPr="002E0A8C">
              <w:rPr>
                <w:rStyle w:val="Ppogrubienie"/>
              </w:rPr>
              <w:t>Wydatki związane</w:t>
            </w:r>
            <w:r w:rsidR="00BE01F2" w:rsidRPr="002E0A8C">
              <w:rPr>
                <w:rStyle w:val="Ppogrubienie"/>
              </w:rPr>
              <w:t xml:space="preserve"> z</w:t>
            </w:r>
            <w:r w:rsidR="00BE01F2">
              <w:rPr>
                <w:rStyle w:val="Ppogrubienie"/>
              </w:rPr>
              <w:t> </w:t>
            </w:r>
            <w:r w:rsidR="00486AAC" w:rsidRPr="002E0A8C">
              <w:rPr>
                <w:rStyle w:val="Ppogrubienie"/>
              </w:rPr>
              <w:t>rozwojem portalu otwartych danych (dane.gov.pl).</w:t>
            </w:r>
          </w:p>
          <w:p w14:paraId="1C2847C4" w14:textId="0312B2F8" w:rsidR="00486AAC" w:rsidRDefault="00486AAC" w:rsidP="002E0A8C">
            <w:pPr>
              <w:pStyle w:val="NIEARTTEKSTtekstnieartykuowanynppodstprawnarozplubpreambua"/>
            </w:pPr>
            <w:r w:rsidRPr="00486AAC">
              <w:t>Koszty funkcjonowania centralnego repozytorium informacji publicznej (aktualna nazwa portalu otwartych danych) zostały wskazane</w:t>
            </w:r>
            <w:r w:rsidR="00BE01F2" w:rsidRPr="00486AAC">
              <w:t xml:space="preserve"> w</w:t>
            </w:r>
            <w:r w:rsidR="00BE01F2">
              <w:t> </w:t>
            </w:r>
            <w:r w:rsidRPr="00486AAC">
              <w:t xml:space="preserve">Ocenie Skutków Regulacji do </w:t>
            </w:r>
            <w:r w:rsidRPr="00486AAC">
              <w:lastRenderedPageBreak/>
              <w:t>projektu ustawy</w:t>
            </w:r>
            <w:r w:rsidR="00BE01F2" w:rsidRPr="00486AAC">
              <w:t xml:space="preserve"> o</w:t>
            </w:r>
            <w:r w:rsidR="00BE01F2">
              <w:t> </w:t>
            </w:r>
            <w:r w:rsidRPr="00486AAC">
              <w:t>otwartych danych</w:t>
            </w:r>
            <w:r w:rsidR="00BE01F2" w:rsidRPr="00486AAC">
              <w:t xml:space="preserve"> i</w:t>
            </w:r>
            <w:r w:rsidR="00BE01F2">
              <w:t> </w:t>
            </w:r>
            <w:r w:rsidRPr="00486AAC">
              <w:t>ponownym wykorzystywaniu informacji sektora publicznego (nr wpisu do Wykazu prac RM UC47).</w:t>
            </w:r>
            <w:r w:rsidR="00BE01F2" w:rsidRPr="00486AAC">
              <w:t xml:space="preserve"> </w:t>
            </w:r>
            <w:r w:rsidR="00BB7699" w:rsidRPr="00BB7699">
              <w:t>Wydatki związane z rozwojem portalu otwartych danych zaplanowane w ra</w:t>
            </w:r>
            <w:r w:rsidR="00FC2CB8">
              <w:t>mach realizacji P</w:t>
            </w:r>
            <w:r w:rsidR="00BB7699" w:rsidRPr="00BB7699">
              <w:t>rogramu stanowią koszty dodatkowe w stosunku do wydatków ujętych w OSR  do projektu ustawy o otwartych danych i ponownym wykorzystywaniu informacji sektora publicznego</w:t>
            </w:r>
            <w:r w:rsidR="0056090F">
              <w:t>.</w:t>
            </w:r>
            <w:r w:rsidR="00BB7699">
              <w:t xml:space="preserve"> </w:t>
            </w:r>
            <w:r w:rsidR="00BE01F2" w:rsidRPr="00486AAC">
              <w:t>W</w:t>
            </w:r>
            <w:r w:rsidR="00BE01F2">
              <w:t> </w:t>
            </w:r>
            <w:r w:rsidRPr="00486AAC">
              <w:t xml:space="preserve">ramach realizacji Programu </w:t>
            </w:r>
            <w:r w:rsidR="00FC2CB8">
              <w:t>za</w:t>
            </w:r>
            <w:r w:rsidRPr="00486AAC">
              <w:t>plan</w:t>
            </w:r>
            <w:r w:rsidR="00FC2CB8">
              <w:t>owano</w:t>
            </w:r>
            <w:r w:rsidRPr="00486AAC">
              <w:t xml:space="preserve"> działania związane z rozwojem portalu dane.gov.pl. Zakłada się, że realizowane będą w ramach nowej perspektywy budżetowej UE w ramach projektów dotyczących cyfrowej dostępności i użyteczności informacji sektora publicznego oraz projektów służących zwiększeniu dostępności i wykorzystywania danych w gospodarce i administracji dofinansowanych ze środków funduszy europejskich (wieloletnie ramy finansowe na lata 202</w:t>
            </w:r>
            <w:r w:rsidR="00BE01F2" w:rsidRPr="00486AAC">
              <w:t>1</w:t>
            </w:r>
            <w:r w:rsidR="00BE01F2">
              <w:noBreakHyphen/>
            </w:r>
            <w:r w:rsidRPr="00486AAC">
              <w:t>2027). Planuje się, że koszty rozbudowy portalu dane.gov.pl</w:t>
            </w:r>
            <w:r w:rsidR="00BE01F2" w:rsidRPr="00486AAC">
              <w:t xml:space="preserve"> w</w:t>
            </w:r>
            <w:r w:rsidR="00BE01F2">
              <w:t> </w:t>
            </w:r>
            <w:r w:rsidRPr="00486AAC">
              <w:t>latach realizacji Programu to kwota: 5,</w:t>
            </w:r>
            <w:r w:rsidR="00BE01F2" w:rsidRPr="00486AAC">
              <w:t>5</w:t>
            </w:r>
            <w:r w:rsidR="00BE01F2">
              <w:t> </w:t>
            </w:r>
            <w:r w:rsidRPr="00486AAC">
              <w:t>mln zł.</w:t>
            </w:r>
          </w:p>
          <w:p w14:paraId="5055F488" w14:textId="134222D5" w:rsidR="00486AAC" w:rsidRPr="002E0A8C" w:rsidRDefault="002E0A8C" w:rsidP="00486AAC">
            <w:pPr>
              <w:rPr>
                <w:rStyle w:val="Ppogrubienie"/>
              </w:rPr>
            </w:pPr>
            <w:r w:rsidRPr="002E0A8C">
              <w:rPr>
                <w:rStyle w:val="Ppogrubienie"/>
              </w:rPr>
              <w:t xml:space="preserve">II. </w:t>
            </w:r>
            <w:r w:rsidR="00486AAC" w:rsidRPr="002E0A8C">
              <w:rPr>
                <w:rStyle w:val="Ppogrubienie"/>
              </w:rPr>
              <w:t>Wydatki związane z dobudową interfejsu programistycznego API do baz/ rejestrów administracji publicznej.</w:t>
            </w:r>
          </w:p>
          <w:p w14:paraId="0C92E671" w14:textId="655CDDC9" w:rsidR="00486AAC" w:rsidRPr="00486AAC" w:rsidRDefault="00486AAC" w:rsidP="002E0A8C">
            <w:pPr>
              <w:pStyle w:val="NIEARTTEKSTtekstnieartykuowanynppodstprawnarozplubpreambua"/>
            </w:pPr>
            <w:r w:rsidRPr="00486AAC">
              <w:t>Koszty będą wiązać się</w:t>
            </w:r>
            <w:r w:rsidR="00BE01F2" w:rsidRPr="00486AAC">
              <w:t xml:space="preserve"> z</w:t>
            </w:r>
            <w:r w:rsidR="00BE01F2">
              <w:t> </w:t>
            </w:r>
            <w:r w:rsidRPr="00486AAC">
              <w:t>koniecznością dobudowy interfejsów programowania aplikacji (API) do wybranych baz danych/zbiorów danych</w:t>
            </w:r>
            <w:r w:rsidR="00BE01F2" w:rsidRPr="00486AAC">
              <w:t xml:space="preserve"> i</w:t>
            </w:r>
            <w:r w:rsidR="00BE01F2">
              <w:t> </w:t>
            </w:r>
            <w:r w:rsidRPr="00486AAC">
              <w:t>dostosowanie ich do zautomatyzowanego udostępniania przez API.</w:t>
            </w:r>
          </w:p>
          <w:p w14:paraId="7A9F3924" w14:textId="0D0C991C" w:rsidR="00486AAC" w:rsidRPr="00486AAC" w:rsidRDefault="00486AAC" w:rsidP="002E0A8C">
            <w:pPr>
              <w:pStyle w:val="NIEARTTEKSTtekstnieartykuowanynppodstprawnarozplubpreambua"/>
            </w:pPr>
            <w:r w:rsidRPr="00486AAC">
              <w:t>W ramach realizacji projektów</w:t>
            </w:r>
            <w:r w:rsidR="00BE01F2" w:rsidRPr="00486AAC">
              <w:t xml:space="preserve"> w</w:t>
            </w:r>
            <w:r w:rsidR="00BE01F2">
              <w:t> </w:t>
            </w:r>
            <w:r w:rsidRPr="00486AAC">
              <w:t>zakresie dobudowy API do baz/ rejestrów publicznych zaplanowano 6</w:t>
            </w:r>
            <w:r w:rsidR="00BE01F2" w:rsidRPr="00486AAC">
              <w:t>5</w:t>
            </w:r>
            <w:r w:rsidR="00BE01F2">
              <w:t> </w:t>
            </w:r>
            <w:r w:rsidRPr="00486AAC">
              <w:t>API. Na obecnym etapie nie jest możliwe ustalenie szczegółowych kosztów dobudowy API do wybranych baz danych/zbiorów danych, ponieważ są one bardzo różne,</w:t>
            </w:r>
            <w:r w:rsidR="00BE01F2" w:rsidRPr="00486AAC">
              <w:t xml:space="preserve"> w</w:t>
            </w:r>
            <w:r w:rsidR="00BE01F2">
              <w:t> </w:t>
            </w:r>
            <w:r w:rsidRPr="00486AAC">
              <w:t>zależności od wielkości bazy, liczby rekordów</w:t>
            </w:r>
            <w:r w:rsidR="00BE01F2" w:rsidRPr="00486AAC">
              <w:t xml:space="preserve"> i</w:t>
            </w:r>
            <w:r w:rsidR="00BE01F2">
              <w:t> </w:t>
            </w:r>
            <w:r w:rsidRPr="00486AAC">
              <w:t>aktualnej infrastruktury IT.</w:t>
            </w:r>
            <w:r w:rsidR="00BE01F2" w:rsidRPr="00486AAC">
              <w:t xml:space="preserve"> Z</w:t>
            </w:r>
            <w:r w:rsidR="00BE01F2">
              <w:t> </w:t>
            </w:r>
            <w:r w:rsidRPr="00486AAC">
              <w:t xml:space="preserve">dotychczasowych doświadczeń </w:t>
            </w:r>
            <w:r w:rsidR="00BE01F2" w:rsidRPr="00486AAC">
              <w:t>z</w:t>
            </w:r>
            <w:r w:rsidR="00BE01F2">
              <w:t> </w:t>
            </w:r>
            <w:r w:rsidRPr="00486AAC">
              <w:t xml:space="preserve">realizacji projektu Otwarte dane </w:t>
            </w:r>
            <w:r w:rsidR="00BE01F2">
              <w:noBreakHyphen/>
              <w:t xml:space="preserve"> </w:t>
            </w:r>
            <w:r w:rsidRPr="00486AAC">
              <w:t>dostęp, standard, edukacja wynika, że średni koszt dobudowy jednego API do bazy/ rejestru to kwota 0,74</w:t>
            </w:r>
            <w:r w:rsidR="00BE01F2" w:rsidRPr="00486AAC">
              <w:t>4</w:t>
            </w:r>
            <w:r w:rsidR="00BE01F2">
              <w:t> </w:t>
            </w:r>
            <w:r w:rsidRPr="00486AAC">
              <w:t>mln zł., co</w:t>
            </w:r>
            <w:r w:rsidR="00BE01F2" w:rsidRPr="00486AAC">
              <w:t xml:space="preserve"> w</w:t>
            </w:r>
            <w:r w:rsidR="00BE01F2">
              <w:t> </w:t>
            </w:r>
            <w:r w:rsidRPr="00486AAC">
              <w:t>przeliczeniu na planowane do realizacji 6</w:t>
            </w:r>
            <w:r w:rsidR="00BE01F2" w:rsidRPr="00486AAC">
              <w:t>5</w:t>
            </w:r>
            <w:r w:rsidR="00BE01F2">
              <w:t> </w:t>
            </w:r>
            <w:r w:rsidRPr="00486AAC">
              <w:t>API daje ogólną kwotę 48,3</w:t>
            </w:r>
            <w:r w:rsidR="00BE01F2" w:rsidRPr="00486AAC">
              <w:t>6</w:t>
            </w:r>
            <w:r w:rsidR="00BE01F2">
              <w:t> </w:t>
            </w:r>
            <w:r w:rsidRPr="00486AAC">
              <w:t>mln. zł.</w:t>
            </w:r>
            <w:r w:rsidR="00BE01F2" w:rsidRPr="00486AAC">
              <w:t xml:space="preserve"> W</w:t>
            </w:r>
            <w:r w:rsidR="00BE01F2">
              <w:t> </w:t>
            </w:r>
            <w:r w:rsidRPr="00486AAC">
              <w:t>przypadku API do 4</w:t>
            </w:r>
            <w:r w:rsidR="00BE01F2" w:rsidRPr="00486AAC">
              <w:t>4</w:t>
            </w:r>
            <w:r w:rsidR="00BE01F2">
              <w:t> </w:t>
            </w:r>
            <w:r w:rsidRPr="00486AAC">
              <w:t>baz/rejestrów planowanym źródłem finansowania są środki</w:t>
            </w:r>
            <w:r w:rsidR="00BE01F2" w:rsidRPr="00486AAC">
              <w:t xml:space="preserve"> z</w:t>
            </w:r>
            <w:r w:rsidR="00BE01F2">
              <w:t> </w:t>
            </w:r>
            <w:r w:rsidRPr="00486AAC">
              <w:t>programów operacyjnych UE,</w:t>
            </w:r>
            <w:r w:rsidR="00BE01F2" w:rsidRPr="00486AAC">
              <w:t xml:space="preserve"> w</w:t>
            </w:r>
            <w:r w:rsidR="00BE01F2">
              <w:t> </w:t>
            </w:r>
            <w:r w:rsidRPr="00486AAC">
              <w:t>pozostałym zakresie wydatki pokrywane będą</w:t>
            </w:r>
            <w:r w:rsidR="00BE01F2" w:rsidRPr="00486AAC">
              <w:t xml:space="preserve"> w</w:t>
            </w:r>
            <w:r w:rsidR="00BE01F2">
              <w:t> </w:t>
            </w:r>
            <w:r w:rsidRPr="00486AAC">
              <w:t>ramach środków ujętych</w:t>
            </w:r>
            <w:r w:rsidR="00BE01F2" w:rsidRPr="00486AAC">
              <w:t xml:space="preserve"> w</w:t>
            </w:r>
            <w:r w:rsidR="00BE01F2">
              <w:t> </w:t>
            </w:r>
            <w:r w:rsidRPr="00486AAC">
              <w:t>planach finansowych jednostek odpowiedzialnych za dobudowę API,</w:t>
            </w:r>
            <w:r w:rsidR="00BE01F2" w:rsidRPr="00486AAC">
              <w:t xml:space="preserve"> w</w:t>
            </w:r>
            <w:r w:rsidR="00BE01F2">
              <w:t> </w:t>
            </w:r>
            <w:r w:rsidRPr="00486AAC">
              <w:t>ramach środków dostępnych we właściwych częściach budżetowych.</w:t>
            </w:r>
          </w:p>
          <w:p w14:paraId="49600DD8" w14:textId="5E946494" w:rsidR="00486AAC" w:rsidRPr="002E0A8C" w:rsidRDefault="00486AAC" w:rsidP="00486AAC">
            <w:pPr>
              <w:rPr>
                <w:rStyle w:val="Ppogrubienie"/>
              </w:rPr>
            </w:pPr>
            <w:r w:rsidRPr="002E0A8C">
              <w:rPr>
                <w:rStyle w:val="Ppogrubienie"/>
              </w:rPr>
              <w:t>III.</w:t>
            </w:r>
            <w:r w:rsidRPr="002E0A8C">
              <w:rPr>
                <w:rStyle w:val="Ppogrubienie"/>
              </w:rPr>
              <w:tab/>
              <w:t>Wydatki na działania szkoleniowe</w:t>
            </w:r>
            <w:r w:rsidR="00BE01F2" w:rsidRPr="002E0A8C">
              <w:rPr>
                <w:rStyle w:val="Ppogrubienie"/>
              </w:rPr>
              <w:t xml:space="preserve"> i</w:t>
            </w:r>
            <w:r w:rsidR="00BE01F2">
              <w:rPr>
                <w:rStyle w:val="Ppogrubienie"/>
              </w:rPr>
              <w:t> </w:t>
            </w:r>
            <w:r w:rsidRPr="002E0A8C">
              <w:rPr>
                <w:rStyle w:val="Ppogrubienie"/>
              </w:rPr>
              <w:t>informacyjno</w:t>
            </w:r>
            <w:r w:rsidR="00BE01F2">
              <w:rPr>
                <w:rStyle w:val="Ppogrubienie"/>
              </w:rPr>
              <w:softHyphen/>
            </w:r>
            <w:r w:rsidR="00BE01F2">
              <w:rPr>
                <w:rStyle w:val="Ppogrubienie"/>
              </w:rPr>
              <w:noBreakHyphen/>
            </w:r>
            <w:r w:rsidRPr="002E0A8C">
              <w:rPr>
                <w:rStyle w:val="Ppogrubienie"/>
              </w:rPr>
              <w:t>promocyjne</w:t>
            </w:r>
          </w:p>
          <w:p w14:paraId="04FFE360" w14:textId="7E2654E9" w:rsidR="00486AAC" w:rsidRPr="00486AAC" w:rsidRDefault="00486AAC" w:rsidP="002E0A8C">
            <w:pPr>
              <w:pStyle w:val="NIEARTTEKSTtekstnieartykuowanynppodstprawnarozplubpreambua"/>
            </w:pPr>
            <w:r w:rsidRPr="00486AAC">
              <w:t>Działania edukacyjno</w:t>
            </w:r>
            <w:r w:rsidR="00BE01F2">
              <w:softHyphen/>
            </w:r>
            <w:r w:rsidR="00BE01F2">
              <w:noBreakHyphen/>
            </w:r>
            <w:r w:rsidRPr="00486AAC">
              <w:t>promocyjne stanowią znaczną część działań planowanych do realizacji</w:t>
            </w:r>
            <w:r w:rsidR="00BE01F2" w:rsidRPr="00486AAC">
              <w:t xml:space="preserve"> w</w:t>
            </w:r>
            <w:r w:rsidR="00BE01F2">
              <w:t> </w:t>
            </w:r>
            <w:r w:rsidRPr="00486AAC">
              <w:t>ramach projektowanego dokumentu. Ich realizacja finansowana będzie</w:t>
            </w:r>
            <w:r w:rsidR="00BE01F2" w:rsidRPr="00486AAC">
              <w:t xml:space="preserve"> z</w:t>
            </w:r>
            <w:r w:rsidR="00BE01F2">
              <w:t> </w:t>
            </w:r>
            <w:r w:rsidRPr="00486AAC">
              <w:t>projektów Otarte dane plus oraz projektu Kronik@ finansowanych</w:t>
            </w:r>
            <w:r w:rsidR="00BE01F2" w:rsidRPr="00486AAC">
              <w:t xml:space="preserve"> z</w:t>
            </w:r>
            <w:r w:rsidR="00BE01F2">
              <w:t> </w:t>
            </w:r>
            <w:r w:rsidRPr="00486AAC">
              <w:t>programu POPC. Cz</w:t>
            </w:r>
            <w:r w:rsidR="004E6675">
              <w:t>ę</w:t>
            </w:r>
            <w:r w:rsidRPr="00486AAC">
              <w:t>ść działań zaplanowana została do realizacji</w:t>
            </w:r>
            <w:r w:rsidR="00BE01F2" w:rsidRPr="00486AAC">
              <w:t xml:space="preserve"> w</w:t>
            </w:r>
            <w:r w:rsidR="00BE01F2">
              <w:t> </w:t>
            </w:r>
            <w:r w:rsidRPr="00486AAC">
              <w:t>ramach nowej perspektywy finansowej UE na lata 202</w:t>
            </w:r>
            <w:r w:rsidR="00BE01F2" w:rsidRPr="00486AAC">
              <w:t>1</w:t>
            </w:r>
            <w:r w:rsidR="00BE01F2">
              <w:noBreakHyphen/>
            </w:r>
            <w:r w:rsidRPr="00486AAC">
              <w:t xml:space="preserve">2027. Prognozuje się, że łączna kwota działań </w:t>
            </w:r>
            <w:r w:rsidRPr="00486AAC">
              <w:lastRenderedPageBreak/>
              <w:t>szkoleniowych na lata 202</w:t>
            </w:r>
            <w:r w:rsidR="00BE01F2" w:rsidRPr="00486AAC">
              <w:t>1</w:t>
            </w:r>
            <w:r w:rsidR="00BE01F2">
              <w:noBreakHyphen/>
            </w:r>
            <w:r w:rsidRPr="00486AAC">
              <w:t>202</w:t>
            </w:r>
            <w:r w:rsidR="00BE01F2" w:rsidRPr="00486AAC">
              <w:t>4</w:t>
            </w:r>
            <w:r w:rsidR="00BE01F2">
              <w:t> </w:t>
            </w:r>
            <w:r w:rsidRPr="00486AAC">
              <w:t>to 1,462 mln zł.,</w:t>
            </w:r>
            <w:r w:rsidR="00BE01F2" w:rsidRPr="00486AAC">
              <w:t xml:space="preserve"> a</w:t>
            </w:r>
            <w:r w:rsidR="00BE01F2">
              <w:t> </w:t>
            </w:r>
            <w:r w:rsidRPr="00486AAC">
              <w:t>działań promocyjnych to 1,94</w:t>
            </w:r>
            <w:r w:rsidR="00BE01F2" w:rsidRPr="00486AAC">
              <w:t>5</w:t>
            </w:r>
            <w:r w:rsidR="00BE01F2">
              <w:t> </w:t>
            </w:r>
            <w:r w:rsidRPr="00486AAC">
              <w:t>mln zł. Zakłada się, że od 202</w:t>
            </w:r>
            <w:r w:rsidR="00BE01F2" w:rsidRPr="00486AAC">
              <w:t>5</w:t>
            </w:r>
            <w:r w:rsidR="00BE01F2">
              <w:t> </w:t>
            </w:r>
            <w:r w:rsidRPr="00486AAC">
              <w:t>r. do końca realizacji projektu czyli do 202</w:t>
            </w:r>
            <w:r w:rsidR="00BE01F2" w:rsidRPr="00486AAC">
              <w:t>7</w:t>
            </w:r>
            <w:r w:rsidR="00BE01F2">
              <w:t> </w:t>
            </w:r>
            <w:r w:rsidRPr="00486AAC">
              <w:t>r. wydatki związane</w:t>
            </w:r>
            <w:r w:rsidR="00BE01F2" w:rsidRPr="00486AAC">
              <w:t xml:space="preserve"> z</w:t>
            </w:r>
            <w:r w:rsidR="00BE01F2">
              <w:t> </w:t>
            </w:r>
            <w:r w:rsidRPr="00486AAC">
              <w:t>działaniami szkoleniowo</w:t>
            </w:r>
            <w:r w:rsidR="00BE01F2">
              <w:softHyphen/>
            </w:r>
            <w:r w:rsidR="00BE01F2">
              <w:noBreakHyphen/>
            </w:r>
            <w:r w:rsidRPr="00486AAC">
              <w:t>informacyjnymi finansowane będą</w:t>
            </w:r>
            <w:r w:rsidR="00BE01F2" w:rsidRPr="00486AAC">
              <w:t xml:space="preserve"> w</w:t>
            </w:r>
            <w:r w:rsidR="00BE01F2">
              <w:t> </w:t>
            </w:r>
            <w:r w:rsidRPr="00486AAC">
              <w:t>całości</w:t>
            </w:r>
            <w:r w:rsidR="00BE01F2" w:rsidRPr="00486AAC">
              <w:t xml:space="preserve"> z</w:t>
            </w:r>
            <w:r w:rsidR="00BE01F2">
              <w:t> </w:t>
            </w:r>
            <w:r w:rsidRPr="00486AAC">
              <w:t>budżetu państwa,</w:t>
            </w:r>
            <w:r w:rsidR="00BE01F2" w:rsidRPr="00486AAC">
              <w:t xml:space="preserve"> a</w:t>
            </w:r>
            <w:r w:rsidR="00BE01F2">
              <w:t> </w:t>
            </w:r>
            <w:r w:rsidR="00BE01F2" w:rsidRPr="00486AAC">
              <w:t>w</w:t>
            </w:r>
            <w:r w:rsidR="00BE01F2">
              <w:t> </w:t>
            </w:r>
            <w:r w:rsidRPr="00486AAC">
              <w:t>przypadku uruchomienia nowego projektu dot. otwartych danych ze środków UE. Planowana kwota to 0,</w:t>
            </w:r>
            <w:r w:rsidR="00BE01F2" w:rsidRPr="00486AAC">
              <w:t>2</w:t>
            </w:r>
            <w:r w:rsidR="00BE01F2">
              <w:t> </w:t>
            </w:r>
            <w:r w:rsidRPr="00486AAC">
              <w:t>mln zł. rocznie. Całkowity planowany koszt realizacji działań promocyjno</w:t>
            </w:r>
            <w:r w:rsidR="00BE01F2">
              <w:softHyphen/>
            </w:r>
            <w:r w:rsidR="00BE01F2">
              <w:noBreakHyphen/>
            </w:r>
            <w:r w:rsidRPr="00486AAC">
              <w:t>szkoleniowych</w:t>
            </w:r>
            <w:r w:rsidR="00BE01F2" w:rsidRPr="00486AAC">
              <w:t xml:space="preserve"> w</w:t>
            </w:r>
            <w:r w:rsidR="00BE01F2">
              <w:t> </w:t>
            </w:r>
            <w:r w:rsidRPr="00486AAC">
              <w:t>okresie realizacji Programu to kwota: 4,00</w:t>
            </w:r>
            <w:r w:rsidR="00BE01F2" w:rsidRPr="00486AAC">
              <w:t>7</w:t>
            </w:r>
            <w:r w:rsidR="00BE01F2">
              <w:t> </w:t>
            </w:r>
            <w:r w:rsidRPr="00486AAC">
              <w:t>mln. zł.</w:t>
            </w:r>
            <w:r w:rsidR="00BE01F2" w:rsidRPr="00486AAC">
              <w:t xml:space="preserve"> W</w:t>
            </w:r>
            <w:r w:rsidR="00BE01F2">
              <w:t> </w:t>
            </w:r>
            <w:r w:rsidRPr="00486AAC">
              <w:t>wąskim zakresie działania informacyjne prowadzić będą również jednostki objęte regulacją Programu, ale prognozuje się, że</w:t>
            </w:r>
            <w:r w:rsidR="00BE01F2" w:rsidRPr="00486AAC">
              <w:t xml:space="preserve"> w</w:t>
            </w:r>
            <w:r w:rsidR="00BE01F2">
              <w:t> </w:t>
            </w:r>
            <w:r w:rsidRPr="00486AAC">
              <w:t>ramach swoich zadań statutowych, przy wsparciu Koordynatora POD.</w:t>
            </w:r>
          </w:p>
          <w:p w14:paraId="67C28D6C" w14:textId="5F5D7DB4" w:rsidR="00486AAC" w:rsidRPr="002E0A8C" w:rsidRDefault="002E0A8C" w:rsidP="00486AAC">
            <w:pPr>
              <w:rPr>
                <w:rStyle w:val="Ppogrubienie"/>
              </w:rPr>
            </w:pPr>
            <w:r w:rsidRPr="002E0A8C">
              <w:rPr>
                <w:rStyle w:val="Ppogrubienie"/>
              </w:rPr>
              <w:t xml:space="preserve">IV. </w:t>
            </w:r>
            <w:r w:rsidR="00486AAC" w:rsidRPr="002E0A8C">
              <w:rPr>
                <w:rStyle w:val="Ppogrubienie"/>
              </w:rPr>
              <w:t>Pozostałe wydatki związane</w:t>
            </w:r>
            <w:r w:rsidR="00BE01F2" w:rsidRPr="002E0A8C">
              <w:rPr>
                <w:rStyle w:val="Ppogrubienie"/>
              </w:rPr>
              <w:t xml:space="preserve"> z</w:t>
            </w:r>
            <w:r w:rsidR="00BE01F2">
              <w:rPr>
                <w:rStyle w:val="Ppogrubienie"/>
              </w:rPr>
              <w:t> </w:t>
            </w:r>
            <w:r w:rsidR="00486AAC" w:rsidRPr="002E0A8C">
              <w:rPr>
                <w:rStyle w:val="Ppogrubienie"/>
              </w:rPr>
              <w:t>realizacją Programu</w:t>
            </w:r>
          </w:p>
          <w:p w14:paraId="2DB8673D" w14:textId="0F71DCDA" w:rsidR="00410CBA" w:rsidRPr="00410CBA" w:rsidRDefault="00486AAC" w:rsidP="0033750C">
            <w:pPr>
              <w:pStyle w:val="NIEARTTEKSTtekstnieartykuowanynppodstprawnarozplubpreambua"/>
            </w:pPr>
            <w:r w:rsidRPr="00486AAC">
              <w:t>Realizacja zadań wynikających</w:t>
            </w:r>
            <w:r w:rsidR="00BE01F2" w:rsidRPr="00486AAC">
              <w:t xml:space="preserve"> z</w:t>
            </w:r>
            <w:r w:rsidR="00BE01F2">
              <w:t> </w:t>
            </w:r>
            <w:r w:rsidRPr="00486AAC">
              <w:t>projektowanego dokumentu</w:t>
            </w:r>
            <w:r w:rsidR="00BE01F2" w:rsidRPr="00486AAC">
              <w:t xml:space="preserve"> w</w:t>
            </w:r>
            <w:r w:rsidR="00BE01F2">
              <w:t> </w:t>
            </w:r>
            <w:r w:rsidRPr="00486AAC">
              <w:t>szczególności</w:t>
            </w:r>
            <w:r w:rsidR="00BE01F2" w:rsidRPr="00486AAC">
              <w:t xml:space="preserve"> w</w:t>
            </w:r>
            <w:r w:rsidR="00BE01F2">
              <w:t> </w:t>
            </w:r>
            <w:r w:rsidRPr="00486AAC">
              <w:t>zakresie spotkań</w:t>
            </w:r>
            <w:r w:rsidR="00BE01F2" w:rsidRPr="00486AAC">
              <w:t xml:space="preserve"> w</w:t>
            </w:r>
            <w:r w:rsidR="00BE01F2">
              <w:t> </w:t>
            </w:r>
            <w:r w:rsidRPr="00486AAC">
              <w:t>ramach sieci pełnomocników, badań rynku popytu</w:t>
            </w:r>
            <w:r w:rsidR="00BE01F2" w:rsidRPr="00486AAC">
              <w:t xml:space="preserve"> i</w:t>
            </w:r>
            <w:r w:rsidR="00BE01F2">
              <w:t> </w:t>
            </w:r>
            <w:r w:rsidRPr="00486AAC">
              <w:t>podaży otwartych danych, działania Laboratorium Otwartych Danych (LOD) będą pokrywane ze środków projektu Otwarte dane plus finansowanego</w:t>
            </w:r>
            <w:r w:rsidR="00BE01F2" w:rsidRPr="00486AAC">
              <w:t xml:space="preserve"> z</w:t>
            </w:r>
            <w:r w:rsidR="00BE01F2">
              <w:t> </w:t>
            </w:r>
            <w:r w:rsidRPr="00486AAC">
              <w:t>programu POPC oraz</w:t>
            </w:r>
            <w:r w:rsidR="00BE01F2" w:rsidRPr="00486AAC">
              <w:t xml:space="preserve"> z</w:t>
            </w:r>
            <w:r w:rsidR="00BE01F2">
              <w:t> </w:t>
            </w:r>
            <w:r w:rsidRPr="00486AAC">
              <w:t>budżetu  koordynatora Programu. Kwota na funkcjonowanie LOD to 0,66</w:t>
            </w:r>
            <w:r w:rsidR="00BE01F2" w:rsidRPr="00486AAC">
              <w:t>2</w:t>
            </w:r>
            <w:r w:rsidR="00BE01F2">
              <w:t> </w:t>
            </w:r>
            <w:r w:rsidRPr="00486AAC">
              <w:t>mln zł.</w:t>
            </w:r>
            <w:r w:rsidR="00BE01F2" w:rsidRPr="00486AAC">
              <w:t xml:space="preserve"> z</w:t>
            </w:r>
            <w:r w:rsidR="00BE01F2">
              <w:t> </w:t>
            </w:r>
            <w:r w:rsidRPr="00486AAC">
              <w:t>projektu Otwarte dane plus. Zakłada się, że</w:t>
            </w:r>
            <w:r w:rsidR="00BE01F2" w:rsidRPr="00486AAC">
              <w:t xml:space="preserve"> w</w:t>
            </w:r>
            <w:r w:rsidR="00BE01F2">
              <w:t> </w:t>
            </w:r>
            <w:r w:rsidRPr="00486AAC">
              <w:t>przypadku uruchomienia nowego projektu dot. otwartych danych ze środków UE</w:t>
            </w:r>
            <w:r w:rsidR="00BE01F2" w:rsidRPr="00486AAC">
              <w:t xml:space="preserve"> w</w:t>
            </w:r>
            <w:r w:rsidR="00BE01F2">
              <w:t> </w:t>
            </w:r>
            <w:r w:rsidRPr="00486AAC">
              <w:t>ramach perspektywy finansowej UE na lata 202</w:t>
            </w:r>
            <w:r w:rsidR="00BE01F2" w:rsidRPr="00486AAC">
              <w:t>1</w:t>
            </w:r>
            <w:r w:rsidR="00BE01F2">
              <w:noBreakHyphen/>
            </w:r>
            <w:r w:rsidRPr="00486AAC">
              <w:t>202</w:t>
            </w:r>
            <w:r w:rsidR="00BE01F2" w:rsidRPr="00486AAC">
              <w:t>7</w:t>
            </w:r>
            <w:r w:rsidR="00BE01F2">
              <w:t> </w:t>
            </w:r>
            <w:r w:rsidRPr="00486AAC">
              <w:t>zostaną opracowane standardy wymiany danych, szacowany koszt realizacji to 0,</w:t>
            </w:r>
            <w:r w:rsidR="00BE01F2" w:rsidRPr="00486AAC">
              <w:t>4</w:t>
            </w:r>
            <w:r w:rsidR="00BE01F2">
              <w:t> </w:t>
            </w:r>
            <w:r w:rsidRPr="00486AAC">
              <w:t>mln zł. Pozostałe środki planowane na realizację Programu na lata 202</w:t>
            </w:r>
            <w:r w:rsidR="00BE01F2" w:rsidRPr="00486AAC">
              <w:t>1</w:t>
            </w:r>
            <w:r w:rsidR="00BE01F2">
              <w:noBreakHyphen/>
            </w:r>
            <w:r w:rsidRPr="00486AAC">
              <w:t>202</w:t>
            </w:r>
            <w:r w:rsidR="00BE01F2" w:rsidRPr="00486AAC">
              <w:t>3</w:t>
            </w:r>
            <w:r w:rsidR="00BE01F2">
              <w:t> </w:t>
            </w:r>
            <w:r w:rsidRPr="00486AAC">
              <w:t>to odpowiednio 0,1</w:t>
            </w:r>
            <w:r w:rsidR="00BE01F2" w:rsidRPr="00486AAC">
              <w:t>4</w:t>
            </w:r>
            <w:r w:rsidR="00BE01F2">
              <w:t> </w:t>
            </w:r>
            <w:r w:rsidRPr="00486AAC">
              <w:t>mln zł, 0,8</w:t>
            </w:r>
            <w:r w:rsidR="00BE01F2" w:rsidRPr="00486AAC">
              <w:t>3</w:t>
            </w:r>
            <w:r w:rsidR="00BE01F2">
              <w:t> </w:t>
            </w:r>
            <w:r w:rsidRPr="00486AAC">
              <w:t>mln zł., 0,1</w:t>
            </w:r>
            <w:r w:rsidR="00BE01F2" w:rsidRPr="00486AAC">
              <w:t>7</w:t>
            </w:r>
            <w:r w:rsidR="00BE01F2">
              <w:t> </w:t>
            </w:r>
            <w:r w:rsidRPr="00486AAC">
              <w:t>mln zł. projektowana</w:t>
            </w:r>
            <w:r w:rsidR="00BE01F2" w:rsidRPr="00486AAC">
              <w:t xml:space="preserve"> w</w:t>
            </w:r>
            <w:r w:rsidR="00BE01F2">
              <w:t> </w:t>
            </w:r>
            <w:r w:rsidRPr="00486AAC">
              <w:t xml:space="preserve">budżecie </w:t>
            </w:r>
            <w:r w:rsidR="0033750C">
              <w:t>urzę</w:t>
            </w:r>
            <w:r w:rsidR="00D555CC" w:rsidRPr="00D555CC">
              <w:t>d</w:t>
            </w:r>
            <w:r w:rsidR="00D555CC">
              <w:t>u</w:t>
            </w:r>
            <w:r w:rsidR="00D555CC" w:rsidRPr="00D555CC">
              <w:t xml:space="preserve"> </w:t>
            </w:r>
            <w:r w:rsidR="0033750C">
              <w:t>obsługującego</w:t>
            </w:r>
            <w:r w:rsidR="00D555CC" w:rsidRPr="00D555CC">
              <w:t xml:space="preserve"> ministra właściwego do spraw informatyzacji</w:t>
            </w:r>
            <w:r w:rsidRPr="00486AAC">
              <w:t>. Zakłada się, że od 202</w:t>
            </w:r>
            <w:r w:rsidR="00BE01F2" w:rsidRPr="00486AAC">
              <w:t>4</w:t>
            </w:r>
            <w:r w:rsidR="00BE01F2">
              <w:t> </w:t>
            </w:r>
            <w:r w:rsidRPr="00486AAC">
              <w:t>r. do końca realizacji projektu czyli do końca 202</w:t>
            </w:r>
            <w:r w:rsidR="00BE01F2" w:rsidRPr="00486AAC">
              <w:t>7</w:t>
            </w:r>
            <w:r w:rsidR="00BE01F2">
              <w:t> </w:t>
            </w:r>
            <w:r w:rsidRPr="00486AAC">
              <w:t>r. wydatki związane</w:t>
            </w:r>
            <w:r w:rsidR="00BE01F2" w:rsidRPr="00486AAC">
              <w:t xml:space="preserve"> z</w:t>
            </w:r>
            <w:r w:rsidR="00BE01F2">
              <w:t> </w:t>
            </w:r>
            <w:r w:rsidRPr="00486AAC">
              <w:t>realizacją Programu finansowane będą</w:t>
            </w:r>
            <w:r w:rsidR="00BE01F2" w:rsidRPr="00486AAC">
              <w:t xml:space="preserve"> w</w:t>
            </w:r>
            <w:r w:rsidR="00BE01F2">
              <w:t> </w:t>
            </w:r>
            <w:r w:rsidRPr="00486AAC">
              <w:t>całości</w:t>
            </w:r>
            <w:r w:rsidR="00BE01F2" w:rsidRPr="00486AAC">
              <w:t xml:space="preserve"> z</w:t>
            </w:r>
            <w:r w:rsidR="00BE01F2">
              <w:t> </w:t>
            </w:r>
            <w:r w:rsidRPr="00486AAC">
              <w:t>budżetu państwa,</w:t>
            </w:r>
            <w:r w:rsidR="00BE01F2" w:rsidRPr="00486AAC">
              <w:t xml:space="preserve"> a</w:t>
            </w:r>
            <w:r w:rsidR="00BE01F2">
              <w:t> </w:t>
            </w:r>
            <w:r w:rsidR="00BE01F2" w:rsidRPr="00486AAC">
              <w:t>w</w:t>
            </w:r>
            <w:r w:rsidR="00BE01F2">
              <w:t> </w:t>
            </w:r>
            <w:r w:rsidRPr="00486AAC">
              <w:t>przypadku uruchomienia nowego projektu dot. otwartych danych ze środków UE. Planowana kwota to 0,</w:t>
            </w:r>
            <w:r w:rsidR="00BE01F2" w:rsidRPr="00486AAC">
              <w:t>1</w:t>
            </w:r>
            <w:r w:rsidR="00BE01F2">
              <w:t> </w:t>
            </w:r>
            <w:r w:rsidRPr="00486AAC">
              <w:t>mln zł. rocznie. Całkowity planowany koszt pozostały wydatków związanych</w:t>
            </w:r>
            <w:r w:rsidR="00BE01F2" w:rsidRPr="00486AAC">
              <w:t xml:space="preserve"> z</w:t>
            </w:r>
            <w:r w:rsidR="00BE01F2">
              <w:t> </w:t>
            </w:r>
            <w:r w:rsidRPr="00486AAC">
              <w:t>realizacja Programu to kwota: 2,602mln. zł.</w:t>
            </w:r>
            <w:r w:rsidR="00BE01F2" w:rsidRPr="00486AAC">
              <w:t xml:space="preserve"> W</w:t>
            </w:r>
            <w:r w:rsidR="00BE01F2">
              <w:t> </w:t>
            </w:r>
            <w:r w:rsidRPr="00486AAC">
              <w:t>przypadku pozostały podmiotów objętych regulacją Programu przewiduje się, że Program nie spowoduje zwiększenia wydatków</w:t>
            </w:r>
            <w:r w:rsidR="00BE01F2" w:rsidRPr="00486AAC">
              <w:t xml:space="preserve"> w</w:t>
            </w:r>
            <w:r w:rsidR="00BE01F2">
              <w:t> </w:t>
            </w:r>
            <w:r w:rsidRPr="00486AAC">
              <w:t>stosunku do obowiązującej regulacji.</w:t>
            </w:r>
          </w:p>
        </w:tc>
      </w:tr>
      <w:tr w:rsidR="00486AAC" w:rsidRPr="00486AAC" w14:paraId="6BE9C28B" w14:textId="77777777" w:rsidTr="009F408A">
        <w:trPr>
          <w:gridAfter w:val="1"/>
          <w:wAfter w:w="10" w:type="dxa"/>
          <w:trHeight w:val="345"/>
        </w:trPr>
        <w:tc>
          <w:tcPr>
            <w:tcW w:w="10908" w:type="dxa"/>
            <w:gridSpan w:val="24"/>
            <w:shd w:val="clear" w:color="auto" w:fill="99CCFF"/>
          </w:tcPr>
          <w:p w14:paraId="17E29E90" w14:textId="1FDA0B51" w:rsidR="00486AAC" w:rsidRPr="001B643A" w:rsidRDefault="001B643A" w:rsidP="00486AAC">
            <w:pPr>
              <w:rPr>
                <w:rStyle w:val="Ppogrubienie"/>
              </w:rPr>
            </w:pPr>
            <w:r w:rsidRPr="001B643A">
              <w:rPr>
                <w:rStyle w:val="Ppogrubienie"/>
              </w:rPr>
              <w:lastRenderedPageBreak/>
              <w:t xml:space="preserve">7. </w:t>
            </w:r>
            <w:r w:rsidR="00486AAC" w:rsidRPr="001B643A">
              <w:rPr>
                <w:rStyle w:val="Ppogrubienie"/>
              </w:rPr>
              <w:t>Wpływ na konkurencyjność gospodarki</w:t>
            </w:r>
            <w:r w:rsidR="00BE01F2" w:rsidRPr="001B643A">
              <w:rPr>
                <w:rStyle w:val="Ppogrubienie"/>
              </w:rPr>
              <w:t xml:space="preserve"> i</w:t>
            </w:r>
            <w:r w:rsidR="00BE01F2">
              <w:rPr>
                <w:rStyle w:val="Ppogrubienie"/>
              </w:rPr>
              <w:t> </w:t>
            </w:r>
            <w:r w:rsidR="00486AAC" w:rsidRPr="001B643A">
              <w:rPr>
                <w:rStyle w:val="Ppogrubienie"/>
              </w:rPr>
              <w:t>przedsiębiorczość,</w:t>
            </w:r>
            <w:r w:rsidR="00BE01F2" w:rsidRPr="001B643A">
              <w:rPr>
                <w:rStyle w:val="Ppogrubienie"/>
              </w:rPr>
              <w:t xml:space="preserve"> w</w:t>
            </w:r>
            <w:r w:rsidR="00BE01F2">
              <w:rPr>
                <w:rStyle w:val="Ppogrubienie"/>
              </w:rPr>
              <w:t> </w:t>
            </w:r>
            <w:r w:rsidR="00486AAC" w:rsidRPr="001B643A">
              <w:rPr>
                <w:rStyle w:val="Ppogrubienie"/>
              </w:rPr>
              <w:t>tym funkcjonowanie przedsiębiorców oraz na rodzinę, obywateli</w:t>
            </w:r>
            <w:r w:rsidR="00BE01F2" w:rsidRPr="001B643A">
              <w:rPr>
                <w:rStyle w:val="Ppogrubienie"/>
              </w:rPr>
              <w:t xml:space="preserve"> i</w:t>
            </w:r>
            <w:r w:rsidR="00BE01F2">
              <w:rPr>
                <w:rStyle w:val="Ppogrubienie"/>
              </w:rPr>
              <w:t> </w:t>
            </w:r>
            <w:r w:rsidR="00486AAC" w:rsidRPr="001B643A">
              <w:rPr>
                <w:rStyle w:val="Ppogrubienie"/>
              </w:rPr>
              <w:t xml:space="preserve">gospodarstwa domowe </w:t>
            </w:r>
          </w:p>
        </w:tc>
      </w:tr>
      <w:tr w:rsidR="00486AAC" w:rsidRPr="00486AAC" w14:paraId="0382B645" w14:textId="77777777" w:rsidTr="009F408A">
        <w:trPr>
          <w:gridAfter w:val="1"/>
          <w:wAfter w:w="10" w:type="dxa"/>
          <w:trHeight w:val="142"/>
        </w:trPr>
        <w:tc>
          <w:tcPr>
            <w:tcW w:w="10908" w:type="dxa"/>
            <w:gridSpan w:val="24"/>
            <w:shd w:val="clear" w:color="auto" w:fill="FFFFFF"/>
          </w:tcPr>
          <w:p w14:paraId="01D92C3C" w14:textId="77777777" w:rsidR="00486AAC" w:rsidRPr="00486AAC" w:rsidRDefault="00486AAC" w:rsidP="00486AAC">
            <w:r w:rsidRPr="00486AAC">
              <w:t>Skutki</w:t>
            </w:r>
          </w:p>
        </w:tc>
      </w:tr>
      <w:tr w:rsidR="00486AAC" w:rsidRPr="00486AAC" w14:paraId="639AFA9F" w14:textId="77777777" w:rsidTr="009F408A">
        <w:trPr>
          <w:gridAfter w:val="1"/>
          <w:wAfter w:w="10" w:type="dxa"/>
          <w:trHeight w:val="142"/>
        </w:trPr>
        <w:tc>
          <w:tcPr>
            <w:tcW w:w="3856" w:type="dxa"/>
            <w:gridSpan w:val="7"/>
            <w:shd w:val="clear" w:color="auto" w:fill="FFFFFF"/>
          </w:tcPr>
          <w:p w14:paraId="48971896" w14:textId="212DDC2B" w:rsidR="00486AAC" w:rsidRPr="00486AAC" w:rsidRDefault="00486AAC" w:rsidP="00486AAC">
            <w:r w:rsidRPr="00486AAC">
              <w:t>Czas</w:t>
            </w:r>
            <w:r w:rsidR="00BE01F2" w:rsidRPr="00486AAC">
              <w:t xml:space="preserve"> w</w:t>
            </w:r>
            <w:r w:rsidR="00BE01F2">
              <w:t> </w:t>
            </w:r>
            <w:r w:rsidRPr="00486AAC">
              <w:t>latach od wejścia</w:t>
            </w:r>
            <w:r w:rsidR="00BE01F2" w:rsidRPr="00486AAC">
              <w:t xml:space="preserve"> w</w:t>
            </w:r>
            <w:r w:rsidR="00BE01F2">
              <w:t> </w:t>
            </w:r>
            <w:r w:rsidRPr="00486AAC">
              <w:t>życie zmian</w:t>
            </w:r>
          </w:p>
        </w:tc>
        <w:tc>
          <w:tcPr>
            <w:tcW w:w="681" w:type="dxa"/>
            <w:shd w:val="clear" w:color="auto" w:fill="FFFFFF"/>
          </w:tcPr>
          <w:p w14:paraId="679700B5" w14:textId="77777777" w:rsidR="00486AAC" w:rsidRPr="00486AAC" w:rsidRDefault="00486AAC" w:rsidP="00486AAC">
            <w:r w:rsidRPr="00486AAC">
              <w:t>0</w:t>
            </w:r>
          </w:p>
        </w:tc>
        <w:tc>
          <w:tcPr>
            <w:tcW w:w="1194" w:type="dxa"/>
            <w:gridSpan w:val="3"/>
            <w:shd w:val="clear" w:color="auto" w:fill="FFFFFF"/>
          </w:tcPr>
          <w:p w14:paraId="27030296" w14:textId="77777777" w:rsidR="00486AAC" w:rsidRPr="00486AAC" w:rsidRDefault="00486AAC" w:rsidP="00486AAC">
            <w:r w:rsidRPr="00486AAC">
              <w:t>1</w:t>
            </w:r>
          </w:p>
        </w:tc>
        <w:tc>
          <w:tcPr>
            <w:tcW w:w="938" w:type="dxa"/>
            <w:gridSpan w:val="3"/>
            <w:shd w:val="clear" w:color="auto" w:fill="FFFFFF"/>
          </w:tcPr>
          <w:p w14:paraId="3986FE5F" w14:textId="77777777" w:rsidR="00486AAC" w:rsidRPr="00486AAC" w:rsidRDefault="00486AAC" w:rsidP="00486AAC">
            <w:r w:rsidRPr="00486AAC">
              <w:t>2</w:t>
            </w:r>
          </w:p>
        </w:tc>
        <w:tc>
          <w:tcPr>
            <w:tcW w:w="937" w:type="dxa"/>
            <w:gridSpan w:val="3"/>
            <w:shd w:val="clear" w:color="auto" w:fill="FFFFFF"/>
          </w:tcPr>
          <w:p w14:paraId="0AD9601A" w14:textId="77777777" w:rsidR="00486AAC" w:rsidRPr="00486AAC" w:rsidRDefault="00486AAC" w:rsidP="00486AAC">
            <w:r w:rsidRPr="00486AAC">
              <w:t>3</w:t>
            </w:r>
          </w:p>
        </w:tc>
        <w:tc>
          <w:tcPr>
            <w:tcW w:w="938" w:type="dxa"/>
            <w:gridSpan w:val="3"/>
            <w:shd w:val="clear" w:color="auto" w:fill="FFFFFF"/>
          </w:tcPr>
          <w:p w14:paraId="504873E6" w14:textId="77777777" w:rsidR="00486AAC" w:rsidRPr="00486AAC" w:rsidRDefault="00486AAC" w:rsidP="00486AAC">
            <w:r w:rsidRPr="00486AAC">
              <w:t>5</w:t>
            </w:r>
          </w:p>
        </w:tc>
        <w:tc>
          <w:tcPr>
            <w:tcW w:w="938" w:type="dxa"/>
            <w:gridSpan w:val="2"/>
            <w:shd w:val="clear" w:color="auto" w:fill="FFFFFF"/>
          </w:tcPr>
          <w:p w14:paraId="06933013" w14:textId="77777777" w:rsidR="00486AAC" w:rsidRPr="00486AAC" w:rsidRDefault="00486AAC" w:rsidP="00486AAC">
            <w:r w:rsidRPr="00486AAC">
              <w:t>10</w:t>
            </w:r>
          </w:p>
        </w:tc>
        <w:tc>
          <w:tcPr>
            <w:tcW w:w="1426" w:type="dxa"/>
            <w:gridSpan w:val="2"/>
            <w:shd w:val="clear" w:color="auto" w:fill="FFFFFF"/>
          </w:tcPr>
          <w:p w14:paraId="57A8037F" w14:textId="655429B3" w:rsidR="00486AAC" w:rsidRPr="00486AAC" w:rsidRDefault="00486AAC" w:rsidP="00486AAC">
            <w:r w:rsidRPr="00486AAC">
              <w:t>Łącznie</w:t>
            </w:r>
            <w:r w:rsidRPr="00486AAC" w:rsidDel="0073273A">
              <w:t xml:space="preserve"> </w:t>
            </w:r>
            <w:r w:rsidRPr="00486AAC">
              <w:t>(</w:t>
            </w:r>
            <w:r w:rsidR="00BE01F2" w:rsidRPr="00486AAC">
              <w:t>0</w:t>
            </w:r>
            <w:r w:rsidR="00BE01F2">
              <w:noBreakHyphen/>
            </w:r>
            <w:r w:rsidRPr="00486AAC">
              <w:t>10)</w:t>
            </w:r>
          </w:p>
        </w:tc>
      </w:tr>
      <w:tr w:rsidR="00486AAC" w:rsidRPr="00486AAC" w14:paraId="2CD37893" w14:textId="77777777" w:rsidTr="009F408A">
        <w:trPr>
          <w:gridAfter w:val="1"/>
          <w:wAfter w:w="10" w:type="dxa"/>
          <w:trHeight w:val="142"/>
        </w:trPr>
        <w:tc>
          <w:tcPr>
            <w:tcW w:w="1565" w:type="dxa"/>
            <w:vMerge w:val="restart"/>
            <w:shd w:val="clear" w:color="auto" w:fill="FFFFFF"/>
          </w:tcPr>
          <w:p w14:paraId="4B8D9DA6" w14:textId="77777777" w:rsidR="00486AAC" w:rsidRPr="00486AAC" w:rsidRDefault="00486AAC" w:rsidP="00486AAC">
            <w:r w:rsidRPr="00486AAC">
              <w:t>W ujęciu pieniężnym</w:t>
            </w:r>
          </w:p>
          <w:p w14:paraId="12E5B4C3" w14:textId="77777777" w:rsidR="00486AAC" w:rsidRPr="00486AAC" w:rsidRDefault="00486AAC" w:rsidP="00486AAC">
            <w:r w:rsidRPr="00486AAC">
              <w:lastRenderedPageBreak/>
              <w:t xml:space="preserve">(w mln zł, </w:t>
            </w:r>
          </w:p>
          <w:p w14:paraId="11544CF2" w14:textId="7E492D04" w:rsidR="00486AAC" w:rsidRPr="00486AAC" w:rsidRDefault="00486AAC" w:rsidP="00486AAC">
            <w:r w:rsidRPr="00486AAC">
              <w:t>ceny stałe</w:t>
            </w:r>
            <w:r w:rsidR="00BE01F2" w:rsidRPr="00486AAC">
              <w:t xml:space="preserve"> z</w:t>
            </w:r>
            <w:r w:rsidR="00BE01F2">
              <w:t> </w:t>
            </w:r>
            <w:r w:rsidRPr="00486AAC">
              <w:t>…… r.)</w:t>
            </w:r>
          </w:p>
        </w:tc>
        <w:tc>
          <w:tcPr>
            <w:tcW w:w="2291" w:type="dxa"/>
            <w:gridSpan w:val="6"/>
            <w:shd w:val="clear" w:color="auto" w:fill="FFFFFF"/>
          </w:tcPr>
          <w:p w14:paraId="6A18AAEA" w14:textId="77777777" w:rsidR="00486AAC" w:rsidRPr="00486AAC" w:rsidRDefault="00486AAC" w:rsidP="00486AAC">
            <w:r w:rsidRPr="00486AAC">
              <w:lastRenderedPageBreak/>
              <w:t>duże przedsiębiorstwa</w:t>
            </w:r>
          </w:p>
        </w:tc>
        <w:tc>
          <w:tcPr>
            <w:tcW w:w="681" w:type="dxa"/>
            <w:shd w:val="clear" w:color="auto" w:fill="FFFFFF"/>
          </w:tcPr>
          <w:p w14:paraId="4F61CC64" w14:textId="77777777" w:rsidR="00486AAC" w:rsidRPr="00486AAC" w:rsidRDefault="00486AAC" w:rsidP="00486AAC"/>
        </w:tc>
        <w:tc>
          <w:tcPr>
            <w:tcW w:w="1194" w:type="dxa"/>
            <w:gridSpan w:val="3"/>
            <w:shd w:val="clear" w:color="auto" w:fill="FFFFFF"/>
          </w:tcPr>
          <w:p w14:paraId="75EAFC0E" w14:textId="77777777" w:rsidR="00486AAC" w:rsidRPr="00486AAC" w:rsidRDefault="00486AAC" w:rsidP="00486AAC"/>
        </w:tc>
        <w:tc>
          <w:tcPr>
            <w:tcW w:w="938" w:type="dxa"/>
            <w:gridSpan w:val="3"/>
            <w:shd w:val="clear" w:color="auto" w:fill="FFFFFF"/>
          </w:tcPr>
          <w:p w14:paraId="52D49C39" w14:textId="77777777" w:rsidR="00486AAC" w:rsidRPr="00486AAC" w:rsidRDefault="00486AAC" w:rsidP="00486AAC"/>
        </w:tc>
        <w:tc>
          <w:tcPr>
            <w:tcW w:w="937" w:type="dxa"/>
            <w:gridSpan w:val="3"/>
            <w:shd w:val="clear" w:color="auto" w:fill="FFFFFF"/>
          </w:tcPr>
          <w:p w14:paraId="417A095A" w14:textId="77777777" w:rsidR="00486AAC" w:rsidRPr="00486AAC" w:rsidRDefault="00486AAC" w:rsidP="00486AAC"/>
        </w:tc>
        <w:tc>
          <w:tcPr>
            <w:tcW w:w="938" w:type="dxa"/>
            <w:gridSpan w:val="3"/>
            <w:shd w:val="clear" w:color="auto" w:fill="FFFFFF"/>
          </w:tcPr>
          <w:p w14:paraId="01C5A8F3" w14:textId="77777777" w:rsidR="00486AAC" w:rsidRPr="00486AAC" w:rsidRDefault="00486AAC" w:rsidP="00486AAC"/>
        </w:tc>
        <w:tc>
          <w:tcPr>
            <w:tcW w:w="938" w:type="dxa"/>
            <w:gridSpan w:val="2"/>
            <w:shd w:val="clear" w:color="auto" w:fill="FFFFFF"/>
          </w:tcPr>
          <w:p w14:paraId="16EF314B" w14:textId="77777777" w:rsidR="00486AAC" w:rsidRPr="00486AAC" w:rsidRDefault="00486AAC" w:rsidP="00486AAC"/>
        </w:tc>
        <w:tc>
          <w:tcPr>
            <w:tcW w:w="1426" w:type="dxa"/>
            <w:gridSpan w:val="2"/>
            <w:shd w:val="clear" w:color="auto" w:fill="FFFFFF"/>
          </w:tcPr>
          <w:p w14:paraId="7142DADE" w14:textId="77777777" w:rsidR="00486AAC" w:rsidRPr="00486AAC" w:rsidRDefault="00486AAC" w:rsidP="00486AAC"/>
        </w:tc>
      </w:tr>
      <w:tr w:rsidR="00486AAC" w:rsidRPr="00486AAC" w14:paraId="29095080" w14:textId="77777777" w:rsidTr="009F408A">
        <w:trPr>
          <w:gridAfter w:val="1"/>
          <w:wAfter w:w="10" w:type="dxa"/>
          <w:trHeight w:val="142"/>
        </w:trPr>
        <w:tc>
          <w:tcPr>
            <w:tcW w:w="1565" w:type="dxa"/>
            <w:vMerge/>
            <w:shd w:val="clear" w:color="auto" w:fill="FFFFFF"/>
          </w:tcPr>
          <w:p w14:paraId="47C5780B" w14:textId="77777777" w:rsidR="00486AAC" w:rsidRPr="00486AAC" w:rsidRDefault="00486AAC" w:rsidP="00486AAC"/>
        </w:tc>
        <w:tc>
          <w:tcPr>
            <w:tcW w:w="2291" w:type="dxa"/>
            <w:gridSpan w:val="6"/>
            <w:shd w:val="clear" w:color="auto" w:fill="FFFFFF"/>
          </w:tcPr>
          <w:p w14:paraId="7D9B1343" w14:textId="40D93A4E" w:rsidR="00486AAC" w:rsidRPr="00486AAC" w:rsidRDefault="00486AAC" w:rsidP="00486AAC">
            <w:r w:rsidRPr="00486AAC">
              <w:t>sektor mikro</w:t>
            </w:r>
            <w:r w:rsidR="00BE01F2">
              <w:noBreakHyphen/>
              <w:t>,</w:t>
            </w:r>
            <w:r w:rsidRPr="00486AAC">
              <w:t xml:space="preserve"> małych</w:t>
            </w:r>
            <w:r w:rsidR="00BE01F2" w:rsidRPr="00486AAC">
              <w:t xml:space="preserve"> i</w:t>
            </w:r>
            <w:r w:rsidR="00BE01F2">
              <w:t> </w:t>
            </w:r>
            <w:r w:rsidRPr="00486AAC">
              <w:t>średnich przedsiębiorstw</w:t>
            </w:r>
          </w:p>
        </w:tc>
        <w:tc>
          <w:tcPr>
            <w:tcW w:w="681" w:type="dxa"/>
            <w:shd w:val="clear" w:color="auto" w:fill="FFFFFF"/>
          </w:tcPr>
          <w:p w14:paraId="413EE64E" w14:textId="77777777" w:rsidR="00486AAC" w:rsidRPr="00486AAC" w:rsidRDefault="00486AAC" w:rsidP="00486AAC"/>
        </w:tc>
        <w:tc>
          <w:tcPr>
            <w:tcW w:w="1194" w:type="dxa"/>
            <w:gridSpan w:val="3"/>
            <w:shd w:val="clear" w:color="auto" w:fill="FFFFFF"/>
          </w:tcPr>
          <w:p w14:paraId="251606A5" w14:textId="77777777" w:rsidR="00486AAC" w:rsidRPr="00486AAC" w:rsidRDefault="00486AAC" w:rsidP="00486AAC"/>
        </w:tc>
        <w:tc>
          <w:tcPr>
            <w:tcW w:w="938" w:type="dxa"/>
            <w:gridSpan w:val="3"/>
            <w:shd w:val="clear" w:color="auto" w:fill="FFFFFF"/>
          </w:tcPr>
          <w:p w14:paraId="5909A648" w14:textId="77777777" w:rsidR="00486AAC" w:rsidRPr="00486AAC" w:rsidRDefault="00486AAC" w:rsidP="00486AAC"/>
        </w:tc>
        <w:tc>
          <w:tcPr>
            <w:tcW w:w="937" w:type="dxa"/>
            <w:gridSpan w:val="3"/>
            <w:shd w:val="clear" w:color="auto" w:fill="FFFFFF"/>
          </w:tcPr>
          <w:p w14:paraId="623CF6CA" w14:textId="77777777" w:rsidR="00486AAC" w:rsidRPr="00486AAC" w:rsidRDefault="00486AAC" w:rsidP="00486AAC"/>
        </w:tc>
        <w:tc>
          <w:tcPr>
            <w:tcW w:w="938" w:type="dxa"/>
            <w:gridSpan w:val="3"/>
            <w:shd w:val="clear" w:color="auto" w:fill="FFFFFF"/>
          </w:tcPr>
          <w:p w14:paraId="57D48D08" w14:textId="77777777" w:rsidR="00486AAC" w:rsidRPr="00486AAC" w:rsidRDefault="00486AAC" w:rsidP="00486AAC"/>
        </w:tc>
        <w:tc>
          <w:tcPr>
            <w:tcW w:w="938" w:type="dxa"/>
            <w:gridSpan w:val="2"/>
            <w:shd w:val="clear" w:color="auto" w:fill="FFFFFF"/>
          </w:tcPr>
          <w:p w14:paraId="10334A18" w14:textId="77777777" w:rsidR="00486AAC" w:rsidRPr="00486AAC" w:rsidRDefault="00486AAC" w:rsidP="00486AAC"/>
        </w:tc>
        <w:tc>
          <w:tcPr>
            <w:tcW w:w="1426" w:type="dxa"/>
            <w:gridSpan w:val="2"/>
            <w:shd w:val="clear" w:color="auto" w:fill="FFFFFF"/>
          </w:tcPr>
          <w:p w14:paraId="1AAE3A8F" w14:textId="77777777" w:rsidR="00486AAC" w:rsidRPr="00486AAC" w:rsidRDefault="00486AAC" w:rsidP="00486AAC"/>
        </w:tc>
      </w:tr>
      <w:tr w:rsidR="00486AAC" w:rsidRPr="00486AAC" w14:paraId="4E111021" w14:textId="77777777" w:rsidTr="009F408A">
        <w:trPr>
          <w:gridAfter w:val="1"/>
          <w:wAfter w:w="10" w:type="dxa"/>
          <w:trHeight w:val="142"/>
        </w:trPr>
        <w:tc>
          <w:tcPr>
            <w:tcW w:w="1565" w:type="dxa"/>
            <w:vMerge/>
            <w:shd w:val="clear" w:color="auto" w:fill="FFFFFF"/>
          </w:tcPr>
          <w:p w14:paraId="6561FC17" w14:textId="77777777" w:rsidR="00486AAC" w:rsidRPr="00486AAC" w:rsidRDefault="00486AAC" w:rsidP="00486AAC"/>
        </w:tc>
        <w:tc>
          <w:tcPr>
            <w:tcW w:w="2291" w:type="dxa"/>
            <w:gridSpan w:val="6"/>
            <w:shd w:val="clear" w:color="auto" w:fill="FFFFFF"/>
          </w:tcPr>
          <w:p w14:paraId="7B10E408" w14:textId="77777777" w:rsidR="00486AAC" w:rsidRPr="00486AAC" w:rsidRDefault="00486AAC" w:rsidP="00486AAC">
            <w:r w:rsidRPr="00486AAC">
              <w:t>rodzina, obywatele oraz gospodarstwa domowe</w:t>
            </w:r>
          </w:p>
        </w:tc>
        <w:tc>
          <w:tcPr>
            <w:tcW w:w="681" w:type="dxa"/>
            <w:shd w:val="clear" w:color="auto" w:fill="FFFFFF"/>
          </w:tcPr>
          <w:p w14:paraId="5208F367" w14:textId="77777777" w:rsidR="00486AAC" w:rsidRPr="00486AAC" w:rsidRDefault="00486AAC" w:rsidP="00486AAC"/>
        </w:tc>
        <w:tc>
          <w:tcPr>
            <w:tcW w:w="1194" w:type="dxa"/>
            <w:gridSpan w:val="3"/>
            <w:shd w:val="clear" w:color="auto" w:fill="FFFFFF"/>
          </w:tcPr>
          <w:p w14:paraId="3C6E90DB" w14:textId="77777777" w:rsidR="00486AAC" w:rsidRPr="00486AAC" w:rsidRDefault="00486AAC" w:rsidP="00486AAC"/>
        </w:tc>
        <w:tc>
          <w:tcPr>
            <w:tcW w:w="938" w:type="dxa"/>
            <w:gridSpan w:val="3"/>
            <w:shd w:val="clear" w:color="auto" w:fill="FFFFFF"/>
          </w:tcPr>
          <w:p w14:paraId="78B8049C" w14:textId="77777777" w:rsidR="00486AAC" w:rsidRPr="00486AAC" w:rsidRDefault="00486AAC" w:rsidP="00486AAC"/>
        </w:tc>
        <w:tc>
          <w:tcPr>
            <w:tcW w:w="937" w:type="dxa"/>
            <w:gridSpan w:val="3"/>
            <w:shd w:val="clear" w:color="auto" w:fill="FFFFFF"/>
          </w:tcPr>
          <w:p w14:paraId="4695D9D2" w14:textId="77777777" w:rsidR="00486AAC" w:rsidRPr="00486AAC" w:rsidRDefault="00486AAC" w:rsidP="00486AAC"/>
        </w:tc>
        <w:tc>
          <w:tcPr>
            <w:tcW w:w="938" w:type="dxa"/>
            <w:gridSpan w:val="3"/>
            <w:shd w:val="clear" w:color="auto" w:fill="FFFFFF"/>
          </w:tcPr>
          <w:p w14:paraId="7DD21E95" w14:textId="77777777" w:rsidR="00486AAC" w:rsidRPr="00486AAC" w:rsidRDefault="00486AAC" w:rsidP="00486AAC"/>
        </w:tc>
        <w:tc>
          <w:tcPr>
            <w:tcW w:w="938" w:type="dxa"/>
            <w:gridSpan w:val="2"/>
            <w:shd w:val="clear" w:color="auto" w:fill="FFFFFF"/>
          </w:tcPr>
          <w:p w14:paraId="00EC3D68" w14:textId="77777777" w:rsidR="00486AAC" w:rsidRPr="00486AAC" w:rsidRDefault="00486AAC" w:rsidP="00486AAC"/>
        </w:tc>
        <w:tc>
          <w:tcPr>
            <w:tcW w:w="1426" w:type="dxa"/>
            <w:gridSpan w:val="2"/>
            <w:shd w:val="clear" w:color="auto" w:fill="FFFFFF"/>
          </w:tcPr>
          <w:p w14:paraId="01FC7B41" w14:textId="77777777" w:rsidR="00486AAC" w:rsidRPr="00486AAC" w:rsidRDefault="00486AAC" w:rsidP="00486AAC"/>
        </w:tc>
      </w:tr>
      <w:tr w:rsidR="00486AAC" w:rsidRPr="00486AAC" w14:paraId="5F4781DA" w14:textId="77777777" w:rsidTr="009F408A">
        <w:trPr>
          <w:gridAfter w:val="1"/>
          <w:wAfter w:w="10" w:type="dxa"/>
          <w:trHeight w:val="142"/>
        </w:trPr>
        <w:tc>
          <w:tcPr>
            <w:tcW w:w="1565" w:type="dxa"/>
            <w:vMerge/>
            <w:shd w:val="clear" w:color="auto" w:fill="FFFFFF"/>
          </w:tcPr>
          <w:p w14:paraId="7FA4AB12" w14:textId="77777777" w:rsidR="00486AAC" w:rsidRPr="00486AAC" w:rsidRDefault="00486AAC" w:rsidP="00486AAC"/>
        </w:tc>
        <w:tc>
          <w:tcPr>
            <w:tcW w:w="2291" w:type="dxa"/>
            <w:gridSpan w:val="6"/>
            <w:shd w:val="clear" w:color="auto" w:fill="FFFFFF"/>
          </w:tcPr>
          <w:p w14:paraId="6B43C467" w14:textId="77777777" w:rsidR="00486AAC" w:rsidRPr="00486AAC" w:rsidRDefault="00486AAC" w:rsidP="00486AAC">
            <w:r w:rsidRPr="00486AAC">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486AAC">
              <w:instrText xml:space="preserve"> FORMTEXT </w:instrText>
            </w:r>
            <w:r w:rsidRPr="00486AAC">
              <w:fldChar w:fldCharType="separate"/>
            </w:r>
            <w:r w:rsidRPr="00486AAC">
              <w:t>(dodaj/usuń)</w:t>
            </w:r>
            <w:r w:rsidRPr="00486AAC">
              <w:fldChar w:fldCharType="end"/>
            </w:r>
          </w:p>
        </w:tc>
        <w:tc>
          <w:tcPr>
            <w:tcW w:w="681" w:type="dxa"/>
            <w:shd w:val="clear" w:color="auto" w:fill="FFFFFF"/>
          </w:tcPr>
          <w:p w14:paraId="21D28ECB" w14:textId="77777777" w:rsidR="00486AAC" w:rsidRPr="00486AAC" w:rsidRDefault="00486AAC" w:rsidP="00486AAC"/>
        </w:tc>
        <w:tc>
          <w:tcPr>
            <w:tcW w:w="1194" w:type="dxa"/>
            <w:gridSpan w:val="3"/>
            <w:shd w:val="clear" w:color="auto" w:fill="FFFFFF"/>
          </w:tcPr>
          <w:p w14:paraId="25BCC077" w14:textId="77777777" w:rsidR="00486AAC" w:rsidRPr="00486AAC" w:rsidRDefault="00486AAC" w:rsidP="00486AAC"/>
        </w:tc>
        <w:tc>
          <w:tcPr>
            <w:tcW w:w="938" w:type="dxa"/>
            <w:gridSpan w:val="3"/>
            <w:shd w:val="clear" w:color="auto" w:fill="FFFFFF"/>
          </w:tcPr>
          <w:p w14:paraId="553049FB" w14:textId="77777777" w:rsidR="00486AAC" w:rsidRPr="00486AAC" w:rsidRDefault="00486AAC" w:rsidP="00486AAC"/>
        </w:tc>
        <w:tc>
          <w:tcPr>
            <w:tcW w:w="937" w:type="dxa"/>
            <w:gridSpan w:val="3"/>
            <w:shd w:val="clear" w:color="auto" w:fill="FFFFFF"/>
          </w:tcPr>
          <w:p w14:paraId="3892F73A" w14:textId="77777777" w:rsidR="00486AAC" w:rsidRPr="00486AAC" w:rsidRDefault="00486AAC" w:rsidP="00486AAC"/>
        </w:tc>
        <w:tc>
          <w:tcPr>
            <w:tcW w:w="938" w:type="dxa"/>
            <w:gridSpan w:val="3"/>
            <w:shd w:val="clear" w:color="auto" w:fill="FFFFFF"/>
          </w:tcPr>
          <w:p w14:paraId="79234C20" w14:textId="77777777" w:rsidR="00486AAC" w:rsidRPr="00486AAC" w:rsidRDefault="00486AAC" w:rsidP="00486AAC"/>
        </w:tc>
        <w:tc>
          <w:tcPr>
            <w:tcW w:w="938" w:type="dxa"/>
            <w:gridSpan w:val="2"/>
            <w:shd w:val="clear" w:color="auto" w:fill="FFFFFF"/>
          </w:tcPr>
          <w:p w14:paraId="5A2C6295" w14:textId="77777777" w:rsidR="00486AAC" w:rsidRPr="00486AAC" w:rsidRDefault="00486AAC" w:rsidP="00486AAC"/>
        </w:tc>
        <w:tc>
          <w:tcPr>
            <w:tcW w:w="1426" w:type="dxa"/>
            <w:gridSpan w:val="2"/>
            <w:shd w:val="clear" w:color="auto" w:fill="FFFFFF"/>
          </w:tcPr>
          <w:p w14:paraId="73CECAD0" w14:textId="77777777" w:rsidR="00486AAC" w:rsidRPr="00486AAC" w:rsidRDefault="00486AAC" w:rsidP="00486AAC"/>
        </w:tc>
      </w:tr>
      <w:tr w:rsidR="00486AAC" w:rsidRPr="00486AAC" w14:paraId="466A9555" w14:textId="77777777" w:rsidTr="009F408A">
        <w:trPr>
          <w:gridAfter w:val="1"/>
          <w:wAfter w:w="10" w:type="dxa"/>
          <w:trHeight w:val="142"/>
        </w:trPr>
        <w:tc>
          <w:tcPr>
            <w:tcW w:w="1565" w:type="dxa"/>
            <w:vMerge w:val="restart"/>
            <w:shd w:val="clear" w:color="auto" w:fill="FFFFFF"/>
          </w:tcPr>
          <w:p w14:paraId="554D5E70" w14:textId="49C1E863" w:rsidR="00486AAC" w:rsidRPr="00486AAC" w:rsidRDefault="00BE01F2" w:rsidP="00486AAC">
            <w:r w:rsidRPr="00486AAC">
              <w:t xml:space="preserve"> W</w:t>
            </w:r>
            <w:r>
              <w:t> </w:t>
            </w:r>
            <w:r w:rsidR="00486AAC" w:rsidRPr="00486AAC">
              <w:t>ujęciu niepieniężnym</w:t>
            </w:r>
          </w:p>
        </w:tc>
        <w:tc>
          <w:tcPr>
            <w:tcW w:w="2291" w:type="dxa"/>
            <w:gridSpan w:val="6"/>
            <w:shd w:val="clear" w:color="auto" w:fill="FFFFFF"/>
          </w:tcPr>
          <w:p w14:paraId="142CCB27" w14:textId="77777777" w:rsidR="00486AAC" w:rsidRPr="00486AAC" w:rsidRDefault="00486AAC" w:rsidP="00486AAC">
            <w:r w:rsidRPr="00486AAC">
              <w:t>duże przedsiębiorstwa</w:t>
            </w:r>
          </w:p>
        </w:tc>
        <w:tc>
          <w:tcPr>
            <w:tcW w:w="7052" w:type="dxa"/>
            <w:gridSpan w:val="17"/>
            <w:shd w:val="clear" w:color="auto" w:fill="FFFFFF"/>
          </w:tcPr>
          <w:p w14:paraId="157A5031" w14:textId="1E3254A4" w:rsidR="00486AAC" w:rsidRPr="00486AAC" w:rsidRDefault="00486AAC" w:rsidP="002E0A8C">
            <w:pPr>
              <w:pStyle w:val="NIEARTTEKSTtekstnieartykuowanynppodstprawnarozplubpreambua"/>
            </w:pPr>
            <w:r w:rsidRPr="00486AAC">
              <w:t>Dzięki otwartym danym możliwe jest zwiększenie tempa rozwoju przedsiębiorczości</w:t>
            </w:r>
            <w:r w:rsidR="00BE01F2" w:rsidRPr="00486AAC">
              <w:t xml:space="preserve"> i</w:t>
            </w:r>
            <w:r w:rsidR="00BE01F2">
              <w:t> </w:t>
            </w:r>
            <w:r w:rsidRPr="00486AAC">
              <w:t>rozwoju gospodarczego</w:t>
            </w:r>
            <w:r w:rsidR="00BE01F2" w:rsidRPr="00486AAC">
              <w:t xml:space="preserve"> w</w:t>
            </w:r>
            <w:r w:rsidR="00BE01F2">
              <w:t> </w:t>
            </w:r>
            <w:r w:rsidRPr="00486AAC">
              <w:t>sektorze prywatnym, co</w:t>
            </w:r>
            <w:r w:rsidR="00BE01F2" w:rsidRPr="00486AAC">
              <w:t xml:space="preserve"> z</w:t>
            </w:r>
            <w:r w:rsidR="00BE01F2">
              <w:t> </w:t>
            </w:r>
            <w:r w:rsidRPr="00486AAC">
              <w:t>kolei istotnie przekłada się na wzrost gospodarczy. Przedsiębiorcy mogą wykorzystywać otwarte dane publiczne</w:t>
            </w:r>
            <w:r w:rsidR="00BE01F2" w:rsidRPr="00486AAC">
              <w:t xml:space="preserve"> w</w:t>
            </w:r>
            <w:r w:rsidR="00BE01F2">
              <w:t> </w:t>
            </w:r>
            <w:r w:rsidRPr="00486AAC">
              <w:t>dwojaki sposób: komercyjnie</w:t>
            </w:r>
            <w:r w:rsidR="00BE01F2" w:rsidRPr="00486AAC">
              <w:t xml:space="preserve"> i</w:t>
            </w:r>
            <w:r w:rsidR="00BE01F2">
              <w:t> </w:t>
            </w:r>
            <w:r w:rsidRPr="00486AAC">
              <w:t>niekomercyjnie. Cele komercyjne to tworzenie nowych produktów bądź usług (np. systemy nawigacyjne, lokalizacyjne, aplikacje na urządzenia mobilne), natomiast cele niekomercyjne to wykorzystywanie danych do analiz wewnętrznych</w:t>
            </w:r>
            <w:r w:rsidR="00BE01F2" w:rsidRPr="00486AAC">
              <w:t xml:space="preserve"> w</w:t>
            </w:r>
            <w:r w:rsidR="00BE01F2">
              <w:t> </w:t>
            </w:r>
            <w:r w:rsidRPr="00486AAC">
              <w:t>firmie czy prac naukowo</w:t>
            </w:r>
            <w:r w:rsidR="00BE01F2">
              <w:softHyphen/>
            </w:r>
            <w:r w:rsidR="00BE01F2">
              <w:noBreakHyphen/>
            </w:r>
            <w:r w:rsidRPr="00486AAC">
              <w:t>badawczych.</w:t>
            </w:r>
          </w:p>
          <w:p w14:paraId="1063240C" w14:textId="2173B259" w:rsidR="00486AAC" w:rsidRPr="00486AAC" w:rsidRDefault="00486AAC" w:rsidP="002E0A8C">
            <w:pPr>
              <w:pStyle w:val="NIEARTTEKSTtekstnieartykuowanynppodstprawnarozplubpreambua"/>
            </w:pPr>
            <w:r w:rsidRPr="00486AAC">
              <w:t>Możliwość ponownego wykorzystania przez przedsiębiorców informacji sektora publicznego stworzy szanse rozwojowe dla firm: np.</w:t>
            </w:r>
            <w:r w:rsidR="00BE01F2" w:rsidRPr="00486AAC">
              <w:t xml:space="preserve"> w</w:t>
            </w:r>
            <w:r w:rsidR="00BE01F2">
              <w:t> </w:t>
            </w:r>
            <w:r w:rsidRPr="00486AAC">
              <w:t>zwiększaniu efektywności wewnętrznej działalności firmy,</w:t>
            </w:r>
            <w:r w:rsidR="00BE01F2" w:rsidRPr="00486AAC">
              <w:t xml:space="preserve"> w</w:t>
            </w:r>
            <w:r w:rsidR="00BE01F2">
              <w:t> </w:t>
            </w:r>
            <w:r w:rsidRPr="00486AAC">
              <w:t>tworzeniu innowacyjnych usług lub produktów czy też</w:t>
            </w:r>
            <w:r w:rsidR="00BE01F2" w:rsidRPr="00486AAC">
              <w:t xml:space="preserve"> w</w:t>
            </w:r>
            <w:r w:rsidR="00BE01F2">
              <w:t> </w:t>
            </w:r>
            <w:r w:rsidRPr="00486AAC">
              <w:t>tworzeniu nowych modeli biznesowych</w:t>
            </w:r>
            <w:r w:rsidR="00BE01F2" w:rsidRPr="00486AAC">
              <w:t xml:space="preserve"> a</w:t>
            </w:r>
            <w:r w:rsidR="00BE01F2">
              <w:t> </w:t>
            </w:r>
            <w:r w:rsidR="00BE01F2" w:rsidRPr="00486AAC">
              <w:t>w</w:t>
            </w:r>
            <w:r w:rsidR="00BE01F2">
              <w:t> </w:t>
            </w:r>
            <w:r w:rsidRPr="00486AAC">
              <w:t>efekcie –</w:t>
            </w:r>
            <w:r w:rsidR="00BE01F2" w:rsidRPr="00486AAC">
              <w:t xml:space="preserve"> w</w:t>
            </w:r>
            <w:r w:rsidR="00BE01F2">
              <w:t> </w:t>
            </w:r>
            <w:r w:rsidRPr="00486AAC">
              <w:t>budowaniu przewagi konkurencyjnej.</w:t>
            </w:r>
          </w:p>
        </w:tc>
      </w:tr>
      <w:tr w:rsidR="00486AAC" w:rsidRPr="00486AAC" w14:paraId="792304CA" w14:textId="77777777" w:rsidTr="009F408A">
        <w:trPr>
          <w:gridAfter w:val="1"/>
          <w:wAfter w:w="10" w:type="dxa"/>
          <w:trHeight w:val="142"/>
        </w:trPr>
        <w:tc>
          <w:tcPr>
            <w:tcW w:w="1565" w:type="dxa"/>
            <w:vMerge/>
            <w:shd w:val="clear" w:color="auto" w:fill="FFFFFF"/>
          </w:tcPr>
          <w:p w14:paraId="01EFC7D5" w14:textId="77777777" w:rsidR="00486AAC" w:rsidRPr="00486AAC" w:rsidRDefault="00486AAC" w:rsidP="00486AAC"/>
        </w:tc>
        <w:tc>
          <w:tcPr>
            <w:tcW w:w="2291" w:type="dxa"/>
            <w:gridSpan w:val="6"/>
            <w:shd w:val="clear" w:color="auto" w:fill="FFFFFF"/>
          </w:tcPr>
          <w:p w14:paraId="66D1E3B5" w14:textId="05A7F473" w:rsidR="00486AAC" w:rsidRPr="00486AAC" w:rsidRDefault="00486AAC" w:rsidP="00486AAC">
            <w:r w:rsidRPr="00486AAC">
              <w:t>sektor mikro</w:t>
            </w:r>
            <w:r w:rsidR="00BE01F2">
              <w:noBreakHyphen/>
              <w:t>,</w:t>
            </w:r>
            <w:r w:rsidRPr="00486AAC">
              <w:t xml:space="preserve"> małych</w:t>
            </w:r>
            <w:r w:rsidR="00BE01F2" w:rsidRPr="00486AAC">
              <w:t xml:space="preserve"> i</w:t>
            </w:r>
            <w:r w:rsidR="00BE01F2">
              <w:t> </w:t>
            </w:r>
            <w:r w:rsidRPr="00486AAC">
              <w:t>średnich przedsiębiorstw</w:t>
            </w:r>
          </w:p>
        </w:tc>
        <w:tc>
          <w:tcPr>
            <w:tcW w:w="7052" w:type="dxa"/>
            <w:gridSpan w:val="17"/>
            <w:shd w:val="clear" w:color="auto" w:fill="FFFFFF"/>
          </w:tcPr>
          <w:p w14:paraId="1D1992D7" w14:textId="77777777" w:rsidR="00486AAC" w:rsidRPr="00486AAC" w:rsidRDefault="00486AAC" w:rsidP="00486AAC">
            <w:r w:rsidRPr="00486AAC">
              <w:t xml:space="preserve">j.w. </w:t>
            </w:r>
          </w:p>
        </w:tc>
      </w:tr>
      <w:tr w:rsidR="00486AAC" w:rsidRPr="00486AAC" w14:paraId="5BBC1A28" w14:textId="77777777" w:rsidTr="009F408A">
        <w:trPr>
          <w:gridAfter w:val="1"/>
          <w:wAfter w:w="10" w:type="dxa"/>
          <w:trHeight w:val="2950"/>
        </w:trPr>
        <w:tc>
          <w:tcPr>
            <w:tcW w:w="1565" w:type="dxa"/>
            <w:vMerge/>
            <w:shd w:val="clear" w:color="auto" w:fill="FFFFFF"/>
          </w:tcPr>
          <w:p w14:paraId="4F7BAC8C" w14:textId="77777777" w:rsidR="00486AAC" w:rsidRPr="00486AAC" w:rsidRDefault="00486AAC" w:rsidP="00486AAC"/>
        </w:tc>
        <w:tc>
          <w:tcPr>
            <w:tcW w:w="2291" w:type="dxa"/>
            <w:gridSpan w:val="6"/>
            <w:shd w:val="clear" w:color="auto" w:fill="FFFFFF"/>
          </w:tcPr>
          <w:p w14:paraId="569757BE" w14:textId="77777777" w:rsidR="00486AAC" w:rsidRPr="00486AAC" w:rsidRDefault="00486AAC" w:rsidP="00486AAC">
            <w:r w:rsidRPr="00486AAC">
              <w:t xml:space="preserve">rodzina, obywatele oraz gospodarstwa domowe </w:t>
            </w:r>
          </w:p>
        </w:tc>
        <w:tc>
          <w:tcPr>
            <w:tcW w:w="7052" w:type="dxa"/>
            <w:gridSpan w:val="17"/>
            <w:shd w:val="clear" w:color="auto" w:fill="FFFFFF"/>
          </w:tcPr>
          <w:p w14:paraId="070DE88C" w14:textId="4B13B779" w:rsidR="00486AAC" w:rsidRPr="00486AAC" w:rsidRDefault="00486AAC" w:rsidP="002E0A8C">
            <w:pPr>
              <w:pStyle w:val="NIEARTTEKSTtekstnieartykuowanynppodstprawnarozplubpreambua"/>
            </w:pPr>
            <w:r w:rsidRPr="00486AAC">
              <w:t>Skutkiem wzrostu gospodarczego jest wzrost zamożności społeczeństwa – skorzystają więc na tym gospodarstwa domowe, zwykli obywatele. Wzrost zamożności – na poziomie jednostki</w:t>
            </w:r>
            <w:r w:rsidR="00BE01F2" w:rsidRPr="00486AAC">
              <w:t xml:space="preserve"> i</w:t>
            </w:r>
            <w:r w:rsidR="00BE01F2">
              <w:t> </w:t>
            </w:r>
            <w:r w:rsidRPr="00486AAC">
              <w:t>rodziny – to jednak nie tylko poprawa warunków materialnych ale również zwiększenie uczestnictwa</w:t>
            </w:r>
            <w:r w:rsidR="00BE01F2" w:rsidRPr="00486AAC">
              <w:t xml:space="preserve"> w</w:t>
            </w:r>
            <w:r w:rsidR="00BE01F2">
              <w:t> </w:t>
            </w:r>
            <w:r w:rsidRPr="00486AAC">
              <w:t>różnych aspektach funkcjonowania społeczeństwa; zwiększenie aktywności społecznej</w:t>
            </w:r>
            <w:r w:rsidR="00BE01F2" w:rsidRPr="00486AAC">
              <w:t xml:space="preserve"> i</w:t>
            </w:r>
            <w:r w:rsidR="00BE01F2">
              <w:t> </w:t>
            </w:r>
            <w:r w:rsidRPr="00486AAC">
              <w:t>obywatelskiej. Otwarte dane są źródłem realnych oszczędności pieniędzy</w:t>
            </w:r>
            <w:r w:rsidR="00BE01F2" w:rsidRPr="00486AAC">
              <w:t xml:space="preserve"> i</w:t>
            </w:r>
            <w:r w:rsidR="00BE01F2">
              <w:t> </w:t>
            </w:r>
            <w:r w:rsidRPr="00486AAC">
              <w:t>czasu dla obywateli, którzy mogą korzystać</w:t>
            </w:r>
            <w:r w:rsidR="00BE01F2" w:rsidRPr="00486AAC">
              <w:t xml:space="preserve"> z</w:t>
            </w:r>
            <w:r w:rsidR="00BE01F2">
              <w:t> </w:t>
            </w:r>
            <w:r w:rsidRPr="00486AAC">
              <w:t xml:space="preserve">zasobów danych publicznych realizując własne cele, rozwijając swoją działalność gospodarczą lub badania bez konieczności składania </w:t>
            </w:r>
            <w:r w:rsidRPr="00486AAC">
              <w:lastRenderedPageBreak/>
              <w:t>wniosków</w:t>
            </w:r>
            <w:r w:rsidR="00BE01F2" w:rsidRPr="00486AAC">
              <w:t xml:space="preserve"> o</w:t>
            </w:r>
            <w:r w:rsidR="00BE01F2">
              <w:t> </w:t>
            </w:r>
            <w:r w:rsidRPr="00486AAC">
              <w:t>dostęp do informacji publicznej czy ponowne wykorzystywanie. Dodatkowo udostępnianie dużej ilości otwartych danych stanowi instrument kontroli społeczeństwa nad działalnością państwa, zwiększając transparentność działań administracji. Dane budują wiedzę</w:t>
            </w:r>
            <w:r w:rsidR="00BE01F2" w:rsidRPr="00486AAC">
              <w:t xml:space="preserve"> o</w:t>
            </w:r>
            <w:r w:rsidR="00BE01F2">
              <w:t> </w:t>
            </w:r>
            <w:r w:rsidRPr="00486AAC">
              <w:t>lokalnych</w:t>
            </w:r>
            <w:r w:rsidR="00BE01F2" w:rsidRPr="00486AAC">
              <w:t xml:space="preserve"> i</w:t>
            </w:r>
            <w:r w:rsidR="00BE01F2">
              <w:t> </w:t>
            </w:r>
            <w:r w:rsidRPr="00486AAC">
              <w:t>ogólnokrajowych problemach</w:t>
            </w:r>
            <w:r w:rsidR="00BE01F2" w:rsidRPr="00486AAC">
              <w:t xml:space="preserve"> i</w:t>
            </w:r>
            <w:r w:rsidR="00BE01F2">
              <w:t> </w:t>
            </w:r>
            <w:r w:rsidRPr="00486AAC">
              <w:t>zjawiskach np. środowiskowych, społecznych czy finansowych, angażując obywateli we współpracę przy rozwiązywaniu problemów społeczno</w:t>
            </w:r>
            <w:r w:rsidR="00BE01F2">
              <w:softHyphen/>
            </w:r>
            <w:r w:rsidR="00BE01F2">
              <w:noBreakHyphen/>
            </w:r>
            <w:r w:rsidRPr="00486AAC">
              <w:t>ekonomicznych</w:t>
            </w:r>
            <w:r w:rsidR="00BE01F2" w:rsidRPr="00486AAC">
              <w:t xml:space="preserve"> i</w:t>
            </w:r>
            <w:r w:rsidR="00BE01F2">
              <w:t> </w:t>
            </w:r>
            <w:r w:rsidRPr="00486AAC">
              <w:t>kształtowaniu polityk publicznych.</w:t>
            </w:r>
          </w:p>
          <w:p w14:paraId="3B9EF224" w14:textId="2B544BA4" w:rsidR="00486AAC" w:rsidRPr="00486AAC" w:rsidRDefault="00486AAC" w:rsidP="002E0A8C">
            <w:pPr>
              <w:pStyle w:val="NIEARTTEKSTtekstnieartykuowanynppodstprawnarozplubpreambua"/>
            </w:pPr>
            <w:r w:rsidRPr="00486AAC">
              <w:t>Dodatkowo, dzięki nowym aplikacjom</w:t>
            </w:r>
            <w:r w:rsidR="00BE01F2" w:rsidRPr="00486AAC">
              <w:t xml:space="preserve"> i</w:t>
            </w:r>
            <w:r w:rsidR="00BE01F2">
              <w:t> </w:t>
            </w:r>
            <w:r w:rsidRPr="00486AAC">
              <w:t>produktom opartym na danych, ułatwiającym codzienne czynności, poprawia się jakość życia obywateli.</w:t>
            </w:r>
          </w:p>
        </w:tc>
      </w:tr>
      <w:tr w:rsidR="00486AAC" w:rsidRPr="00486AAC" w14:paraId="3A8287DD" w14:textId="77777777" w:rsidTr="009F408A">
        <w:trPr>
          <w:gridAfter w:val="1"/>
          <w:wAfter w:w="10" w:type="dxa"/>
          <w:trHeight w:val="240"/>
        </w:trPr>
        <w:tc>
          <w:tcPr>
            <w:tcW w:w="1565" w:type="dxa"/>
            <w:vMerge/>
            <w:shd w:val="clear" w:color="auto" w:fill="FFFFFF"/>
          </w:tcPr>
          <w:p w14:paraId="5A444A85" w14:textId="77777777" w:rsidR="00486AAC" w:rsidRPr="00486AAC" w:rsidRDefault="00486AAC" w:rsidP="00486AAC"/>
        </w:tc>
        <w:tc>
          <w:tcPr>
            <w:tcW w:w="2291" w:type="dxa"/>
            <w:gridSpan w:val="6"/>
            <w:shd w:val="clear" w:color="auto" w:fill="FFFFFF"/>
          </w:tcPr>
          <w:p w14:paraId="08EBAFEE" w14:textId="77777777" w:rsidR="00486AAC" w:rsidRPr="00486AAC" w:rsidRDefault="00486AAC" w:rsidP="00486AAC"/>
        </w:tc>
        <w:tc>
          <w:tcPr>
            <w:tcW w:w="7052" w:type="dxa"/>
            <w:gridSpan w:val="17"/>
            <w:shd w:val="clear" w:color="auto" w:fill="FFFFFF"/>
          </w:tcPr>
          <w:p w14:paraId="54C8E83E" w14:textId="77777777" w:rsidR="00486AAC" w:rsidRPr="00486AAC" w:rsidRDefault="00486AAC" w:rsidP="00486AAC"/>
        </w:tc>
      </w:tr>
      <w:tr w:rsidR="00486AAC" w:rsidRPr="00486AAC" w14:paraId="511CF20B" w14:textId="77777777" w:rsidTr="009F408A">
        <w:trPr>
          <w:gridAfter w:val="1"/>
          <w:wAfter w:w="10" w:type="dxa"/>
          <w:trHeight w:val="240"/>
        </w:trPr>
        <w:tc>
          <w:tcPr>
            <w:tcW w:w="1565" w:type="dxa"/>
            <w:vMerge/>
            <w:shd w:val="clear" w:color="auto" w:fill="FFFFFF"/>
          </w:tcPr>
          <w:p w14:paraId="3CA2EDFF" w14:textId="77777777" w:rsidR="00486AAC" w:rsidRPr="00486AAC" w:rsidRDefault="00486AAC" w:rsidP="00486AAC"/>
        </w:tc>
        <w:tc>
          <w:tcPr>
            <w:tcW w:w="2291" w:type="dxa"/>
            <w:gridSpan w:val="6"/>
            <w:shd w:val="clear" w:color="auto" w:fill="FFFFFF"/>
          </w:tcPr>
          <w:p w14:paraId="519118C4" w14:textId="77777777" w:rsidR="00486AAC" w:rsidRPr="00486AAC" w:rsidRDefault="00486AAC" w:rsidP="00486AAC"/>
        </w:tc>
        <w:tc>
          <w:tcPr>
            <w:tcW w:w="7052" w:type="dxa"/>
            <w:gridSpan w:val="17"/>
            <w:shd w:val="clear" w:color="auto" w:fill="FFFFFF"/>
          </w:tcPr>
          <w:p w14:paraId="466FFBD5" w14:textId="77777777" w:rsidR="00486AAC" w:rsidRPr="00486AAC" w:rsidRDefault="00486AAC" w:rsidP="00486AAC"/>
        </w:tc>
      </w:tr>
      <w:tr w:rsidR="00486AAC" w:rsidRPr="00486AAC" w14:paraId="2201D2B8" w14:textId="77777777" w:rsidTr="009F408A">
        <w:trPr>
          <w:gridAfter w:val="1"/>
          <w:wAfter w:w="10" w:type="dxa"/>
          <w:trHeight w:val="240"/>
        </w:trPr>
        <w:tc>
          <w:tcPr>
            <w:tcW w:w="1565" w:type="dxa"/>
            <w:vMerge/>
            <w:shd w:val="clear" w:color="auto" w:fill="FFFFFF"/>
          </w:tcPr>
          <w:p w14:paraId="5E7E7DC4" w14:textId="77777777" w:rsidR="00486AAC" w:rsidRPr="00486AAC" w:rsidRDefault="00486AAC" w:rsidP="00486AAC"/>
        </w:tc>
        <w:tc>
          <w:tcPr>
            <w:tcW w:w="2291" w:type="dxa"/>
            <w:gridSpan w:val="6"/>
            <w:shd w:val="clear" w:color="auto" w:fill="FFFFFF"/>
          </w:tcPr>
          <w:p w14:paraId="35ABA604" w14:textId="77777777" w:rsidR="00486AAC" w:rsidRPr="00486AAC" w:rsidRDefault="00486AAC" w:rsidP="00486AAC"/>
        </w:tc>
        <w:tc>
          <w:tcPr>
            <w:tcW w:w="7052" w:type="dxa"/>
            <w:gridSpan w:val="17"/>
            <w:shd w:val="clear" w:color="auto" w:fill="FFFFFF"/>
          </w:tcPr>
          <w:p w14:paraId="150CAAD1" w14:textId="77777777" w:rsidR="00486AAC" w:rsidRPr="00486AAC" w:rsidRDefault="00486AAC" w:rsidP="00486AAC"/>
        </w:tc>
      </w:tr>
      <w:tr w:rsidR="00486AAC" w:rsidRPr="00486AAC" w14:paraId="4C419381" w14:textId="77777777" w:rsidTr="009F408A">
        <w:trPr>
          <w:gridAfter w:val="1"/>
          <w:wAfter w:w="10" w:type="dxa"/>
          <w:trHeight w:val="142"/>
        </w:trPr>
        <w:tc>
          <w:tcPr>
            <w:tcW w:w="1565" w:type="dxa"/>
            <w:vMerge w:val="restart"/>
            <w:shd w:val="clear" w:color="auto" w:fill="FFFFFF"/>
          </w:tcPr>
          <w:p w14:paraId="3AFD9890" w14:textId="77777777" w:rsidR="00486AAC" w:rsidRPr="00486AAC" w:rsidRDefault="00486AAC" w:rsidP="00486AAC">
            <w:r w:rsidRPr="00486AAC">
              <w:t>Niemierzalne</w:t>
            </w:r>
          </w:p>
        </w:tc>
        <w:tc>
          <w:tcPr>
            <w:tcW w:w="2291" w:type="dxa"/>
            <w:gridSpan w:val="6"/>
            <w:shd w:val="clear" w:color="auto" w:fill="FFFFFF"/>
          </w:tcPr>
          <w:p w14:paraId="2DD29D3D" w14:textId="77777777" w:rsidR="00486AAC" w:rsidRPr="00486AAC" w:rsidRDefault="00486AAC" w:rsidP="00486AAC">
            <w:r w:rsidRPr="00486AAC">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486AAC">
              <w:instrText xml:space="preserve"> FORMTEXT </w:instrText>
            </w:r>
            <w:r w:rsidRPr="00486AAC">
              <w:fldChar w:fldCharType="separate"/>
            </w:r>
            <w:r w:rsidRPr="00486AAC">
              <w:t>(dodaj/usuń)</w:t>
            </w:r>
            <w:r w:rsidRPr="00486AAC">
              <w:fldChar w:fldCharType="end"/>
            </w:r>
          </w:p>
        </w:tc>
        <w:tc>
          <w:tcPr>
            <w:tcW w:w="7052" w:type="dxa"/>
            <w:gridSpan w:val="17"/>
            <w:shd w:val="clear" w:color="auto" w:fill="FFFFFF"/>
          </w:tcPr>
          <w:p w14:paraId="03E6E73C" w14:textId="77777777" w:rsidR="00486AAC" w:rsidRPr="00486AAC" w:rsidRDefault="00486AAC" w:rsidP="00486AAC"/>
        </w:tc>
      </w:tr>
      <w:tr w:rsidR="00486AAC" w:rsidRPr="00486AAC" w14:paraId="7C029FAC" w14:textId="77777777" w:rsidTr="009F408A">
        <w:trPr>
          <w:gridAfter w:val="1"/>
          <w:wAfter w:w="10" w:type="dxa"/>
          <w:trHeight w:val="142"/>
        </w:trPr>
        <w:tc>
          <w:tcPr>
            <w:tcW w:w="1565" w:type="dxa"/>
            <w:vMerge/>
            <w:shd w:val="clear" w:color="auto" w:fill="FFFFFF"/>
          </w:tcPr>
          <w:p w14:paraId="0AC4AA3C" w14:textId="77777777" w:rsidR="00486AAC" w:rsidRPr="00486AAC" w:rsidRDefault="00486AAC" w:rsidP="00486AAC"/>
        </w:tc>
        <w:tc>
          <w:tcPr>
            <w:tcW w:w="2291" w:type="dxa"/>
            <w:gridSpan w:val="6"/>
            <w:shd w:val="clear" w:color="auto" w:fill="FFFFFF"/>
          </w:tcPr>
          <w:p w14:paraId="35C388A1" w14:textId="77777777" w:rsidR="00486AAC" w:rsidRPr="00486AAC" w:rsidRDefault="00486AAC" w:rsidP="00486AAC">
            <w:r w:rsidRPr="00486AAC">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486AAC">
              <w:instrText xml:space="preserve"> FORMTEXT </w:instrText>
            </w:r>
            <w:r w:rsidRPr="00486AAC">
              <w:fldChar w:fldCharType="separate"/>
            </w:r>
            <w:r w:rsidRPr="00486AAC">
              <w:t>(dodaj/usuń)</w:t>
            </w:r>
            <w:r w:rsidRPr="00486AAC">
              <w:fldChar w:fldCharType="end"/>
            </w:r>
          </w:p>
        </w:tc>
        <w:tc>
          <w:tcPr>
            <w:tcW w:w="7052" w:type="dxa"/>
            <w:gridSpan w:val="17"/>
            <w:shd w:val="clear" w:color="auto" w:fill="FFFFFF"/>
          </w:tcPr>
          <w:p w14:paraId="295D513F" w14:textId="77777777" w:rsidR="00486AAC" w:rsidRPr="00486AAC" w:rsidRDefault="00486AAC" w:rsidP="00486AAC"/>
        </w:tc>
      </w:tr>
      <w:tr w:rsidR="00486AAC" w:rsidRPr="00486AAC" w14:paraId="2D9A1442" w14:textId="77777777" w:rsidTr="009F408A">
        <w:trPr>
          <w:gridAfter w:val="1"/>
          <w:wAfter w:w="10" w:type="dxa"/>
          <w:trHeight w:val="1643"/>
        </w:trPr>
        <w:tc>
          <w:tcPr>
            <w:tcW w:w="2211" w:type="dxa"/>
            <w:gridSpan w:val="2"/>
            <w:shd w:val="clear" w:color="auto" w:fill="FFFFFF"/>
          </w:tcPr>
          <w:p w14:paraId="0BB475C2" w14:textId="7AB7B012" w:rsidR="00486AAC" w:rsidRPr="00486AAC" w:rsidRDefault="00486AAC" w:rsidP="00486AAC">
            <w:r w:rsidRPr="00486AAC">
              <w:t>Dodatkowe informacje,</w:t>
            </w:r>
            <w:r w:rsidR="00BE01F2" w:rsidRPr="00486AAC">
              <w:t xml:space="preserve"> w</w:t>
            </w:r>
            <w:r w:rsidR="00BE01F2">
              <w:t> </w:t>
            </w:r>
            <w:r w:rsidRPr="00486AAC">
              <w:t>tym wskazanie źródeł danych</w:t>
            </w:r>
            <w:r w:rsidR="00BE01F2" w:rsidRPr="00486AAC">
              <w:t xml:space="preserve"> i</w:t>
            </w:r>
            <w:r w:rsidR="00BE01F2">
              <w:t> </w:t>
            </w:r>
            <w:r w:rsidRPr="00486AAC">
              <w:t xml:space="preserve">przyjętych do obliczeń założeń </w:t>
            </w:r>
          </w:p>
        </w:tc>
        <w:tc>
          <w:tcPr>
            <w:tcW w:w="8697" w:type="dxa"/>
            <w:gridSpan w:val="22"/>
            <w:shd w:val="clear" w:color="auto" w:fill="FFFFFF"/>
            <w:vAlign w:val="center"/>
          </w:tcPr>
          <w:p w14:paraId="25165916" w14:textId="0BE5C8F6" w:rsidR="00486AAC" w:rsidRPr="00486AAC" w:rsidRDefault="00486AAC" w:rsidP="002E0A8C">
            <w:pPr>
              <w:pStyle w:val="NIEARTTEKSTtekstnieartykuowanynppodstprawnarozplubpreambua"/>
            </w:pPr>
            <w:r w:rsidRPr="00486AAC">
              <w:t>Precyzyjnych</w:t>
            </w:r>
            <w:r w:rsidR="00BE01F2" w:rsidRPr="00486AAC">
              <w:t xml:space="preserve"> i</w:t>
            </w:r>
            <w:r w:rsidR="00BE01F2">
              <w:t> </w:t>
            </w:r>
            <w:r w:rsidRPr="00486AAC">
              <w:t>aktualnych danych na temat wielkości</w:t>
            </w:r>
            <w:r w:rsidR="00BE01F2" w:rsidRPr="00486AAC">
              <w:t xml:space="preserve"> i</w:t>
            </w:r>
            <w:r w:rsidR="00BE01F2">
              <w:t> </w:t>
            </w:r>
            <w:r w:rsidRPr="00486AAC">
              <w:t xml:space="preserve">charakterystyki rynku ponownego wykorzystywania danych publicznych w Polsce dostarczy badanie ankietowe, które w ramach projektu </w:t>
            </w:r>
            <w:r w:rsidR="00BE01F2">
              <w:t>„</w:t>
            </w:r>
            <w:r w:rsidRPr="00486AAC">
              <w:t>Otwarte dane plus</w:t>
            </w:r>
            <w:r w:rsidR="00BE01F2">
              <w:t>”</w:t>
            </w:r>
            <w:r w:rsidRPr="00486AAC">
              <w:t xml:space="preserve"> będzie realizowane wśród przedstawicieli firm</w:t>
            </w:r>
            <w:r w:rsidR="00BE01F2" w:rsidRPr="00486AAC">
              <w:t xml:space="preserve"> w</w:t>
            </w:r>
            <w:r w:rsidR="00BE01F2">
              <w:t> </w:t>
            </w:r>
            <w:r w:rsidRPr="00486AAC">
              <w:t>IV kwartale 202</w:t>
            </w:r>
            <w:r w:rsidR="00BE01F2" w:rsidRPr="00486AAC">
              <w:t>0</w:t>
            </w:r>
            <w:r w:rsidR="00BE01F2">
              <w:t> </w:t>
            </w:r>
            <w:r w:rsidRPr="00486AAC">
              <w:t>r.</w:t>
            </w:r>
            <w:r w:rsidR="00BE01F2" w:rsidRPr="00486AAC">
              <w:t xml:space="preserve"> i</w:t>
            </w:r>
            <w:r w:rsidR="00BE01F2">
              <w:t> </w:t>
            </w:r>
            <w:r w:rsidR="00BE01F2" w:rsidRPr="00486AAC">
              <w:t>I</w:t>
            </w:r>
            <w:r w:rsidR="00BE01F2">
              <w:t> </w:t>
            </w:r>
            <w:r w:rsidRPr="00486AAC">
              <w:t>kwartale 202</w:t>
            </w:r>
            <w:r w:rsidR="00BE01F2" w:rsidRPr="00486AAC">
              <w:t>1</w:t>
            </w:r>
            <w:r w:rsidR="00BE01F2">
              <w:t> </w:t>
            </w:r>
            <w:r w:rsidRPr="00486AAC">
              <w:t>r. Celem tego badania będzie:</w:t>
            </w:r>
          </w:p>
          <w:p w14:paraId="46483910" w14:textId="73BDAEEE" w:rsidR="002E0A8C" w:rsidRPr="002E0A8C" w:rsidRDefault="002E0A8C" w:rsidP="002E0A8C">
            <w:pPr>
              <w:pStyle w:val="NIEARTTEKSTtekstnieartykuowanynppodstprawnarozplubpreambua"/>
            </w:pPr>
            <w:r>
              <w:t>1)</w:t>
            </w:r>
            <w:r w:rsidRPr="002E0A8C">
              <w:tab/>
              <w:t>oszacowanie wielkości rynku ponownego wykorzystania danych publicznych (określenie liczby firm działających na polskim rynku, zarówno krajowych, jak</w:t>
            </w:r>
            <w:r w:rsidR="00BE01F2" w:rsidRPr="002E0A8C">
              <w:t xml:space="preserve"> i</w:t>
            </w:r>
            <w:r w:rsidR="00BE01F2">
              <w:t> </w:t>
            </w:r>
            <w:r w:rsidRPr="002E0A8C">
              <w:t>zagranicznych, które</w:t>
            </w:r>
            <w:r w:rsidR="00BE01F2" w:rsidRPr="002E0A8C">
              <w:t xml:space="preserve"> w</w:t>
            </w:r>
            <w:r w:rsidR="00BE01F2">
              <w:t> </w:t>
            </w:r>
            <w:r w:rsidRPr="002E0A8C">
              <w:t>swojej działalności wykorzystują dane publiczne)</w:t>
            </w:r>
            <w:r w:rsidR="00BE01F2" w:rsidRPr="002E0A8C">
              <w:t xml:space="preserve"> z</w:t>
            </w:r>
            <w:r w:rsidR="00BE01F2">
              <w:t> </w:t>
            </w:r>
            <w:r w:rsidRPr="002E0A8C">
              <w:t>uwzględnieniem – między innymi – wielkości firmy oraz branży,</w:t>
            </w:r>
            <w:r w:rsidR="00BE01F2" w:rsidRPr="002E0A8C">
              <w:t xml:space="preserve"> w</w:t>
            </w:r>
            <w:r w:rsidR="00BE01F2">
              <w:t> </w:t>
            </w:r>
            <w:r w:rsidRPr="002E0A8C">
              <w:t>której działa;</w:t>
            </w:r>
          </w:p>
          <w:p w14:paraId="5BC1FF5D" w14:textId="65F9EBF6" w:rsidR="002E0A8C" w:rsidRPr="002E0A8C" w:rsidRDefault="002E0A8C" w:rsidP="002E0A8C">
            <w:pPr>
              <w:pStyle w:val="NIEARTTEKSTtekstnieartykuowanynppodstprawnarozplubpreambua"/>
            </w:pPr>
            <w:r>
              <w:t>2)</w:t>
            </w:r>
            <w:r w:rsidRPr="002E0A8C">
              <w:tab/>
              <w:t>określenie poziomu zainteresowania biznesu dostępem do otwartych danych publicznych, rozpoznanie, czy –</w:t>
            </w:r>
            <w:r w:rsidR="00BE01F2" w:rsidRPr="002E0A8C">
              <w:t xml:space="preserve"> i</w:t>
            </w:r>
            <w:r w:rsidR="00BE01F2">
              <w:t> </w:t>
            </w:r>
            <w:r w:rsidR="00BE01F2" w:rsidRPr="002E0A8C">
              <w:t>w</w:t>
            </w:r>
            <w:r w:rsidR="00BE01F2">
              <w:t> </w:t>
            </w:r>
            <w:r w:rsidRPr="002E0A8C">
              <w:t>jakim stopniu – przedsiębiorcy dostrzegają</w:t>
            </w:r>
            <w:r w:rsidR="00BE01F2" w:rsidRPr="002E0A8C">
              <w:t xml:space="preserve"> w</w:t>
            </w:r>
            <w:r w:rsidR="00BE01F2">
              <w:t> </w:t>
            </w:r>
            <w:r w:rsidRPr="002E0A8C">
              <w:t>otwartych danych szanse rozwojowe dla swoich firm: np.</w:t>
            </w:r>
            <w:r w:rsidR="00BE01F2" w:rsidRPr="002E0A8C">
              <w:t xml:space="preserve"> w</w:t>
            </w:r>
            <w:r w:rsidR="00BE01F2">
              <w:t> </w:t>
            </w:r>
            <w:r w:rsidRPr="002E0A8C">
              <w:t>zwiększaniu efektywności wewnętrznej działalności firmy,</w:t>
            </w:r>
            <w:r w:rsidR="00BE01F2" w:rsidRPr="002E0A8C">
              <w:t xml:space="preserve"> w</w:t>
            </w:r>
            <w:r w:rsidR="00BE01F2">
              <w:t> </w:t>
            </w:r>
            <w:r w:rsidRPr="002E0A8C">
              <w:t>tworzeniu innowacyjnych usług lub produktów i/lub</w:t>
            </w:r>
            <w:r w:rsidR="00BE01F2" w:rsidRPr="002E0A8C">
              <w:t xml:space="preserve"> w</w:t>
            </w:r>
            <w:r w:rsidR="00BE01F2">
              <w:t> </w:t>
            </w:r>
            <w:r w:rsidRPr="002E0A8C">
              <w:t>budowaniu nowych modeli biznesowych;</w:t>
            </w:r>
          </w:p>
          <w:p w14:paraId="3C6E89D9" w14:textId="62C120D6" w:rsidR="002E0A8C" w:rsidRPr="002E0A8C" w:rsidRDefault="002E0A8C" w:rsidP="002E0A8C">
            <w:pPr>
              <w:pStyle w:val="NIEARTTEKSTtekstnieartykuowanynppodstprawnarozplubpreambua"/>
            </w:pPr>
            <w:r>
              <w:t>3)</w:t>
            </w:r>
            <w:r w:rsidRPr="002E0A8C">
              <w:tab/>
              <w:t>zbadanie trendów rynkowych</w:t>
            </w:r>
            <w:r w:rsidR="00BE01F2" w:rsidRPr="002E0A8C">
              <w:t xml:space="preserve"> w</w:t>
            </w:r>
            <w:r w:rsidR="00BE01F2">
              <w:t> </w:t>
            </w:r>
            <w:r w:rsidRPr="002E0A8C">
              <w:t>tym zakresie (na które dane, tj.</w:t>
            </w:r>
            <w:r w:rsidR="00BE01F2" w:rsidRPr="002E0A8C">
              <w:t xml:space="preserve"> z</w:t>
            </w:r>
            <w:r w:rsidR="00BE01F2">
              <w:t> </w:t>
            </w:r>
            <w:r w:rsidRPr="002E0A8C">
              <w:t>jakich obszarów tematycznych, jest</w:t>
            </w:r>
            <w:r w:rsidR="00BE01F2" w:rsidRPr="002E0A8C">
              <w:t xml:space="preserve"> i</w:t>
            </w:r>
            <w:r w:rsidR="00BE01F2">
              <w:t> </w:t>
            </w:r>
            <w:r w:rsidR="00BE01F2" w:rsidRPr="002E0A8C">
              <w:t>w</w:t>
            </w:r>
            <w:r w:rsidR="00BE01F2">
              <w:t> </w:t>
            </w:r>
            <w:r w:rsidRPr="002E0A8C">
              <w:t>najbliższych latach może być największy popyt</w:t>
            </w:r>
            <w:r w:rsidR="00BE01F2" w:rsidRPr="002E0A8C">
              <w:t xml:space="preserve"> i</w:t>
            </w:r>
            <w:r w:rsidR="00BE01F2">
              <w:t> </w:t>
            </w:r>
            <w:r w:rsidRPr="002E0A8C">
              <w:t>dlaczego,</w:t>
            </w:r>
            <w:r w:rsidR="00BE01F2" w:rsidRPr="002E0A8C">
              <w:t xml:space="preserve"> a</w:t>
            </w:r>
            <w:r w:rsidR="00BE01F2">
              <w:t> </w:t>
            </w:r>
            <w:r w:rsidRPr="002E0A8C">
              <w:t>także na jakie branże oraz rozwiązania biznesowe może się to przełożyć</w:t>
            </w:r>
            <w:r w:rsidR="00BE01F2" w:rsidRPr="002E0A8C">
              <w:t xml:space="preserve"> w</w:t>
            </w:r>
            <w:r w:rsidR="00BE01F2">
              <w:t> </w:t>
            </w:r>
            <w:r w:rsidRPr="002E0A8C">
              <w:t>największym stopniu);</w:t>
            </w:r>
          </w:p>
          <w:p w14:paraId="5A9BFF32" w14:textId="7AF1FF89" w:rsidR="00486AAC" w:rsidRPr="00486AAC" w:rsidRDefault="002E0A8C" w:rsidP="002E0A8C">
            <w:pPr>
              <w:pStyle w:val="NIEARTTEKSTtekstnieartykuowanynppodstprawnarozplubpreambua"/>
            </w:pPr>
            <w:r>
              <w:lastRenderedPageBreak/>
              <w:t>4)</w:t>
            </w:r>
            <w:r w:rsidRPr="002E0A8C">
              <w:tab/>
              <w:t>rozpoznanie barier ograniczających ponowne wykorzystywanie danych publicznych (technicznych, prawnych, mentalnych, wynikających</w:t>
            </w:r>
            <w:r w:rsidR="00BE01F2" w:rsidRPr="002E0A8C">
              <w:t xml:space="preserve"> z</w:t>
            </w:r>
            <w:r w:rsidR="00BE01F2">
              <w:t> </w:t>
            </w:r>
            <w:r w:rsidRPr="002E0A8C">
              <w:t>braku wiedzy czy kompetencji itd.).</w:t>
            </w:r>
          </w:p>
        </w:tc>
      </w:tr>
      <w:tr w:rsidR="00486AAC" w:rsidRPr="00486AAC" w14:paraId="49A2A9FB" w14:textId="77777777" w:rsidTr="009F408A">
        <w:trPr>
          <w:gridAfter w:val="1"/>
          <w:wAfter w:w="10" w:type="dxa"/>
          <w:trHeight w:val="342"/>
        </w:trPr>
        <w:tc>
          <w:tcPr>
            <w:tcW w:w="10908" w:type="dxa"/>
            <w:gridSpan w:val="24"/>
            <w:shd w:val="clear" w:color="auto" w:fill="99CCFF"/>
            <w:vAlign w:val="center"/>
          </w:tcPr>
          <w:p w14:paraId="0B07E9D8" w14:textId="5696BF9A" w:rsidR="00486AAC" w:rsidRPr="001B643A" w:rsidRDefault="00486AAC" w:rsidP="00486AAC">
            <w:pPr>
              <w:rPr>
                <w:rStyle w:val="Ppogrubienie"/>
              </w:rPr>
            </w:pPr>
            <w:r w:rsidRPr="001B643A">
              <w:rPr>
                <w:rStyle w:val="Ppogrubienie"/>
              </w:rPr>
              <w:lastRenderedPageBreak/>
              <w:t xml:space="preserve"> </w:t>
            </w:r>
            <w:r w:rsidR="001B643A" w:rsidRPr="001B643A">
              <w:rPr>
                <w:rStyle w:val="Ppogrubienie"/>
              </w:rPr>
              <w:t xml:space="preserve">8. </w:t>
            </w:r>
            <w:r w:rsidRPr="001B643A">
              <w:rPr>
                <w:rStyle w:val="Ppogrubienie"/>
              </w:rPr>
              <w:t>Zmiana obciążeń regulacyjnych (w tym obowiązków informacyjnych) wynikających</w:t>
            </w:r>
            <w:r w:rsidR="00BE01F2" w:rsidRPr="001B643A">
              <w:rPr>
                <w:rStyle w:val="Ppogrubienie"/>
              </w:rPr>
              <w:t xml:space="preserve"> z</w:t>
            </w:r>
            <w:r w:rsidR="00BE01F2">
              <w:rPr>
                <w:rStyle w:val="Ppogrubienie"/>
              </w:rPr>
              <w:t> </w:t>
            </w:r>
            <w:r w:rsidRPr="001B643A">
              <w:rPr>
                <w:rStyle w:val="Ppogrubienie"/>
              </w:rPr>
              <w:t>projektu</w:t>
            </w:r>
          </w:p>
        </w:tc>
      </w:tr>
      <w:tr w:rsidR="00486AAC" w:rsidRPr="00486AAC" w14:paraId="7A9F4BCB" w14:textId="77777777" w:rsidTr="009F408A">
        <w:trPr>
          <w:gridAfter w:val="1"/>
          <w:wAfter w:w="10" w:type="dxa"/>
          <w:trHeight w:val="151"/>
        </w:trPr>
        <w:tc>
          <w:tcPr>
            <w:tcW w:w="10908" w:type="dxa"/>
            <w:gridSpan w:val="24"/>
            <w:shd w:val="clear" w:color="auto" w:fill="FFFFFF"/>
          </w:tcPr>
          <w:p w14:paraId="005FE9F7" w14:textId="77777777" w:rsidR="00486AAC" w:rsidRPr="00486AAC" w:rsidRDefault="00B16A21" w:rsidP="00486AAC">
            <w:sdt>
              <w:sdtPr>
                <w:id w:val="1930998347"/>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nie dotyczy</w:t>
            </w:r>
          </w:p>
        </w:tc>
      </w:tr>
      <w:tr w:rsidR="00486AAC" w:rsidRPr="00486AAC" w14:paraId="18AE78B2" w14:textId="77777777" w:rsidTr="009F408A">
        <w:trPr>
          <w:gridAfter w:val="1"/>
          <w:wAfter w:w="10" w:type="dxa"/>
          <w:trHeight w:val="946"/>
        </w:trPr>
        <w:tc>
          <w:tcPr>
            <w:tcW w:w="5078" w:type="dxa"/>
            <w:gridSpan w:val="9"/>
            <w:shd w:val="clear" w:color="auto" w:fill="FFFFFF"/>
          </w:tcPr>
          <w:p w14:paraId="4C2BAB40" w14:textId="5EA2972F" w:rsidR="00486AAC" w:rsidRPr="00486AAC" w:rsidRDefault="00486AAC" w:rsidP="00486AAC">
            <w:r w:rsidRPr="00486AAC">
              <w:t>Wprowadzane są obciążenia poza bezwzględnie wymaganymi przez UE (szczegóły</w:t>
            </w:r>
            <w:r w:rsidR="00BE01F2" w:rsidRPr="00486AAC">
              <w:t xml:space="preserve"> w</w:t>
            </w:r>
            <w:r w:rsidR="00BE01F2">
              <w:t> </w:t>
            </w:r>
            <w:r w:rsidRPr="00486AAC">
              <w:t>odwróconej tabeli zgodności).</w:t>
            </w:r>
          </w:p>
        </w:tc>
        <w:tc>
          <w:tcPr>
            <w:tcW w:w="5830" w:type="dxa"/>
            <w:gridSpan w:val="15"/>
            <w:shd w:val="clear" w:color="auto" w:fill="FFFFFF"/>
          </w:tcPr>
          <w:p w14:paraId="42558BE5" w14:textId="77777777" w:rsidR="00486AAC" w:rsidRPr="00486AAC" w:rsidRDefault="00B16A21" w:rsidP="00486AAC">
            <w:sdt>
              <w:sdtPr>
                <w:id w:val="-501432790"/>
                <w14:checkbox>
                  <w14:checked w14:val="1"/>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tak</w:t>
            </w:r>
          </w:p>
          <w:p w14:paraId="66E49B44" w14:textId="77777777" w:rsidR="00486AAC" w:rsidRPr="00486AAC" w:rsidRDefault="00B16A21" w:rsidP="00486AAC">
            <w:sdt>
              <w:sdtPr>
                <w:id w:val="-1774005171"/>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nie</w:t>
            </w:r>
          </w:p>
          <w:p w14:paraId="6B25800E" w14:textId="77777777" w:rsidR="00486AAC" w:rsidRPr="00486AAC" w:rsidRDefault="00B16A21" w:rsidP="00486AAC">
            <w:sdt>
              <w:sdtPr>
                <w:id w:val="351533669"/>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nie dotyczy</w:t>
            </w:r>
          </w:p>
        </w:tc>
      </w:tr>
      <w:tr w:rsidR="00486AAC" w:rsidRPr="00486AAC" w14:paraId="0185CCFC" w14:textId="77777777" w:rsidTr="009F408A">
        <w:trPr>
          <w:gridAfter w:val="1"/>
          <w:wAfter w:w="10" w:type="dxa"/>
          <w:trHeight w:val="1245"/>
        </w:trPr>
        <w:tc>
          <w:tcPr>
            <w:tcW w:w="5078" w:type="dxa"/>
            <w:gridSpan w:val="9"/>
            <w:shd w:val="clear" w:color="auto" w:fill="FFFFFF"/>
          </w:tcPr>
          <w:p w14:paraId="785915CF" w14:textId="77777777" w:rsidR="00486AAC" w:rsidRPr="00486AAC" w:rsidRDefault="00B16A21" w:rsidP="00486AAC">
            <w:sdt>
              <w:sdtPr>
                <w:id w:val="-1646118103"/>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zmniejszenie liczby dokumentów </w:t>
            </w:r>
          </w:p>
          <w:p w14:paraId="0CA69B8A" w14:textId="77777777" w:rsidR="00486AAC" w:rsidRPr="00486AAC" w:rsidRDefault="00B16A21" w:rsidP="00486AAC">
            <w:sdt>
              <w:sdtPr>
                <w:id w:val="1876505849"/>
                <w14:checkbox>
                  <w14:checked w14:val="1"/>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zmniejszenie liczby procedur</w:t>
            </w:r>
          </w:p>
          <w:p w14:paraId="6EA9C1FD" w14:textId="77777777" w:rsidR="00486AAC" w:rsidRPr="00486AAC" w:rsidRDefault="00B16A21" w:rsidP="00486AAC">
            <w:sdt>
              <w:sdtPr>
                <w:id w:val="-2082051990"/>
                <w14:checkbox>
                  <w14:checked w14:val="1"/>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skrócenie czasu na załatwienie sprawy</w:t>
            </w:r>
          </w:p>
          <w:p w14:paraId="01840458" w14:textId="77777777" w:rsidR="00486AAC" w:rsidRPr="00486AAC" w:rsidRDefault="00B16A21" w:rsidP="00486AAC">
            <w:sdt>
              <w:sdtPr>
                <w:id w:val="2112540246"/>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inne: …</w:t>
            </w:r>
          </w:p>
        </w:tc>
        <w:tc>
          <w:tcPr>
            <w:tcW w:w="5830" w:type="dxa"/>
            <w:gridSpan w:val="15"/>
            <w:shd w:val="clear" w:color="auto" w:fill="FFFFFF"/>
          </w:tcPr>
          <w:p w14:paraId="40A75A24" w14:textId="77777777" w:rsidR="00486AAC" w:rsidRPr="00486AAC" w:rsidRDefault="00B16A21" w:rsidP="00486AAC">
            <w:sdt>
              <w:sdtPr>
                <w:id w:val="2104995084"/>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zwiększenie liczby dokumentów</w:t>
            </w:r>
          </w:p>
          <w:p w14:paraId="6F39FD6E" w14:textId="77777777" w:rsidR="00486AAC" w:rsidRPr="00486AAC" w:rsidRDefault="00B16A21" w:rsidP="00486AAC">
            <w:sdt>
              <w:sdtPr>
                <w:id w:val="762415844"/>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zwiększenie liczby procedur</w:t>
            </w:r>
          </w:p>
          <w:p w14:paraId="1EBC4EE9" w14:textId="77777777" w:rsidR="00486AAC" w:rsidRPr="00486AAC" w:rsidRDefault="00B16A21" w:rsidP="00486AAC">
            <w:sdt>
              <w:sdtPr>
                <w:id w:val="-357036351"/>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wydłużenie czasu na załatwienie sprawy</w:t>
            </w:r>
          </w:p>
          <w:p w14:paraId="392C147D" w14:textId="77777777" w:rsidR="00486AAC" w:rsidRPr="00486AAC" w:rsidRDefault="00B16A21" w:rsidP="00486AAC">
            <w:sdt>
              <w:sdtPr>
                <w:id w:val="1149557140"/>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inne: …</w:t>
            </w:r>
          </w:p>
          <w:p w14:paraId="6B1AE310" w14:textId="77777777" w:rsidR="00486AAC" w:rsidRPr="00486AAC" w:rsidRDefault="00486AAC" w:rsidP="00486AAC"/>
        </w:tc>
      </w:tr>
      <w:tr w:rsidR="00486AAC" w:rsidRPr="00486AAC" w14:paraId="3AFC0DAF" w14:textId="77777777" w:rsidTr="009F408A">
        <w:trPr>
          <w:gridAfter w:val="1"/>
          <w:wAfter w:w="10" w:type="dxa"/>
          <w:trHeight w:val="870"/>
        </w:trPr>
        <w:tc>
          <w:tcPr>
            <w:tcW w:w="5078" w:type="dxa"/>
            <w:gridSpan w:val="9"/>
            <w:shd w:val="clear" w:color="auto" w:fill="FFFFFF"/>
          </w:tcPr>
          <w:p w14:paraId="05158FE1" w14:textId="77777777" w:rsidR="00486AAC" w:rsidRPr="00486AAC" w:rsidRDefault="00486AAC" w:rsidP="00486AAC">
            <w:r w:rsidRPr="00486AAC">
              <w:t xml:space="preserve">Wprowadzane obciążenia są przystosowane do ich elektronizacji. </w:t>
            </w:r>
          </w:p>
        </w:tc>
        <w:tc>
          <w:tcPr>
            <w:tcW w:w="5830" w:type="dxa"/>
            <w:gridSpan w:val="15"/>
            <w:shd w:val="clear" w:color="auto" w:fill="FFFFFF"/>
          </w:tcPr>
          <w:p w14:paraId="273D6449" w14:textId="77777777" w:rsidR="00486AAC" w:rsidRPr="00486AAC" w:rsidRDefault="00B16A21" w:rsidP="00486AAC">
            <w:sdt>
              <w:sdtPr>
                <w:id w:val="297268939"/>
                <w14:checkbox>
                  <w14:checked w14:val="1"/>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tak</w:t>
            </w:r>
          </w:p>
          <w:p w14:paraId="793D16AC" w14:textId="77777777" w:rsidR="00486AAC" w:rsidRPr="00486AAC" w:rsidRDefault="00B16A21" w:rsidP="00486AAC">
            <w:sdt>
              <w:sdtPr>
                <w:id w:val="-1887021666"/>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nie</w:t>
            </w:r>
          </w:p>
          <w:p w14:paraId="379BB058" w14:textId="77777777" w:rsidR="00486AAC" w:rsidRPr="00486AAC" w:rsidRDefault="00B16A21" w:rsidP="00486AAC">
            <w:sdt>
              <w:sdtPr>
                <w:id w:val="1904862519"/>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nie dotyczy</w:t>
            </w:r>
          </w:p>
          <w:p w14:paraId="6AC8F8C2" w14:textId="77777777" w:rsidR="00486AAC" w:rsidRPr="00486AAC" w:rsidRDefault="00486AAC" w:rsidP="00486AAC"/>
        </w:tc>
      </w:tr>
      <w:tr w:rsidR="00486AAC" w:rsidRPr="00486AAC" w14:paraId="34FF54B2" w14:textId="77777777" w:rsidTr="009F408A">
        <w:trPr>
          <w:gridAfter w:val="1"/>
          <w:wAfter w:w="10" w:type="dxa"/>
          <w:trHeight w:val="630"/>
        </w:trPr>
        <w:tc>
          <w:tcPr>
            <w:tcW w:w="10908" w:type="dxa"/>
            <w:gridSpan w:val="24"/>
            <w:shd w:val="clear" w:color="auto" w:fill="FFFFFF"/>
          </w:tcPr>
          <w:p w14:paraId="72A5B8EE" w14:textId="77777777" w:rsidR="00486AAC" w:rsidRPr="001B643A" w:rsidRDefault="00486AAC" w:rsidP="00486AAC">
            <w:pPr>
              <w:rPr>
                <w:rStyle w:val="Ppogrubienie"/>
              </w:rPr>
            </w:pPr>
            <w:r w:rsidRPr="001B643A">
              <w:rPr>
                <w:rStyle w:val="Ppogrubienie"/>
              </w:rPr>
              <w:t>Komentarz:</w:t>
            </w:r>
          </w:p>
          <w:p w14:paraId="5AB471CE" w14:textId="1F945CB7" w:rsidR="00486AAC" w:rsidRPr="00486AAC" w:rsidRDefault="00486AAC" w:rsidP="002E0A8C">
            <w:pPr>
              <w:pStyle w:val="NIEARTTEKSTtekstnieartykuowanynppodstprawnarozplubpreambua"/>
            </w:pPr>
            <w:r w:rsidRPr="00486AAC">
              <w:t xml:space="preserve">Projekt nie przewiduje istotnych obciążeń. Wprowadzane obciążenia dotyczyć będą stosowania standardów technicznych dotyczących przygotowania danych do udostępniania </w:t>
            </w:r>
            <w:r w:rsidR="007800BB">
              <w:t>w</w:t>
            </w:r>
            <w:r w:rsidRPr="00486AAC">
              <w:t xml:space="preserve"> portalu dane.gov.pl</w:t>
            </w:r>
            <w:r w:rsidR="00BE01F2" w:rsidRPr="00486AAC">
              <w:t xml:space="preserve"> w</w:t>
            </w:r>
            <w:r w:rsidR="00BE01F2">
              <w:t> </w:t>
            </w:r>
            <w:r w:rsidRPr="00486AAC">
              <w:t>celu ponownego wykorzystywania oraz dobudowy interfejsów programistycznych aplikacji do baz/ rejestrów publicznych umożliwiających automatyczne pobieranie danych. Rozwiązania te mają na celu zoptymalizowanie dystrybucji danych do dalszej eksploatacji.</w:t>
            </w:r>
          </w:p>
          <w:p w14:paraId="577EC2AD" w14:textId="43AA86A9" w:rsidR="00486AAC" w:rsidRPr="00486AAC" w:rsidRDefault="00486AAC" w:rsidP="004E6675">
            <w:pPr>
              <w:pStyle w:val="NIEARTTEKSTtekstnieartykuowanynppodstprawnarozplubpreambua"/>
            </w:pPr>
            <w:r w:rsidRPr="00486AAC">
              <w:t xml:space="preserve">Zmniejszenie obciążeń regulacyjnych związane będzie ze wzrostem </w:t>
            </w:r>
            <w:r w:rsidR="004E6675">
              <w:t>liczby</w:t>
            </w:r>
            <w:r w:rsidR="004E6675" w:rsidRPr="00486AAC">
              <w:t xml:space="preserve"> </w:t>
            </w:r>
            <w:r w:rsidRPr="00486AAC">
              <w:t>zasobów</w:t>
            </w:r>
            <w:r w:rsidR="004E6675">
              <w:t xml:space="preserve"> danych</w:t>
            </w:r>
            <w:r w:rsidRPr="00486AAC">
              <w:t xml:space="preserve"> (danych dynamicznych oraz danych</w:t>
            </w:r>
            <w:r w:rsidR="00BE01F2" w:rsidRPr="00486AAC">
              <w:t xml:space="preserve"> o</w:t>
            </w:r>
            <w:r w:rsidR="00BE01F2">
              <w:t> </w:t>
            </w:r>
            <w:r w:rsidRPr="00486AAC">
              <w:t>wysokiej wartości) udostępnianych za pośrednictwem portalu otwartych danych oraz innych systemów teleinformatycznych. Dostępność większej ilości danych za pośrednictwem systemów teleinformatycznych przyczyni się do spadku iloś</w:t>
            </w:r>
            <w:r w:rsidR="004E6675">
              <w:t>ci</w:t>
            </w:r>
            <w:r w:rsidRPr="00486AAC">
              <w:t xml:space="preserve"> wniosków</w:t>
            </w:r>
            <w:r w:rsidR="00BE01F2" w:rsidRPr="00486AAC">
              <w:t xml:space="preserve"> o</w:t>
            </w:r>
            <w:r w:rsidR="00BE01F2">
              <w:t> </w:t>
            </w:r>
            <w:r w:rsidRPr="00486AAC">
              <w:t>ponowne wykorzystywanie oraz wniosków</w:t>
            </w:r>
            <w:r w:rsidR="00BE01F2" w:rsidRPr="00486AAC">
              <w:t xml:space="preserve"> o</w:t>
            </w:r>
            <w:r w:rsidR="00BE01F2">
              <w:t> </w:t>
            </w:r>
            <w:r w:rsidRPr="00486AAC">
              <w:t>dostęp do informacji publicznej składanych przez użytkowników. Zmniejszy to obciążenia administracyjno</w:t>
            </w:r>
            <w:r w:rsidR="00BE01F2">
              <w:softHyphen/>
            </w:r>
            <w:r w:rsidR="00BE01F2">
              <w:noBreakHyphen/>
            </w:r>
            <w:r w:rsidRPr="00486AAC">
              <w:t>biurokratyczne podmiotów zobowiązanych związane</w:t>
            </w:r>
            <w:r w:rsidR="00BE01F2" w:rsidRPr="00486AAC">
              <w:t xml:space="preserve"> z</w:t>
            </w:r>
            <w:r w:rsidR="00BE01F2">
              <w:t> </w:t>
            </w:r>
            <w:r w:rsidRPr="00486AAC">
              <w:t xml:space="preserve">obsługą wniosków. </w:t>
            </w:r>
          </w:p>
        </w:tc>
      </w:tr>
      <w:tr w:rsidR="00486AAC" w:rsidRPr="00486AAC" w14:paraId="1BC0B7DF" w14:textId="77777777" w:rsidTr="009F408A">
        <w:trPr>
          <w:gridAfter w:val="1"/>
          <w:wAfter w:w="10" w:type="dxa"/>
          <w:trHeight w:val="142"/>
        </w:trPr>
        <w:tc>
          <w:tcPr>
            <w:tcW w:w="10908" w:type="dxa"/>
            <w:gridSpan w:val="24"/>
            <w:shd w:val="clear" w:color="auto" w:fill="99CCFF"/>
          </w:tcPr>
          <w:p w14:paraId="4260EF14" w14:textId="4E20BEF4" w:rsidR="00486AAC" w:rsidRPr="001B643A" w:rsidRDefault="001B643A" w:rsidP="00486AAC">
            <w:pPr>
              <w:rPr>
                <w:rStyle w:val="Ppogrubienie"/>
              </w:rPr>
            </w:pPr>
            <w:r w:rsidRPr="001B643A">
              <w:rPr>
                <w:rStyle w:val="Ppogrubienie"/>
              </w:rPr>
              <w:t xml:space="preserve">9. </w:t>
            </w:r>
            <w:r w:rsidR="00486AAC" w:rsidRPr="001B643A">
              <w:rPr>
                <w:rStyle w:val="Ppogrubienie"/>
              </w:rPr>
              <w:t xml:space="preserve">Wpływ na rynek pracy </w:t>
            </w:r>
          </w:p>
        </w:tc>
      </w:tr>
      <w:tr w:rsidR="00486AAC" w:rsidRPr="00486AAC" w14:paraId="0B73DFF7" w14:textId="77777777" w:rsidTr="009F408A">
        <w:trPr>
          <w:gridAfter w:val="1"/>
          <w:wAfter w:w="10" w:type="dxa"/>
          <w:trHeight w:val="142"/>
        </w:trPr>
        <w:tc>
          <w:tcPr>
            <w:tcW w:w="10908" w:type="dxa"/>
            <w:gridSpan w:val="24"/>
            <w:shd w:val="clear" w:color="auto" w:fill="auto"/>
          </w:tcPr>
          <w:p w14:paraId="4B5AA52D" w14:textId="4143EF5D" w:rsidR="00486AAC" w:rsidRPr="00486AAC" w:rsidRDefault="00486AAC" w:rsidP="002E0A8C">
            <w:pPr>
              <w:pStyle w:val="NIEARTTEKSTtekstnieartykuowanynppodstprawnarozplubpreambua"/>
            </w:pPr>
            <w:r w:rsidRPr="00486AAC">
              <w:t>Regulacja może potencjalnie pozytywnie oddziaływać na podmioty, chcące tworzyć nowe produkty</w:t>
            </w:r>
            <w:r w:rsidR="00BE01F2" w:rsidRPr="00486AAC">
              <w:t xml:space="preserve"> i</w:t>
            </w:r>
            <w:r w:rsidR="00BE01F2">
              <w:t> </w:t>
            </w:r>
            <w:r w:rsidRPr="00486AAC">
              <w:t xml:space="preserve">usługi na podstawie informacji sektora publicznego. Możliwość wykorzystania informacji sektora publicznego </w:t>
            </w:r>
            <w:r w:rsidRPr="00486AAC">
              <w:lastRenderedPageBreak/>
              <w:t>to szansa dla przedsiębiorców, którzy chcą na ich podstawie stworzyć innowacyjne produkty</w:t>
            </w:r>
            <w:r w:rsidR="00BE01F2" w:rsidRPr="00486AAC">
              <w:t xml:space="preserve"> i</w:t>
            </w:r>
            <w:r w:rsidR="00BE01F2">
              <w:t> </w:t>
            </w:r>
            <w:r w:rsidRPr="00486AAC">
              <w:t>usługi oraz nowe modele biznesowe. Rozwój przedsiębiorstw przekłada się</w:t>
            </w:r>
            <w:r w:rsidR="00BE01F2" w:rsidRPr="00486AAC">
              <w:t xml:space="preserve"> z</w:t>
            </w:r>
            <w:r w:rsidR="00BE01F2">
              <w:t> </w:t>
            </w:r>
            <w:r w:rsidRPr="00486AAC">
              <w:t>kolei na nowe miejsca pracy.</w:t>
            </w:r>
          </w:p>
          <w:p w14:paraId="6F7F8DE8" w14:textId="70DBF712" w:rsidR="00486AAC" w:rsidRPr="00486AAC" w:rsidRDefault="00486AAC" w:rsidP="002E0A8C">
            <w:pPr>
              <w:pStyle w:val="NIEARTTEKSTtekstnieartykuowanynppodstprawnarozplubpreambua"/>
            </w:pPr>
            <w:r w:rsidRPr="00486AAC">
              <w:t>Według szacunków</w:t>
            </w:r>
            <w:r w:rsidR="00BE01F2" w:rsidRPr="00486AAC">
              <w:t xml:space="preserve"> w</w:t>
            </w:r>
            <w:r w:rsidR="00BE01F2">
              <w:t> </w:t>
            </w:r>
            <w:r w:rsidRPr="00486AAC">
              <w:t>roku 202</w:t>
            </w:r>
            <w:r w:rsidR="00BE01F2" w:rsidRPr="00486AAC">
              <w:t>0</w:t>
            </w:r>
            <w:r w:rsidR="00BE01F2">
              <w:t> </w:t>
            </w:r>
            <w:r w:rsidRPr="00486AAC">
              <w:t>wartość rynku otwartych danych</w:t>
            </w:r>
            <w:r w:rsidR="00BE01F2" w:rsidRPr="00486AAC">
              <w:t xml:space="preserve"> w</w:t>
            </w:r>
            <w:r w:rsidR="00BE01F2">
              <w:t> </w:t>
            </w:r>
            <w:r w:rsidRPr="00486AAC">
              <w:t>UE wyniesie 75,</w:t>
            </w:r>
            <w:r w:rsidR="00BE01F2" w:rsidRPr="00486AAC">
              <w:t>7</w:t>
            </w:r>
            <w:r w:rsidR="00BE01F2">
              <w:t> </w:t>
            </w:r>
            <w:r w:rsidRPr="00486AAC">
              <w:t>mld EUR, zaś liczba miejsc pracy związanych</w:t>
            </w:r>
            <w:r w:rsidR="00BE01F2" w:rsidRPr="00486AAC">
              <w:t xml:space="preserve"> z</w:t>
            </w:r>
            <w:r w:rsidR="00BE01F2">
              <w:t> </w:t>
            </w:r>
            <w:r w:rsidRPr="00486AAC">
              <w:t>otwartymi danymi</w:t>
            </w:r>
            <w:r w:rsidR="00BE01F2" w:rsidRPr="00486AAC">
              <w:t xml:space="preserve"> w</w:t>
            </w:r>
            <w:r w:rsidR="00BE01F2">
              <w:t> </w:t>
            </w:r>
            <w:r w:rsidRPr="00486AAC">
              <w:t>sektorze prywatnym osiągnie poziom blisko 10</w:t>
            </w:r>
            <w:r w:rsidR="00BE01F2" w:rsidRPr="00486AAC">
              <w:t>0</w:t>
            </w:r>
            <w:r w:rsidR="00BE01F2">
              <w:t> </w:t>
            </w:r>
            <w:r w:rsidRPr="00486AAC">
              <w:t>tysięcy</w:t>
            </w:r>
            <w:r w:rsidRPr="001A0614">
              <w:rPr>
                <w:rStyle w:val="IGindeksgrny"/>
              </w:rPr>
              <w:footnoteReference w:id="12"/>
            </w:r>
            <w:r w:rsidR="00CB2B9B" w:rsidRPr="001A0614">
              <w:rPr>
                <w:rStyle w:val="IGindeksgrny"/>
              </w:rPr>
              <w:t>)</w:t>
            </w:r>
            <w:r w:rsidR="00CB2B9B">
              <w:t>.</w:t>
            </w:r>
          </w:p>
        </w:tc>
      </w:tr>
      <w:tr w:rsidR="00486AAC" w:rsidRPr="00486AAC" w14:paraId="4933062F" w14:textId="77777777" w:rsidTr="009F408A">
        <w:trPr>
          <w:gridAfter w:val="1"/>
          <w:wAfter w:w="10" w:type="dxa"/>
          <w:trHeight w:val="142"/>
        </w:trPr>
        <w:tc>
          <w:tcPr>
            <w:tcW w:w="10908" w:type="dxa"/>
            <w:gridSpan w:val="24"/>
            <w:shd w:val="clear" w:color="auto" w:fill="99CCFF"/>
          </w:tcPr>
          <w:p w14:paraId="7763C2BF" w14:textId="594A86A8" w:rsidR="00486AAC" w:rsidRPr="001B643A" w:rsidRDefault="001B643A" w:rsidP="00486AAC">
            <w:pPr>
              <w:rPr>
                <w:rStyle w:val="Ppogrubienie"/>
              </w:rPr>
            </w:pPr>
            <w:r w:rsidRPr="001B643A">
              <w:rPr>
                <w:rStyle w:val="Ppogrubienie"/>
              </w:rPr>
              <w:lastRenderedPageBreak/>
              <w:t xml:space="preserve">10. </w:t>
            </w:r>
            <w:r w:rsidR="00486AAC" w:rsidRPr="001B643A">
              <w:rPr>
                <w:rStyle w:val="Ppogrubienie"/>
              </w:rPr>
              <w:t>Wpływ na pozostałe obszary</w:t>
            </w:r>
          </w:p>
        </w:tc>
      </w:tr>
      <w:tr w:rsidR="00486AAC" w:rsidRPr="00486AAC" w14:paraId="7D57C44F" w14:textId="77777777" w:rsidTr="009F408A">
        <w:trPr>
          <w:gridAfter w:val="1"/>
          <w:wAfter w:w="10" w:type="dxa"/>
          <w:trHeight w:val="1031"/>
        </w:trPr>
        <w:tc>
          <w:tcPr>
            <w:tcW w:w="3514" w:type="dxa"/>
            <w:gridSpan w:val="5"/>
            <w:shd w:val="clear" w:color="auto" w:fill="FFFFFF"/>
          </w:tcPr>
          <w:p w14:paraId="45810906" w14:textId="77777777" w:rsidR="00486AAC" w:rsidRPr="00486AAC" w:rsidRDefault="00486AAC" w:rsidP="00486AAC"/>
          <w:p w14:paraId="0243FDC1" w14:textId="77777777" w:rsidR="00486AAC" w:rsidRPr="00486AAC" w:rsidRDefault="00B16A21" w:rsidP="00486AAC">
            <w:sdt>
              <w:sdtPr>
                <w:id w:val="365952688"/>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środowisko naturalne</w:t>
            </w:r>
          </w:p>
          <w:p w14:paraId="056A8F09" w14:textId="12014464" w:rsidR="00486AAC" w:rsidRPr="00486AAC" w:rsidRDefault="00B16A21" w:rsidP="00486AAC">
            <w:sdt>
              <w:sdtPr>
                <w:id w:val="-1888785328"/>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sytuacja</w:t>
            </w:r>
            <w:r w:rsidR="00BE01F2" w:rsidRPr="00486AAC">
              <w:t xml:space="preserve"> i</w:t>
            </w:r>
            <w:r w:rsidR="00BE01F2">
              <w:t> </w:t>
            </w:r>
            <w:r w:rsidR="00486AAC" w:rsidRPr="00486AAC">
              <w:t>rozwój regionalny</w:t>
            </w:r>
          </w:p>
          <w:p w14:paraId="63FE0F68" w14:textId="77777777" w:rsidR="00486AAC" w:rsidRPr="00486AAC" w:rsidRDefault="00B16A21" w:rsidP="00486AAC">
            <w:sdt>
              <w:sdtPr>
                <w:id w:val="366884454"/>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inne: …</w:t>
            </w:r>
          </w:p>
        </w:tc>
        <w:tc>
          <w:tcPr>
            <w:tcW w:w="3687" w:type="dxa"/>
            <w:gridSpan w:val="10"/>
            <w:shd w:val="clear" w:color="auto" w:fill="FFFFFF"/>
          </w:tcPr>
          <w:p w14:paraId="24A1F006" w14:textId="77777777" w:rsidR="00486AAC" w:rsidRPr="00486AAC" w:rsidRDefault="00486AAC" w:rsidP="00486AAC"/>
          <w:p w14:paraId="7381EC45" w14:textId="77777777" w:rsidR="00486AAC" w:rsidRPr="00486AAC" w:rsidRDefault="00B16A21" w:rsidP="00486AAC">
            <w:sdt>
              <w:sdtPr>
                <w:id w:val="-1170861332"/>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demografia</w:t>
            </w:r>
          </w:p>
          <w:p w14:paraId="5A5207F4" w14:textId="77777777" w:rsidR="00486AAC" w:rsidRPr="00486AAC" w:rsidRDefault="00B16A21" w:rsidP="00486AAC">
            <w:sdt>
              <w:sdtPr>
                <w:id w:val="1090503991"/>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mienie państwowe</w:t>
            </w:r>
          </w:p>
        </w:tc>
        <w:tc>
          <w:tcPr>
            <w:tcW w:w="3707" w:type="dxa"/>
            <w:gridSpan w:val="9"/>
            <w:shd w:val="clear" w:color="auto" w:fill="FFFFFF"/>
          </w:tcPr>
          <w:p w14:paraId="18080345" w14:textId="77777777" w:rsidR="00486AAC" w:rsidRPr="00486AAC" w:rsidRDefault="00486AAC" w:rsidP="00486AAC"/>
          <w:p w14:paraId="06722990" w14:textId="77777777" w:rsidR="00486AAC" w:rsidRPr="00486AAC" w:rsidRDefault="00B16A21" w:rsidP="00486AAC">
            <w:sdt>
              <w:sdtPr>
                <w:id w:val="1485042436"/>
                <w14:checkbox>
                  <w14:checked w14:val="1"/>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informatyzacja</w:t>
            </w:r>
          </w:p>
          <w:p w14:paraId="64B13554" w14:textId="77777777" w:rsidR="00486AAC" w:rsidRPr="00486AAC" w:rsidRDefault="00B16A21" w:rsidP="00486AAC">
            <w:sdt>
              <w:sdtPr>
                <w:id w:val="-170105530"/>
                <w14:checkbox>
                  <w14:checked w14:val="0"/>
                  <w14:checkedState w14:val="2612" w14:font="MS Gothic"/>
                  <w14:uncheckedState w14:val="2610" w14:font="MS Gothic"/>
                </w14:checkbox>
              </w:sdtPr>
              <w:sdtEndPr/>
              <w:sdtContent>
                <w:r w:rsidR="00486AAC" w:rsidRPr="00486AAC">
                  <w:rPr>
                    <w:rFonts w:ascii="Segoe UI Symbol" w:hAnsi="Segoe UI Symbol" w:cs="Segoe UI Symbol"/>
                  </w:rPr>
                  <w:t>☐</w:t>
                </w:r>
              </w:sdtContent>
            </w:sdt>
            <w:r w:rsidR="00486AAC" w:rsidRPr="00486AAC">
              <w:t xml:space="preserve"> zdrowie</w:t>
            </w:r>
          </w:p>
        </w:tc>
      </w:tr>
      <w:tr w:rsidR="00486AAC" w:rsidRPr="00486AAC" w14:paraId="050069DD" w14:textId="77777777" w:rsidTr="009F408A">
        <w:trPr>
          <w:gridAfter w:val="1"/>
          <w:wAfter w:w="10" w:type="dxa"/>
          <w:trHeight w:val="712"/>
        </w:trPr>
        <w:tc>
          <w:tcPr>
            <w:tcW w:w="2211" w:type="dxa"/>
            <w:gridSpan w:val="2"/>
            <w:shd w:val="clear" w:color="auto" w:fill="FFFFFF"/>
            <w:vAlign w:val="center"/>
          </w:tcPr>
          <w:p w14:paraId="2B130103" w14:textId="77777777" w:rsidR="00486AAC" w:rsidRPr="00486AAC" w:rsidRDefault="00486AAC" w:rsidP="00486AAC">
            <w:r w:rsidRPr="00486AAC">
              <w:t>Omówienie wpływu</w:t>
            </w:r>
          </w:p>
        </w:tc>
        <w:tc>
          <w:tcPr>
            <w:tcW w:w="8697" w:type="dxa"/>
            <w:gridSpan w:val="22"/>
            <w:shd w:val="clear" w:color="auto" w:fill="FFFFFF"/>
            <w:vAlign w:val="center"/>
          </w:tcPr>
          <w:p w14:paraId="1962F93D" w14:textId="11BA0918" w:rsidR="00486AAC" w:rsidRPr="00486AAC" w:rsidRDefault="00486AAC" w:rsidP="002E0A8C">
            <w:pPr>
              <w:pStyle w:val="NIEARTTEKSTtekstnieartykuowanynppodstprawnarozplubpreambua"/>
            </w:pPr>
            <w:r w:rsidRPr="00486AAC">
              <w:t xml:space="preserve">Udostępnianie </w:t>
            </w:r>
            <w:r w:rsidR="00765DE3">
              <w:t xml:space="preserve">zasobów </w:t>
            </w:r>
            <w:r w:rsidRPr="00486AAC">
              <w:t>danych publicznych (w szczególności d</w:t>
            </w:r>
            <w:r w:rsidR="002E0A8C">
              <w:t>anych dynamicznych oraz danych</w:t>
            </w:r>
            <w:r w:rsidR="00BE01F2">
              <w:t xml:space="preserve"> </w:t>
            </w:r>
            <w:r w:rsidR="00BE01F2" w:rsidRPr="00486AAC">
              <w:t>o</w:t>
            </w:r>
            <w:r w:rsidR="00BE01F2">
              <w:t> </w:t>
            </w:r>
            <w:r w:rsidRPr="00486AAC">
              <w:t>wysokiej wartości) zgodnie ze standardem technicznym, na co najmniej trzecim stopniu otwartości oraz stosowanie jednolitego standardu interfejsu programistycznego API wpłynie pozytywnie na zwiększenie ilości</w:t>
            </w:r>
            <w:r w:rsidR="00765DE3">
              <w:t xml:space="preserve"> zasobów</w:t>
            </w:r>
            <w:r w:rsidRPr="00486AAC">
              <w:t xml:space="preserve"> danych dostępnych dla użytkowników oraz ułatwi rozwój bazujących na tych danych aplikacji</w:t>
            </w:r>
            <w:r w:rsidR="00BE01F2" w:rsidRPr="00486AAC">
              <w:t xml:space="preserve"> i</w:t>
            </w:r>
            <w:r w:rsidR="00BE01F2">
              <w:t> </w:t>
            </w:r>
            <w:r w:rsidRPr="00486AAC">
              <w:t>usług. Będzie to miało szczególne znaczenie dla użytkowników profesjonalnych (np. programistów, firmy</w:t>
            </w:r>
            <w:r w:rsidR="00BE01F2" w:rsidRPr="00486AAC">
              <w:t xml:space="preserve"> z</w:t>
            </w:r>
            <w:r w:rsidR="00BE01F2">
              <w:t> </w:t>
            </w:r>
            <w:r w:rsidRPr="00486AAC">
              <w:t>branży IT).</w:t>
            </w:r>
          </w:p>
        </w:tc>
      </w:tr>
      <w:tr w:rsidR="00486AAC" w:rsidRPr="00486AAC" w14:paraId="57876136" w14:textId="77777777" w:rsidTr="009F408A">
        <w:trPr>
          <w:gridAfter w:val="1"/>
          <w:wAfter w:w="10" w:type="dxa"/>
          <w:trHeight w:val="142"/>
        </w:trPr>
        <w:tc>
          <w:tcPr>
            <w:tcW w:w="10908" w:type="dxa"/>
            <w:gridSpan w:val="24"/>
            <w:shd w:val="clear" w:color="auto" w:fill="99CCFF"/>
          </w:tcPr>
          <w:p w14:paraId="7BE9E872" w14:textId="1B1CCA14" w:rsidR="00486AAC" w:rsidRPr="001B643A" w:rsidRDefault="001B643A" w:rsidP="00486AAC">
            <w:pPr>
              <w:rPr>
                <w:rStyle w:val="Ppogrubienie"/>
              </w:rPr>
            </w:pPr>
            <w:r w:rsidRPr="001B643A">
              <w:rPr>
                <w:rStyle w:val="Ppogrubienie"/>
              </w:rPr>
              <w:t xml:space="preserve">11. </w:t>
            </w:r>
            <w:r w:rsidR="00486AAC" w:rsidRPr="001B643A">
              <w:rPr>
                <w:rStyle w:val="Ppogrubienie"/>
              </w:rPr>
              <w:t>Planowane wykonanie przepisów aktu prawnego</w:t>
            </w:r>
          </w:p>
        </w:tc>
      </w:tr>
      <w:tr w:rsidR="00486AAC" w:rsidRPr="00486AAC" w14:paraId="1B536E8E" w14:textId="77777777" w:rsidTr="009F408A">
        <w:trPr>
          <w:gridAfter w:val="1"/>
          <w:wAfter w:w="10" w:type="dxa"/>
          <w:trHeight w:val="142"/>
        </w:trPr>
        <w:tc>
          <w:tcPr>
            <w:tcW w:w="10908" w:type="dxa"/>
            <w:gridSpan w:val="24"/>
            <w:shd w:val="clear" w:color="auto" w:fill="FFFFFF"/>
          </w:tcPr>
          <w:p w14:paraId="7FA941EF" w14:textId="0970CD69" w:rsidR="00486AAC" w:rsidRPr="00486AAC" w:rsidRDefault="00486AAC" w:rsidP="002E0A8C">
            <w:pPr>
              <w:pStyle w:val="NIEARTTEKSTtekstnieartykuowanynppodstprawnarozplubpreambua"/>
            </w:pPr>
            <w:r w:rsidRPr="00486AAC">
              <w:t>Postęp</w:t>
            </w:r>
            <w:r w:rsidR="00BE01F2" w:rsidRPr="00486AAC">
              <w:t xml:space="preserve"> w</w:t>
            </w:r>
            <w:r w:rsidR="00BE01F2">
              <w:t> </w:t>
            </w:r>
            <w:r w:rsidRPr="00486AAC">
              <w:t>realizacji Programu,</w:t>
            </w:r>
            <w:r w:rsidR="00BE01F2" w:rsidRPr="00486AAC">
              <w:t xml:space="preserve"> w</w:t>
            </w:r>
            <w:r w:rsidR="00BE01F2">
              <w:t> </w:t>
            </w:r>
            <w:r w:rsidRPr="00486AAC">
              <w:t>tym stanowiącego jego integralną część Planu działań na rzecz realizacji POD będzie podlegał stałemu monitoringowi</w:t>
            </w:r>
            <w:r w:rsidR="00BE01F2" w:rsidRPr="00486AAC">
              <w:t xml:space="preserve"> w</w:t>
            </w:r>
            <w:r w:rsidR="00BE01F2">
              <w:t> </w:t>
            </w:r>
            <w:r w:rsidRPr="00486AAC">
              <w:t>zakresie terminowej</w:t>
            </w:r>
            <w:r w:rsidR="00BE01F2" w:rsidRPr="00486AAC">
              <w:t xml:space="preserve"> i</w:t>
            </w:r>
            <w:r w:rsidR="00BE01F2">
              <w:t> </w:t>
            </w:r>
            <w:r w:rsidRPr="00486AAC">
              <w:t>zgodnej</w:t>
            </w:r>
            <w:r w:rsidR="00BE01F2" w:rsidRPr="00486AAC">
              <w:t xml:space="preserve"> z</w:t>
            </w:r>
            <w:r w:rsidR="00BE01F2">
              <w:t> </w:t>
            </w:r>
            <w:r w:rsidRPr="00486AAC">
              <w:t>przyjętymi za</w:t>
            </w:r>
            <w:r w:rsidR="002E0A8C">
              <w:t xml:space="preserve">łożeniami realizacji dokumentu </w:t>
            </w:r>
            <w:r w:rsidRPr="00486AAC">
              <w:t>u poszczególnych podmiotów zobowiązanych oraz ich jednostek podległych</w:t>
            </w:r>
            <w:r w:rsidR="00BE01F2" w:rsidRPr="00486AAC">
              <w:t xml:space="preserve"> i</w:t>
            </w:r>
            <w:r w:rsidR="00BE01F2">
              <w:t> </w:t>
            </w:r>
            <w:r w:rsidRPr="00486AAC">
              <w:t>nadzorowanych</w:t>
            </w:r>
            <w:r w:rsidR="00BE01F2" w:rsidRPr="00486AAC">
              <w:t xml:space="preserve"> w</w:t>
            </w:r>
            <w:r w:rsidR="00BE01F2">
              <w:t> </w:t>
            </w:r>
            <w:r w:rsidRPr="00486AAC">
              <w:t xml:space="preserve">ramach spotkań tzw. sieci pełnomocników pod kątem osiągania przyjętych celów Programu. </w:t>
            </w:r>
          </w:p>
        </w:tc>
      </w:tr>
      <w:tr w:rsidR="00486AAC" w:rsidRPr="00486AAC" w14:paraId="20BCC059" w14:textId="77777777" w:rsidTr="009F408A">
        <w:trPr>
          <w:gridAfter w:val="1"/>
          <w:wAfter w:w="10" w:type="dxa"/>
          <w:trHeight w:val="142"/>
        </w:trPr>
        <w:tc>
          <w:tcPr>
            <w:tcW w:w="10908" w:type="dxa"/>
            <w:gridSpan w:val="24"/>
            <w:shd w:val="clear" w:color="auto" w:fill="99CCFF"/>
          </w:tcPr>
          <w:p w14:paraId="6AC4F375" w14:textId="7B52370C" w:rsidR="00486AAC" w:rsidRPr="001B643A" w:rsidRDefault="00486AAC" w:rsidP="00486AAC">
            <w:pPr>
              <w:rPr>
                <w:rStyle w:val="Ppogrubienie"/>
              </w:rPr>
            </w:pPr>
            <w:r w:rsidRPr="001B643A">
              <w:rPr>
                <w:rStyle w:val="Ppogrubienie"/>
              </w:rPr>
              <w:t xml:space="preserve"> </w:t>
            </w:r>
            <w:r w:rsidR="001B643A" w:rsidRPr="001B643A">
              <w:rPr>
                <w:rStyle w:val="Ppogrubienie"/>
              </w:rPr>
              <w:t>12.</w:t>
            </w:r>
            <w:r w:rsidR="00BE01F2" w:rsidRPr="001B643A">
              <w:rPr>
                <w:rStyle w:val="Ppogrubienie"/>
              </w:rPr>
              <w:t xml:space="preserve"> W</w:t>
            </w:r>
            <w:r w:rsidR="00BE01F2">
              <w:rPr>
                <w:rStyle w:val="Ppogrubienie"/>
              </w:rPr>
              <w:t> </w:t>
            </w:r>
            <w:r w:rsidRPr="001B643A">
              <w:rPr>
                <w:rStyle w:val="Ppogrubienie"/>
              </w:rPr>
              <w:t>jaki sposób</w:t>
            </w:r>
            <w:r w:rsidR="00BE01F2" w:rsidRPr="001B643A">
              <w:rPr>
                <w:rStyle w:val="Ppogrubienie"/>
              </w:rPr>
              <w:t xml:space="preserve"> i</w:t>
            </w:r>
            <w:r w:rsidR="00BE01F2">
              <w:rPr>
                <w:rStyle w:val="Ppogrubienie"/>
              </w:rPr>
              <w:t> </w:t>
            </w:r>
            <w:r w:rsidRPr="001B643A">
              <w:rPr>
                <w:rStyle w:val="Ppogrubienie"/>
              </w:rPr>
              <w:t>kiedy nastąpi ewaluacja efektów projektu oraz jakie mierniki zostaną zastosowane?</w:t>
            </w:r>
          </w:p>
        </w:tc>
      </w:tr>
      <w:tr w:rsidR="00486AAC" w:rsidRPr="00486AAC" w14:paraId="57161803" w14:textId="77777777" w:rsidTr="009F408A">
        <w:trPr>
          <w:gridAfter w:val="1"/>
          <w:wAfter w:w="10" w:type="dxa"/>
          <w:trHeight w:val="142"/>
        </w:trPr>
        <w:tc>
          <w:tcPr>
            <w:tcW w:w="10908" w:type="dxa"/>
            <w:gridSpan w:val="24"/>
            <w:shd w:val="clear" w:color="auto" w:fill="FFFFFF"/>
          </w:tcPr>
          <w:p w14:paraId="042BDF17" w14:textId="008B9F3D" w:rsidR="00486AAC" w:rsidRPr="00486AAC" w:rsidRDefault="00486AAC" w:rsidP="002E0A8C">
            <w:pPr>
              <w:pStyle w:val="NIEARTTEKSTtekstnieartykuowanynppodstprawnarozplubpreambua"/>
            </w:pPr>
            <w:r w:rsidRPr="00486AAC">
              <w:t>Efekty Programu będą monitorowane</w:t>
            </w:r>
            <w:r w:rsidR="00BE01F2" w:rsidRPr="00486AAC">
              <w:t xml:space="preserve"> w</w:t>
            </w:r>
            <w:r w:rsidR="00BE01F2">
              <w:t> </w:t>
            </w:r>
            <w:r w:rsidRPr="00486AAC">
              <w:t>oparciu</w:t>
            </w:r>
            <w:r w:rsidR="00BE01F2" w:rsidRPr="00486AAC">
              <w:t xml:space="preserve"> o</w:t>
            </w:r>
            <w:r w:rsidR="00BE01F2">
              <w:t> </w:t>
            </w:r>
            <w:r w:rsidRPr="00486AAC">
              <w:t>ustalone wskaźniki:</w:t>
            </w:r>
          </w:p>
          <w:p w14:paraId="4AC483BB" w14:textId="61FE3C9F" w:rsidR="002E0A8C" w:rsidRPr="002E0A8C" w:rsidRDefault="002E0A8C" w:rsidP="002E0A8C">
            <w:pPr>
              <w:pStyle w:val="NIEARTTEKSTtekstnieartykuowanynppodstprawnarozplubpreambua"/>
            </w:pPr>
            <w:r w:rsidRPr="002E0A8C">
              <w:t>•</w:t>
            </w:r>
            <w:r w:rsidRPr="002E0A8C">
              <w:tab/>
              <w:t xml:space="preserve">Liczba </w:t>
            </w:r>
            <w:r w:rsidR="004E6675">
              <w:t xml:space="preserve">zasobów </w:t>
            </w:r>
            <w:r w:rsidRPr="002E0A8C">
              <w:t>danych udostępnionych</w:t>
            </w:r>
            <w:r w:rsidR="00BE01F2" w:rsidRPr="002E0A8C">
              <w:t xml:space="preserve"> w</w:t>
            </w:r>
            <w:r w:rsidR="00BE01F2">
              <w:t> </w:t>
            </w:r>
            <w:r w:rsidRPr="002E0A8C">
              <w:t>portalu dane.gov.pl,</w:t>
            </w:r>
          </w:p>
          <w:p w14:paraId="6FFE871B" w14:textId="519F28AC" w:rsidR="002E0A8C" w:rsidRPr="002E0A8C" w:rsidRDefault="002E0A8C" w:rsidP="002E0A8C">
            <w:pPr>
              <w:pStyle w:val="NIEARTTEKSTtekstnieartykuowanynppodstprawnarozplubpreambua"/>
            </w:pPr>
            <w:r w:rsidRPr="002E0A8C">
              <w:t>•</w:t>
            </w:r>
            <w:r w:rsidRPr="002E0A8C">
              <w:tab/>
              <w:t xml:space="preserve">Liczba </w:t>
            </w:r>
            <w:r w:rsidR="004E6675">
              <w:t>zasob</w:t>
            </w:r>
            <w:r w:rsidR="004E6675" w:rsidRPr="004E6675">
              <w:t xml:space="preserve">ów </w:t>
            </w:r>
            <w:r w:rsidRPr="002E0A8C">
              <w:t>danych dynamicznych udostępnionych</w:t>
            </w:r>
            <w:r w:rsidR="00BE01F2" w:rsidRPr="002E0A8C">
              <w:t xml:space="preserve"> w</w:t>
            </w:r>
            <w:r w:rsidR="00BE01F2">
              <w:t> </w:t>
            </w:r>
            <w:r w:rsidRPr="002E0A8C">
              <w:t>portalu dane.gov.pl,</w:t>
            </w:r>
          </w:p>
          <w:p w14:paraId="1291FF69" w14:textId="4C90FDAA" w:rsidR="002E0A8C" w:rsidRPr="002E0A8C" w:rsidRDefault="002E0A8C" w:rsidP="002E0A8C">
            <w:pPr>
              <w:pStyle w:val="NIEARTTEKSTtekstnieartykuowanynppodstprawnarozplubpreambua"/>
            </w:pPr>
            <w:r w:rsidRPr="002E0A8C">
              <w:t>•</w:t>
            </w:r>
            <w:r w:rsidRPr="002E0A8C">
              <w:tab/>
              <w:t xml:space="preserve">Liczba </w:t>
            </w:r>
            <w:r w:rsidR="004E6675">
              <w:t>zasob</w:t>
            </w:r>
            <w:r w:rsidR="004E6675" w:rsidRPr="004E6675">
              <w:t xml:space="preserve">ów </w:t>
            </w:r>
            <w:r w:rsidRPr="002E0A8C">
              <w:t>danych</w:t>
            </w:r>
            <w:r w:rsidR="00BE01F2" w:rsidRPr="002E0A8C">
              <w:t xml:space="preserve"> o</w:t>
            </w:r>
            <w:r w:rsidR="00BE01F2">
              <w:t> </w:t>
            </w:r>
            <w:r w:rsidRPr="002E0A8C">
              <w:t>wysokiej wartości udostępnionych</w:t>
            </w:r>
            <w:r w:rsidR="00BE01F2" w:rsidRPr="002E0A8C">
              <w:t xml:space="preserve"> w</w:t>
            </w:r>
            <w:r w:rsidR="00BE01F2">
              <w:t> </w:t>
            </w:r>
            <w:r w:rsidRPr="002E0A8C">
              <w:t>portalu dane.gov.pl,</w:t>
            </w:r>
          </w:p>
          <w:p w14:paraId="06002881" w14:textId="07F657DB" w:rsidR="002E0A8C" w:rsidRPr="002E0A8C" w:rsidRDefault="002E0A8C" w:rsidP="002E0A8C">
            <w:pPr>
              <w:pStyle w:val="NIEARTTEKSTtekstnieartykuowanynppodstprawnarozplubpreambua"/>
            </w:pPr>
            <w:r w:rsidRPr="002E0A8C">
              <w:t>•</w:t>
            </w:r>
            <w:r w:rsidRPr="002E0A8C">
              <w:tab/>
              <w:t xml:space="preserve">Liczba </w:t>
            </w:r>
            <w:r w:rsidR="004E6675">
              <w:t>zasob</w:t>
            </w:r>
            <w:r w:rsidR="004E6675" w:rsidRPr="004E6675">
              <w:t xml:space="preserve">ów </w:t>
            </w:r>
            <w:r w:rsidRPr="002E0A8C">
              <w:t>danych</w:t>
            </w:r>
            <w:r w:rsidR="00BE01F2" w:rsidRPr="002E0A8C">
              <w:t xml:space="preserve"> o</w:t>
            </w:r>
            <w:r w:rsidR="00BE01F2">
              <w:t> </w:t>
            </w:r>
            <w:r w:rsidRPr="002E0A8C">
              <w:t>wyższym stopniu otwartości lub poprawionej jakości danych dostępnych</w:t>
            </w:r>
            <w:r w:rsidR="00BE01F2" w:rsidRPr="002E0A8C">
              <w:t xml:space="preserve"> w</w:t>
            </w:r>
            <w:r w:rsidR="00BE01F2">
              <w:t> </w:t>
            </w:r>
            <w:r w:rsidRPr="002E0A8C">
              <w:t>portalu dane.gov.pl,</w:t>
            </w:r>
          </w:p>
          <w:p w14:paraId="4F1E89AB" w14:textId="2203A21D" w:rsidR="002E0A8C" w:rsidRPr="002E0A8C" w:rsidRDefault="002E0A8C" w:rsidP="002E0A8C">
            <w:pPr>
              <w:pStyle w:val="NIEARTTEKSTtekstnieartykuowanynppodstprawnarozplubpreambua"/>
            </w:pPr>
            <w:r w:rsidRPr="002E0A8C">
              <w:t>•</w:t>
            </w:r>
            <w:r w:rsidRPr="002E0A8C">
              <w:tab/>
              <w:t xml:space="preserve">Liczba </w:t>
            </w:r>
            <w:r w:rsidR="004E6675">
              <w:t>zasob</w:t>
            </w:r>
            <w:r w:rsidR="004E6675" w:rsidRPr="004E6675">
              <w:t xml:space="preserve">ów </w:t>
            </w:r>
            <w:r w:rsidRPr="002E0A8C">
              <w:t>danych udostępnionych  przez API</w:t>
            </w:r>
            <w:r w:rsidR="00BE01F2" w:rsidRPr="002E0A8C">
              <w:t xml:space="preserve"> w</w:t>
            </w:r>
            <w:r w:rsidR="00BE01F2">
              <w:t> </w:t>
            </w:r>
            <w:r w:rsidRPr="002E0A8C">
              <w:t>portalu dane.gov.pl,</w:t>
            </w:r>
            <w:r w:rsidRPr="002E0A8C">
              <w:tab/>
            </w:r>
          </w:p>
          <w:p w14:paraId="619456C9" w14:textId="593417D9" w:rsidR="002E0A8C" w:rsidRPr="002E0A8C" w:rsidRDefault="002E0A8C" w:rsidP="002E0A8C">
            <w:pPr>
              <w:pStyle w:val="NIEARTTEKSTtekstnieartykuowanynppodstprawnarozplubpreambua"/>
            </w:pPr>
            <w:r w:rsidRPr="002E0A8C">
              <w:lastRenderedPageBreak/>
              <w:t>•</w:t>
            </w:r>
            <w:r w:rsidRPr="002E0A8C">
              <w:tab/>
              <w:t>Liczba działań prowadzących do usuwania lub ograniczenia barier</w:t>
            </w:r>
            <w:r w:rsidR="00BE01F2" w:rsidRPr="002E0A8C">
              <w:t xml:space="preserve"> w</w:t>
            </w:r>
            <w:r w:rsidR="00BE01F2">
              <w:t> </w:t>
            </w:r>
            <w:r w:rsidRPr="002E0A8C">
              <w:t>dostępie do danych,</w:t>
            </w:r>
          </w:p>
          <w:p w14:paraId="12D24BEB" w14:textId="7FFCD5C3" w:rsidR="002E0A8C" w:rsidRPr="002E0A8C" w:rsidRDefault="002E0A8C" w:rsidP="002E0A8C">
            <w:pPr>
              <w:pStyle w:val="NIEARTTEKSTtekstnieartykuowanynppodstprawnarozplubpreambua"/>
            </w:pPr>
            <w:r w:rsidRPr="002E0A8C">
              <w:t>•</w:t>
            </w:r>
            <w:r w:rsidRPr="002E0A8C">
              <w:tab/>
              <w:t xml:space="preserve">Liczba </w:t>
            </w:r>
            <w:r w:rsidR="004E6675">
              <w:t>zasob</w:t>
            </w:r>
            <w:r w:rsidR="004E6675" w:rsidRPr="004E6675">
              <w:t xml:space="preserve">ów </w:t>
            </w:r>
            <w:r w:rsidRPr="002E0A8C">
              <w:t>danych kultury</w:t>
            </w:r>
            <w:r w:rsidR="00BE01F2" w:rsidRPr="002E0A8C">
              <w:t xml:space="preserve"> i</w:t>
            </w:r>
            <w:r w:rsidR="00BE01F2">
              <w:t> </w:t>
            </w:r>
            <w:r w:rsidRPr="002E0A8C">
              <w:t>nauki udostępnionych</w:t>
            </w:r>
            <w:r w:rsidR="00BE01F2" w:rsidRPr="002E0A8C">
              <w:t xml:space="preserve"> w</w:t>
            </w:r>
            <w:r w:rsidR="00BE01F2">
              <w:t> </w:t>
            </w:r>
            <w:r w:rsidRPr="002E0A8C">
              <w:t>portalu dane.gov.pl,</w:t>
            </w:r>
          </w:p>
          <w:p w14:paraId="28B72341" w14:textId="21A187E9" w:rsidR="002E0A8C" w:rsidRPr="002E0A8C" w:rsidRDefault="002E0A8C" w:rsidP="002E0A8C">
            <w:pPr>
              <w:pStyle w:val="NIEARTTEKSTtekstnieartykuowanynppodstprawnarozplubpreambua"/>
            </w:pPr>
            <w:r w:rsidRPr="002E0A8C">
              <w:t>•</w:t>
            </w:r>
            <w:r w:rsidRPr="002E0A8C">
              <w:tab/>
              <w:t>Liczba podmiotów udost</w:t>
            </w:r>
            <w:r w:rsidR="004E6675">
              <w:t>ę</w:t>
            </w:r>
            <w:r w:rsidRPr="002E0A8C">
              <w:t>pniających swoje dane</w:t>
            </w:r>
            <w:r w:rsidR="00BE01F2" w:rsidRPr="002E0A8C">
              <w:t xml:space="preserve"> w</w:t>
            </w:r>
            <w:r w:rsidR="00BE01F2">
              <w:t> </w:t>
            </w:r>
            <w:r w:rsidRPr="002E0A8C">
              <w:t>portalu dane.gov.pl,</w:t>
            </w:r>
          </w:p>
          <w:p w14:paraId="14D046E3" w14:textId="1B6A68D2" w:rsidR="002E0A8C" w:rsidRPr="002E0A8C" w:rsidRDefault="002E0A8C" w:rsidP="002E0A8C">
            <w:pPr>
              <w:pStyle w:val="NIEARTTEKSTtekstnieartykuowanynppodstprawnarozplubpreambua"/>
            </w:pPr>
            <w:r w:rsidRPr="002E0A8C">
              <w:t>•</w:t>
            </w:r>
            <w:r w:rsidRPr="002E0A8C">
              <w:tab/>
              <w:t>Lic</w:t>
            </w:r>
            <w:r w:rsidR="003B5BE6">
              <w:t xml:space="preserve">zba </w:t>
            </w:r>
            <w:r w:rsidR="003B5BE6" w:rsidRPr="003B5BE6">
              <w:t>osób objętych szkoleniami</w:t>
            </w:r>
            <w:r w:rsidR="003B5BE6">
              <w:t>,</w:t>
            </w:r>
          </w:p>
          <w:p w14:paraId="153C36E1" w14:textId="4CE7C90A" w:rsidR="002E0A8C" w:rsidRPr="002E0A8C" w:rsidRDefault="003B5BE6" w:rsidP="002E0A8C">
            <w:pPr>
              <w:pStyle w:val="NIEARTTEKSTtekstnieartykuowanynppodstprawnarozplubpreambua"/>
            </w:pPr>
            <w:r>
              <w:t>•</w:t>
            </w:r>
            <w:r>
              <w:tab/>
              <w:t xml:space="preserve">Liczba </w:t>
            </w:r>
            <w:r w:rsidRPr="003B5BE6">
              <w:t>odbiorców działań informacyjno-promocyjny</w:t>
            </w:r>
            <w:r w:rsidR="004E6675">
              <w:t>ch</w:t>
            </w:r>
            <w:r w:rsidRPr="003B5BE6">
              <w:t xml:space="preserve"> (typu konferencje, maratony programowania, kampania w mediach)</w:t>
            </w:r>
            <w:r>
              <w:t>.</w:t>
            </w:r>
          </w:p>
          <w:p w14:paraId="162DBF03" w14:textId="731864D7" w:rsidR="00486AAC" w:rsidRPr="00486AAC" w:rsidRDefault="00486AAC" w:rsidP="002E0A8C">
            <w:pPr>
              <w:pStyle w:val="NIEARTTEKSTtekstnieartykuowanynppodstprawnarozplubpreambua"/>
            </w:pPr>
            <w:r w:rsidRPr="00486AAC">
              <w:t>Po dwóch</w:t>
            </w:r>
            <w:r w:rsidR="00BE01F2" w:rsidRPr="00486AAC">
              <w:t xml:space="preserve"> i</w:t>
            </w:r>
            <w:r w:rsidR="00BE01F2">
              <w:t> </w:t>
            </w:r>
            <w:r w:rsidRPr="00486AAC">
              <w:t>czterech latach od obowiązywania dokumentu oraz</w:t>
            </w:r>
            <w:r w:rsidR="00BE01F2" w:rsidRPr="00486AAC">
              <w:t xml:space="preserve"> w</w:t>
            </w:r>
            <w:r w:rsidR="00BE01F2">
              <w:t> </w:t>
            </w:r>
            <w:r w:rsidRPr="00486AAC">
              <w:t>siódmym roku obowiązywania Programu będzie podlega</w:t>
            </w:r>
            <w:r w:rsidR="004E6675">
              <w:t>ć</w:t>
            </w:r>
            <w:r w:rsidRPr="00486AAC">
              <w:t>przeglądowi</w:t>
            </w:r>
            <w:r w:rsidR="00BE01F2" w:rsidRPr="00486AAC">
              <w:t xml:space="preserve"> i</w:t>
            </w:r>
            <w:r w:rsidR="00BE01F2">
              <w:t> </w:t>
            </w:r>
            <w:r w:rsidRPr="00486AAC">
              <w:t xml:space="preserve">ocenie efektów jego oddziaływania. </w:t>
            </w:r>
            <w:r w:rsidR="008703F9">
              <w:t xml:space="preserve">Ewaluacja programu nastąpi w formie </w:t>
            </w:r>
            <w:r w:rsidR="008703F9" w:rsidRPr="008703F9">
              <w:t>e</w:t>
            </w:r>
            <w:r w:rsidR="008703F9">
              <w:t>waluacji bieżącej (on-going).</w:t>
            </w:r>
            <w:r w:rsidR="008703F9" w:rsidRPr="008703F9">
              <w:t xml:space="preserve"> </w:t>
            </w:r>
            <w:r w:rsidRPr="00486AAC">
              <w:t>Na podstawie wyników przeglądu minister właściwy do spraw informatyzacji opracuje propozycję działań korygujących lub projekt dokumentu na kolejny okres.</w:t>
            </w:r>
            <w:r w:rsidR="00BE01F2" w:rsidRPr="00486AAC">
              <w:t xml:space="preserve"> W</w:t>
            </w:r>
            <w:r w:rsidR="00BE01F2">
              <w:t> </w:t>
            </w:r>
            <w:r w:rsidRPr="00486AAC">
              <w:t>przypadku wystąpienia uzasadnionych okoliczności POD może zostać aktualizowany</w:t>
            </w:r>
            <w:r w:rsidR="00BE01F2" w:rsidRPr="00486AAC">
              <w:t xml:space="preserve"> w</w:t>
            </w:r>
            <w:r w:rsidR="00BE01F2">
              <w:t> </w:t>
            </w:r>
            <w:r w:rsidRPr="00486AAC">
              <w:t>innych terminach niż te,</w:t>
            </w:r>
            <w:r w:rsidR="00BE01F2" w:rsidRPr="00486AAC">
              <w:t xml:space="preserve"> o</w:t>
            </w:r>
            <w:r w:rsidR="00BE01F2">
              <w:t> </w:t>
            </w:r>
            <w:r w:rsidRPr="00486AAC">
              <w:t>których mowa powyżej.</w:t>
            </w:r>
          </w:p>
          <w:p w14:paraId="1604F41F" w14:textId="110E4680" w:rsidR="00486AAC" w:rsidRPr="00486AAC" w:rsidRDefault="00486AAC" w:rsidP="002E0A8C">
            <w:pPr>
              <w:pStyle w:val="NIEARTTEKSTtekstnieartykuowanynppodstprawnarozplubpreambua"/>
            </w:pPr>
            <w:r w:rsidRPr="00486AAC">
              <w:t>Systematycznej weryfikacji będzie podlegał również Plan działań na rzecz realizacji Programu otwierania danych na lata 202</w:t>
            </w:r>
            <w:r w:rsidR="00BE01F2" w:rsidRPr="00486AAC">
              <w:t>1</w:t>
            </w:r>
            <w:r w:rsidR="00BE01F2">
              <w:noBreakHyphen/>
            </w:r>
            <w:r w:rsidRPr="00486AAC">
              <w:t>202</w:t>
            </w:r>
            <w:r w:rsidR="00BE01F2" w:rsidRPr="00486AAC">
              <w:t>7</w:t>
            </w:r>
            <w:r w:rsidR="00BE01F2">
              <w:t> </w:t>
            </w:r>
            <w:r w:rsidRPr="00486AAC">
              <w:t>stanowiący załącznik do Programu, który zawiera opis działań</w:t>
            </w:r>
            <w:r w:rsidR="00BE01F2" w:rsidRPr="00486AAC">
              <w:t xml:space="preserve"> i</w:t>
            </w:r>
            <w:r w:rsidR="00BE01F2">
              <w:t> </w:t>
            </w:r>
            <w:r w:rsidRPr="00486AAC">
              <w:t>projektów służących realizacji założeń Programu. Aktualizacja Planu działań przewidziana jest raz do roku.</w:t>
            </w:r>
          </w:p>
        </w:tc>
      </w:tr>
      <w:tr w:rsidR="00486AAC" w:rsidRPr="00486AAC" w14:paraId="7FD11677" w14:textId="77777777" w:rsidTr="009F408A">
        <w:trPr>
          <w:gridAfter w:val="1"/>
          <w:wAfter w:w="10" w:type="dxa"/>
          <w:trHeight w:val="142"/>
        </w:trPr>
        <w:tc>
          <w:tcPr>
            <w:tcW w:w="10908" w:type="dxa"/>
            <w:gridSpan w:val="24"/>
            <w:shd w:val="clear" w:color="auto" w:fill="99CCFF"/>
          </w:tcPr>
          <w:p w14:paraId="05A40143" w14:textId="061F4206" w:rsidR="00486AAC" w:rsidRPr="001B643A" w:rsidRDefault="001B643A" w:rsidP="00486AAC">
            <w:pPr>
              <w:rPr>
                <w:rStyle w:val="Ppogrubienie"/>
              </w:rPr>
            </w:pPr>
            <w:r w:rsidRPr="001B643A">
              <w:rPr>
                <w:rStyle w:val="Ppogrubienie"/>
              </w:rPr>
              <w:lastRenderedPageBreak/>
              <w:t xml:space="preserve">13. </w:t>
            </w:r>
            <w:r w:rsidR="00486AAC" w:rsidRPr="001B643A">
              <w:rPr>
                <w:rStyle w:val="Ppogrubienie"/>
              </w:rPr>
              <w:t xml:space="preserve">Załączniki (istotne dokumenty źródłowe, badania, analizy itp.) </w:t>
            </w:r>
          </w:p>
        </w:tc>
      </w:tr>
      <w:tr w:rsidR="00486AAC" w:rsidRPr="00486AAC" w14:paraId="423A3A3B" w14:textId="77777777" w:rsidTr="009F408A">
        <w:trPr>
          <w:gridAfter w:val="1"/>
          <w:wAfter w:w="10" w:type="dxa"/>
          <w:trHeight w:val="142"/>
        </w:trPr>
        <w:tc>
          <w:tcPr>
            <w:tcW w:w="10908" w:type="dxa"/>
            <w:gridSpan w:val="24"/>
            <w:shd w:val="clear" w:color="auto" w:fill="FFFFFF"/>
          </w:tcPr>
          <w:p w14:paraId="081C56CA" w14:textId="4A07BF14" w:rsidR="00486AAC" w:rsidRPr="00486AAC" w:rsidRDefault="00DE3B26" w:rsidP="00486AAC">
            <w:r>
              <w:t>Brak</w:t>
            </w:r>
          </w:p>
        </w:tc>
      </w:tr>
    </w:tbl>
    <w:p w14:paraId="588B0AA6" w14:textId="1B3DB7F4" w:rsidR="00486AAC" w:rsidRPr="00486AAC" w:rsidRDefault="00486AAC" w:rsidP="00486AAC">
      <w:pPr>
        <w:widowControl/>
        <w:autoSpaceDE/>
        <w:autoSpaceDN/>
        <w:adjustRightInd/>
      </w:pPr>
    </w:p>
    <w:sectPr w:rsidR="00486AAC" w:rsidRPr="00486AAC" w:rsidSect="00486AAC">
      <w:headerReference w:type="default" r:id="rId20"/>
      <w:footnotePr>
        <w:numRestart w:val="eachSect"/>
      </w:footnotePr>
      <w:pgSz w:w="11906" w:h="16838"/>
      <w:pgMar w:top="720" w:right="720" w:bottom="720" w:left="720"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E25AF" w14:textId="77777777" w:rsidR="00B16A21" w:rsidRDefault="00B16A21">
      <w:r>
        <w:separator/>
      </w:r>
    </w:p>
  </w:endnote>
  <w:endnote w:type="continuationSeparator" w:id="0">
    <w:p w14:paraId="3D99FE39" w14:textId="77777777" w:rsidR="00B16A21" w:rsidRDefault="00B16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C094C8" w14:textId="77777777" w:rsidR="00B16A21" w:rsidRDefault="00B16A21">
      <w:r>
        <w:separator/>
      </w:r>
    </w:p>
  </w:footnote>
  <w:footnote w:type="continuationSeparator" w:id="0">
    <w:p w14:paraId="2F8640FE" w14:textId="77777777" w:rsidR="00B16A21" w:rsidRDefault="00B16A21">
      <w:r>
        <w:continuationSeparator/>
      </w:r>
    </w:p>
  </w:footnote>
  <w:footnote w:id="1">
    <w:p w14:paraId="6C8EA8B0" w14:textId="601CA080" w:rsidR="0099148C" w:rsidRPr="004A6378" w:rsidRDefault="0099148C" w:rsidP="00AC40CD">
      <w:pPr>
        <w:pStyle w:val="ODNONIKtreodnonika"/>
      </w:pPr>
      <w:r w:rsidRPr="00AC40CD">
        <w:rPr>
          <w:rStyle w:val="IGindeksgrny"/>
        </w:rPr>
        <w:footnoteRef/>
      </w:r>
      <w:r w:rsidRPr="00AC40CD">
        <w:rPr>
          <w:rStyle w:val="IGindeksgrny"/>
        </w:rPr>
        <w:t>)</w:t>
      </w:r>
      <w:r w:rsidRPr="004A6378">
        <w:t xml:space="preserve"> Poczta i telekomunikacja – wyniki działalności w 2018 roku, GUS, Warszawa, Szczecin 2019, str. 20 (https://stat.gov.pl/obszary-tematyczne/transport-i-lacznosc/lacznosc/poczta-i-telekomunikacja-wyniki-dzialalnosci-w-2018-r-,2,3.html)</w:t>
      </w:r>
    </w:p>
  </w:footnote>
  <w:footnote w:id="2">
    <w:p w14:paraId="37EA4706" w14:textId="0BD13CF2" w:rsidR="0099148C" w:rsidRPr="004A6378" w:rsidRDefault="0099148C" w:rsidP="00AC40CD">
      <w:pPr>
        <w:pStyle w:val="ODNONIKtreodnonika"/>
      </w:pPr>
      <w:r w:rsidRPr="00AC40CD">
        <w:rPr>
          <w:rStyle w:val="IGindeksgrny"/>
        </w:rPr>
        <w:footnoteRef/>
      </w:r>
      <w:r w:rsidRPr="00AC40CD">
        <w:rPr>
          <w:rStyle w:val="IGindeksgrny"/>
        </w:rPr>
        <w:t>)</w:t>
      </w:r>
      <w:r w:rsidRPr="004A6378">
        <w:t xml:space="preserve"> Miesięczna informacja o podmiotach gospodarki narodowej w rejestrze REGON sierpień 2019, GUS (https://stat.gov.pl/obszary-tematyczne/podmioty-gospodarcze-wyniki-finansowe/zmiany-strukturalne-grup-podmiotow/miesieczna-informacja-o-podmiotach-gospodarki-narodowej-w-rejestrze-regon-sierpien-2019,4,26.html)</w:t>
      </w:r>
    </w:p>
  </w:footnote>
  <w:footnote w:id="3">
    <w:p w14:paraId="31B377FD" w14:textId="751BCDF4" w:rsidR="0099148C" w:rsidRPr="004A6378" w:rsidRDefault="0099148C" w:rsidP="00AC40CD">
      <w:pPr>
        <w:pStyle w:val="ODNONIKtreodnonika"/>
      </w:pPr>
      <w:r w:rsidRPr="00AC40CD">
        <w:rPr>
          <w:rStyle w:val="IGindeksgrny"/>
        </w:rPr>
        <w:footnoteRef/>
      </w:r>
      <w:r w:rsidRPr="00AC40CD">
        <w:rPr>
          <w:rStyle w:val="IGindeksgrny"/>
        </w:rPr>
        <w:t>)</w:t>
      </w:r>
      <w:r w:rsidRPr="004A6378">
        <w:t xml:space="preserve"> Miesięczna informacja o podmiotach gospodarki narodowej w rejestrze REGON sierpień 2019, GUS (https://stat.gov.pl/obszary-tematyczne/podmioty-gospodarcze-wyniki-finansowe/zmiany-strukturalne-grup-podmiotow/miesieczna-informacja-o-podmiotach-gospodarki-narodowej-w-rejestrze-regon-sierpien-2019,4,26.html)</w:t>
      </w:r>
    </w:p>
  </w:footnote>
  <w:footnote w:id="4">
    <w:p w14:paraId="4D0EF156" w14:textId="46B8F2C4" w:rsidR="0099148C" w:rsidRPr="004A6378" w:rsidRDefault="0099148C" w:rsidP="00AC40CD">
      <w:pPr>
        <w:pStyle w:val="ODNONIKtreodnonika"/>
      </w:pPr>
      <w:r w:rsidRPr="00AC40CD">
        <w:rPr>
          <w:rStyle w:val="IGindeksgrny"/>
        </w:rPr>
        <w:footnoteRef/>
      </w:r>
      <w:r w:rsidRPr="00AC40CD">
        <w:rPr>
          <w:rStyle w:val="IGindeksgrny"/>
        </w:rPr>
        <w:t>)</w:t>
      </w:r>
      <w:r w:rsidRPr="004A6378">
        <w:t xml:space="preserve"> Lista spółek nadzorowanych przez MGMiŻŚ, stan na 18.01.2018 (https://gospodarkamorska.bip.gov.pl/lista-spolek-nadzorowanych/117074_lista-spolek-nadzorowanych.html)</w:t>
      </w:r>
    </w:p>
  </w:footnote>
  <w:footnote w:id="5">
    <w:p w14:paraId="514D5492" w14:textId="54C54D2A" w:rsidR="0099148C" w:rsidRPr="004A6378" w:rsidRDefault="0099148C" w:rsidP="00AC40CD">
      <w:pPr>
        <w:pStyle w:val="ODNONIKtreodnonika"/>
      </w:pPr>
      <w:r w:rsidRPr="00AC40CD">
        <w:rPr>
          <w:rStyle w:val="IGindeksgrny"/>
        </w:rPr>
        <w:footnoteRef/>
      </w:r>
      <w:r w:rsidRPr="00AC40CD">
        <w:rPr>
          <w:rStyle w:val="IGindeksgrny"/>
        </w:rPr>
        <w:t>)</w:t>
      </w:r>
      <w:r w:rsidRPr="004A6378">
        <w:t xml:space="preserve"> Sprawozdanie z funkcjonowania rynku transportu kolejowego w 2017 roku, Urząd Transp</w:t>
      </w:r>
      <w:r>
        <w:t xml:space="preserve">ortu Kolejowego, Warszawa 2018 </w:t>
      </w:r>
      <w:r w:rsidRPr="004A6378">
        <w:t>(</w:t>
      </w:r>
      <w:hyperlink r:id="rId1" w:history="1">
        <w:r w:rsidRPr="00D2422C">
          <w:rPr>
            <w:rStyle w:val="Hipercze"/>
          </w:rPr>
          <w:t>https://utk.gov.pl/pl/raporty-i-analizy/analizy-i-monitoring/sprawozdania/16190,Sprawozdanie-z-funkcjonowania-rynku-transportu-kolejowego-w-2019-r.html</w:t>
        </w:r>
      </w:hyperlink>
      <w:r w:rsidRPr="004A6378">
        <w:t>)</w:t>
      </w:r>
      <w:r>
        <w:t xml:space="preserve"> </w:t>
      </w:r>
    </w:p>
  </w:footnote>
  <w:footnote w:id="6">
    <w:p w14:paraId="1EB24733" w14:textId="73CEF150" w:rsidR="0099148C" w:rsidRPr="004A6378" w:rsidRDefault="0099148C" w:rsidP="00AC40CD">
      <w:pPr>
        <w:pStyle w:val="ODNONIKtreodnonika"/>
      </w:pPr>
      <w:r w:rsidRPr="00AC40CD">
        <w:rPr>
          <w:rStyle w:val="IGindeksgrny"/>
        </w:rPr>
        <w:footnoteRef/>
      </w:r>
      <w:r w:rsidRPr="00AC40CD">
        <w:rPr>
          <w:rStyle w:val="IGindeksgrny"/>
        </w:rPr>
        <w:t>)</w:t>
      </w:r>
      <w:r w:rsidRPr="004A6378">
        <w:t xml:space="preserve"> Dane Urzędu Lotnictwa Cywilnego na podstawie informacji uzyskanych z portów lotniczych, Warszawa, marzec 2019 (</w:t>
      </w:r>
      <w:hyperlink r:id="rId2" w:history="1">
        <w:r w:rsidR="007702C0" w:rsidRPr="00D2422C">
          <w:rPr>
            <w:rStyle w:val="Hipercze"/>
          </w:rPr>
          <w:t>https://www.ulc.gov.pl/_download/regulacja_rynku/statystyki/2018/4-kw-2018/wg_portow_lotniczych_kw42018.pdf</w:t>
        </w:r>
      </w:hyperlink>
      <w:r w:rsidR="007702C0">
        <w:t>)</w:t>
      </w:r>
    </w:p>
  </w:footnote>
  <w:footnote w:id="7">
    <w:p w14:paraId="3862210E" w14:textId="60327EFA" w:rsidR="0099148C" w:rsidRDefault="0099148C" w:rsidP="00AC40CD">
      <w:pPr>
        <w:pStyle w:val="ODNONIKtreodnonika"/>
      </w:pPr>
      <w:r w:rsidRPr="004A6378">
        <w:rPr>
          <w:rStyle w:val="Odwoanieprzypisudolnego"/>
          <w:sz w:val="18"/>
          <w:szCs w:val="18"/>
        </w:rPr>
        <w:footnoteRef/>
      </w:r>
      <w:r w:rsidRPr="00AC40CD">
        <w:rPr>
          <w:rStyle w:val="IGindeksgrny"/>
        </w:rPr>
        <w:t xml:space="preserve">) </w:t>
      </w:r>
      <w:r w:rsidRPr="004A6378">
        <w:t>Program rozwoju polskich portów morskich do roku 2020 (z perspektywą do 2030 roku), MGMiŻŚ, Warszawa 2017 (</w:t>
      </w:r>
      <w:hyperlink r:id="rId3" w:history="1">
        <w:r w:rsidR="007702C0" w:rsidRPr="00D2422C">
          <w:rPr>
            <w:rStyle w:val="Hipercze"/>
          </w:rPr>
          <w:t>https://www.gov.pl/documents/528248/541918/PROGRAM_PRPM_26112018.pdf/917baba4-8f73-1d3d-1f63-8446b0c41145</w:t>
        </w:r>
      </w:hyperlink>
      <w:r w:rsidR="007702C0">
        <w:t xml:space="preserve"> </w:t>
      </w:r>
      <w:r w:rsidRPr="004A6378">
        <w:t>)</w:t>
      </w:r>
    </w:p>
  </w:footnote>
  <w:footnote w:id="8">
    <w:p w14:paraId="279AF266" w14:textId="26056868" w:rsidR="0099148C" w:rsidRPr="00CC720E" w:rsidRDefault="0099148C" w:rsidP="00AC40CD">
      <w:pPr>
        <w:pStyle w:val="ODNONIKtreodnonika"/>
      </w:pPr>
      <w:r w:rsidRPr="00AC40CD">
        <w:rPr>
          <w:rStyle w:val="IGindeksgrny"/>
        </w:rPr>
        <w:footnoteRef/>
      </w:r>
      <w:r w:rsidRPr="00AC40CD">
        <w:rPr>
          <w:rStyle w:val="IGindeksgrny"/>
        </w:rPr>
        <w:t>)</w:t>
      </w:r>
      <w:r w:rsidRPr="00CC720E">
        <w:t xml:space="preserve"> Miesięczna informacja o podmiotach gospodarki narodowej w rejestrze REGON sierpień 2019, GUS (</w:t>
      </w:r>
      <w:hyperlink r:id="rId4" w:history="1">
        <w:r w:rsidR="007702C0" w:rsidRPr="00D2422C">
          <w:rPr>
            <w:rStyle w:val="Hipercze"/>
          </w:rPr>
          <w:t>https://stat.gov.pl/obszary-tematyczne/podmioty-gospodarcze-wyniki-finansowe/zmiany-strukturalne-grup-podmiotow/miesieczna-informacja-o-podmiotach-gospodarki-narodowej-w-rejestrze-regon-sierpien-2019,4,26.html</w:t>
        </w:r>
      </w:hyperlink>
      <w:r w:rsidRPr="00CC720E">
        <w:t>)</w:t>
      </w:r>
    </w:p>
  </w:footnote>
  <w:footnote w:id="9">
    <w:p w14:paraId="7E520480" w14:textId="0A28AEA0" w:rsidR="0099148C" w:rsidRPr="00CC720E" w:rsidRDefault="0099148C" w:rsidP="00AC40CD">
      <w:pPr>
        <w:pStyle w:val="ODNONIKtreodnonika"/>
      </w:pPr>
      <w:r w:rsidRPr="00AC40CD">
        <w:rPr>
          <w:rStyle w:val="IGindeksgrny"/>
        </w:rPr>
        <w:footnoteRef/>
      </w:r>
      <w:r w:rsidRPr="00AC40CD">
        <w:rPr>
          <w:rStyle w:val="IGindeksgrny"/>
        </w:rPr>
        <w:t>)</w:t>
      </w:r>
      <w:r w:rsidRPr="00CC720E">
        <w:t xml:space="preserve"> Miesięczna informacja o podmiotach gospodarki narodowej w rejestrze REGON sierpień 2019, GUS (</w:t>
      </w:r>
      <w:hyperlink r:id="rId5" w:history="1">
        <w:r w:rsidR="007702C0" w:rsidRPr="00D2422C">
          <w:rPr>
            <w:rStyle w:val="Hipercze"/>
          </w:rPr>
          <w:t>https://stat.gov.pl/obszary-tematyczne/podmioty-gospodarcze-wyniki-finansowe/zmiany-strukturalne-grup-podmiotow/miesieczna-informacja-o-podmiotach-gospodarki-narodowej-w-rejestrze-regon-sierpien-2019,4,26.html</w:t>
        </w:r>
      </w:hyperlink>
      <w:r w:rsidRPr="00CC720E">
        <w:t>)</w:t>
      </w:r>
      <w:r w:rsidR="007702C0">
        <w:t xml:space="preserve"> </w:t>
      </w:r>
    </w:p>
  </w:footnote>
  <w:footnote w:id="10">
    <w:p w14:paraId="2B838D59" w14:textId="287793C7" w:rsidR="0099148C" w:rsidRPr="00CC720E" w:rsidRDefault="0099148C" w:rsidP="00AC40CD">
      <w:pPr>
        <w:pStyle w:val="ODNONIKtreodnonika"/>
      </w:pPr>
      <w:r w:rsidRPr="00AC40CD">
        <w:rPr>
          <w:rStyle w:val="IGindeksgrny"/>
        </w:rPr>
        <w:footnoteRef/>
      </w:r>
      <w:r w:rsidRPr="00AC40CD">
        <w:rPr>
          <w:rStyle w:val="IGindeksgrny"/>
        </w:rPr>
        <w:t>)</w:t>
      </w:r>
      <w:r w:rsidRPr="00CC720E">
        <w:t xml:space="preserve"> Miesięczna informacja o podmiotach gospodarki narodowej w rejestrze REGON sierpień 2019, GUS (https://stat.gov.pl/obszary-tematyczne/podmioty-gospodarcze-wyniki-finansowe/zmiany-strukturalne-grup-podmiotow/miesieczna-informacja-o-podmiotach-gospodarki-narodowej-w-rejestrze-regon-sierpien-2019,4,26.html)</w:t>
      </w:r>
    </w:p>
  </w:footnote>
  <w:footnote w:id="11">
    <w:p w14:paraId="70D26A11" w14:textId="0E6D01E7" w:rsidR="0099148C" w:rsidRDefault="0099148C" w:rsidP="00AC40CD">
      <w:pPr>
        <w:pStyle w:val="ODNONIKtreodnonika"/>
      </w:pPr>
      <w:r w:rsidRPr="00AC40CD">
        <w:rPr>
          <w:rStyle w:val="IGindeksgrny"/>
        </w:rPr>
        <w:footnoteRef/>
      </w:r>
      <w:r w:rsidRPr="00AC40CD">
        <w:rPr>
          <w:rStyle w:val="IGindeksgrny"/>
        </w:rPr>
        <w:t xml:space="preserve">) </w:t>
      </w:r>
      <w:r w:rsidRPr="00CC720E">
        <w:t>Miesięczna informacja o podmiotach gospodarki narodowej w rejestrze REGON sierpień 2019, GUS (https://stat.gov.pl/obszary-tematyczne/podmioty-gospodarcze-wyniki-finansowe/zmiany-strukturalne-grup-podmiotow/miesieczna-informacja-o-podmiotach-gospodarki-narodowej-w-rejestrze-regon-sierpien-2019,4,26.html)</w:t>
      </w:r>
    </w:p>
  </w:footnote>
  <w:footnote w:id="12">
    <w:p w14:paraId="533C0D1A" w14:textId="77777777" w:rsidR="0099148C" w:rsidRPr="00CC720E" w:rsidRDefault="0099148C" w:rsidP="00486AAC">
      <w:pPr>
        <w:rPr>
          <w:sz w:val="18"/>
          <w:szCs w:val="18"/>
        </w:rPr>
      </w:pPr>
      <w:r w:rsidRPr="00CC720E">
        <w:rPr>
          <w:rStyle w:val="Odwoanieprzypisudolnego"/>
          <w:sz w:val="18"/>
          <w:szCs w:val="18"/>
        </w:rPr>
        <w:footnoteRef/>
      </w:r>
      <w:r w:rsidRPr="00CC720E">
        <w:rPr>
          <w:sz w:val="18"/>
          <w:szCs w:val="18"/>
        </w:rPr>
        <w:t xml:space="preserve"> Por: Europejski Portal Danych (</w:t>
      </w:r>
      <w:hyperlink r:id="rId6" w:history="1">
        <w:r w:rsidRPr="00CC720E">
          <w:rPr>
            <w:rStyle w:val="Hipercze"/>
            <w:sz w:val="18"/>
            <w:szCs w:val="18"/>
          </w:rPr>
          <w:t>https://www.europeandataportal.eu/pl/using-data/benefits-of-open-data</w:t>
        </w:r>
      </w:hyperlink>
      <w:r w:rsidRPr="00CC720E">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3B041" w14:textId="1E2C1E09" w:rsidR="0099148C" w:rsidRPr="00B371CC" w:rsidRDefault="0099148C" w:rsidP="00B371CC">
    <w:pPr>
      <w:pStyle w:val="Nagwek"/>
      <w:jc w:val="center"/>
    </w:pPr>
    <w:r>
      <w:t xml:space="preserve">– </w:t>
    </w:r>
    <w:r>
      <w:fldChar w:fldCharType="begin"/>
    </w:r>
    <w:r>
      <w:instrText xml:space="preserve"> PAGE  \* MERGEFORMAT </w:instrText>
    </w:r>
    <w:r>
      <w:fldChar w:fldCharType="separate"/>
    </w:r>
    <w:r w:rsidR="00D55E33">
      <w:rPr>
        <w:noProof/>
      </w:rPr>
      <w:t>21</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97C32"/>
    <w:multiLevelType w:val="hybridMultilevel"/>
    <w:tmpl w:val="D5EC3E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29D5CB4"/>
    <w:multiLevelType w:val="hybridMultilevel"/>
    <w:tmpl w:val="B3BE30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DBC"/>
    <w:rsid w:val="000012DA"/>
    <w:rsid w:val="0000246E"/>
    <w:rsid w:val="00003862"/>
    <w:rsid w:val="00007266"/>
    <w:rsid w:val="00012A35"/>
    <w:rsid w:val="00016099"/>
    <w:rsid w:val="00017DC2"/>
    <w:rsid w:val="00021522"/>
    <w:rsid w:val="00023471"/>
    <w:rsid w:val="00023F13"/>
    <w:rsid w:val="00030634"/>
    <w:rsid w:val="000319C1"/>
    <w:rsid w:val="00031A8B"/>
    <w:rsid w:val="00031BCA"/>
    <w:rsid w:val="00032CAA"/>
    <w:rsid w:val="000330FA"/>
    <w:rsid w:val="0003362F"/>
    <w:rsid w:val="00036B63"/>
    <w:rsid w:val="00037E1A"/>
    <w:rsid w:val="00043495"/>
    <w:rsid w:val="00046A75"/>
    <w:rsid w:val="00047312"/>
    <w:rsid w:val="000508BD"/>
    <w:rsid w:val="000517AB"/>
    <w:rsid w:val="0005339C"/>
    <w:rsid w:val="0005571B"/>
    <w:rsid w:val="00057AB3"/>
    <w:rsid w:val="00060076"/>
    <w:rsid w:val="00060432"/>
    <w:rsid w:val="00060D87"/>
    <w:rsid w:val="000615A5"/>
    <w:rsid w:val="00064E4C"/>
    <w:rsid w:val="00066901"/>
    <w:rsid w:val="00071BEE"/>
    <w:rsid w:val="00072A7A"/>
    <w:rsid w:val="000736CD"/>
    <w:rsid w:val="0007533B"/>
    <w:rsid w:val="0007545D"/>
    <w:rsid w:val="000760BF"/>
    <w:rsid w:val="0007613E"/>
    <w:rsid w:val="00076BFC"/>
    <w:rsid w:val="000814A7"/>
    <w:rsid w:val="0008557B"/>
    <w:rsid w:val="00085CE7"/>
    <w:rsid w:val="000906EE"/>
    <w:rsid w:val="00091BA2"/>
    <w:rsid w:val="00093AB8"/>
    <w:rsid w:val="000944EF"/>
    <w:rsid w:val="00094F46"/>
    <w:rsid w:val="0009732D"/>
    <w:rsid w:val="000973F0"/>
    <w:rsid w:val="000A1296"/>
    <w:rsid w:val="000A1C27"/>
    <w:rsid w:val="000A1DAD"/>
    <w:rsid w:val="000A2649"/>
    <w:rsid w:val="000A323B"/>
    <w:rsid w:val="000A67D7"/>
    <w:rsid w:val="000A7C50"/>
    <w:rsid w:val="000B298D"/>
    <w:rsid w:val="000B5B2D"/>
    <w:rsid w:val="000B5DCE"/>
    <w:rsid w:val="000B65DB"/>
    <w:rsid w:val="000C05BA"/>
    <w:rsid w:val="000C0E8F"/>
    <w:rsid w:val="000C1E62"/>
    <w:rsid w:val="000C4BC4"/>
    <w:rsid w:val="000D0110"/>
    <w:rsid w:val="000D2468"/>
    <w:rsid w:val="000D318A"/>
    <w:rsid w:val="000D3D7A"/>
    <w:rsid w:val="000D6173"/>
    <w:rsid w:val="000D6F83"/>
    <w:rsid w:val="000E25CC"/>
    <w:rsid w:val="000E2CDF"/>
    <w:rsid w:val="000E3694"/>
    <w:rsid w:val="000E490F"/>
    <w:rsid w:val="000E6241"/>
    <w:rsid w:val="000F226F"/>
    <w:rsid w:val="000F2BE3"/>
    <w:rsid w:val="000F3D0D"/>
    <w:rsid w:val="000F5503"/>
    <w:rsid w:val="000F6ED4"/>
    <w:rsid w:val="000F7A6E"/>
    <w:rsid w:val="001042BA"/>
    <w:rsid w:val="00106D03"/>
    <w:rsid w:val="00110465"/>
    <w:rsid w:val="00110628"/>
    <w:rsid w:val="0011245A"/>
    <w:rsid w:val="0011493E"/>
    <w:rsid w:val="00115B72"/>
    <w:rsid w:val="00115F6D"/>
    <w:rsid w:val="001165FD"/>
    <w:rsid w:val="001209EC"/>
    <w:rsid w:val="00120A9E"/>
    <w:rsid w:val="00125A9C"/>
    <w:rsid w:val="001270A2"/>
    <w:rsid w:val="00131237"/>
    <w:rsid w:val="001329AC"/>
    <w:rsid w:val="00134CA0"/>
    <w:rsid w:val="0014026F"/>
    <w:rsid w:val="00147A47"/>
    <w:rsid w:val="00147A96"/>
    <w:rsid w:val="00147AA1"/>
    <w:rsid w:val="001520CF"/>
    <w:rsid w:val="0015667C"/>
    <w:rsid w:val="00157110"/>
    <w:rsid w:val="0015742A"/>
    <w:rsid w:val="00157DA1"/>
    <w:rsid w:val="00163147"/>
    <w:rsid w:val="00164C57"/>
    <w:rsid w:val="00164C9D"/>
    <w:rsid w:val="00164DA6"/>
    <w:rsid w:val="00172F7A"/>
    <w:rsid w:val="00173150"/>
    <w:rsid w:val="00173390"/>
    <w:rsid w:val="001736F0"/>
    <w:rsid w:val="00173BB3"/>
    <w:rsid w:val="001740D0"/>
    <w:rsid w:val="00174F2C"/>
    <w:rsid w:val="00180F2A"/>
    <w:rsid w:val="00184B91"/>
    <w:rsid w:val="00184D4A"/>
    <w:rsid w:val="00186EC1"/>
    <w:rsid w:val="00191E1F"/>
    <w:rsid w:val="0019473B"/>
    <w:rsid w:val="001952B1"/>
    <w:rsid w:val="00196E39"/>
    <w:rsid w:val="00197649"/>
    <w:rsid w:val="00197B1B"/>
    <w:rsid w:val="001A01FB"/>
    <w:rsid w:val="001A0614"/>
    <w:rsid w:val="001A10E9"/>
    <w:rsid w:val="001A183D"/>
    <w:rsid w:val="001A2B65"/>
    <w:rsid w:val="001A3CD3"/>
    <w:rsid w:val="001A5BEF"/>
    <w:rsid w:val="001A7F15"/>
    <w:rsid w:val="001B342E"/>
    <w:rsid w:val="001B643A"/>
    <w:rsid w:val="001C1832"/>
    <w:rsid w:val="001C188C"/>
    <w:rsid w:val="001D1783"/>
    <w:rsid w:val="001D53CD"/>
    <w:rsid w:val="001D55A3"/>
    <w:rsid w:val="001D5AF5"/>
    <w:rsid w:val="001D74DE"/>
    <w:rsid w:val="001E1E73"/>
    <w:rsid w:val="001E4E0C"/>
    <w:rsid w:val="001E526D"/>
    <w:rsid w:val="001E5655"/>
    <w:rsid w:val="001F1832"/>
    <w:rsid w:val="001F220F"/>
    <w:rsid w:val="001F25B3"/>
    <w:rsid w:val="001F6616"/>
    <w:rsid w:val="00202BD4"/>
    <w:rsid w:val="00204A97"/>
    <w:rsid w:val="00205CCD"/>
    <w:rsid w:val="002114EF"/>
    <w:rsid w:val="00213158"/>
    <w:rsid w:val="002131A7"/>
    <w:rsid w:val="002166AD"/>
    <w:rsid w:val="00217871"/>
    <w:rsid w:val="00221ED8"/>
    <w:rsid w:val="002231EA"/>
    <w:rsid w:val="00223FDF"/>
    <w:rsid w:val="002279C0"/>
    <w:rsid w:val="0023727E"/>
    <w:rsid w:val="00241E84"/>
    <w:rsid w:val="00242081"/>
    <w:rsid w:val="00243777"/>
    <w:rsid w:val="002441CD"/>
    <w:rsid w:val="002501A3"/>
    <w:rsid w:val="0025166C"/>
    <w:rsid w:val="002555D4"/>
    <w:rsid w:val="00261A16"/>
    <w:rsid w:val="00262F88"/>
    <w:rsid w:val="00263522"/>
    <w:rsid w:val="00264EC6"/>
    <w:rsid w:val="00271013"/>
    <w:rsid w:val="00273FA1"/>
    <w:rsid w:val="00273FE4"/>
    <w:rsid w:val="00275C04"/>
    <w:rsid w:val="002765B4"/>
    <w:rsid w:val="00276A94"/>
    <w:rsid w:val="00291776"/>
    <w:rsid w:val="0029405D"/>
    <w:rsid w:val="00294FA6"/>
    <w:rsid w:val="00295A6F"/>
    <w:rsid w:val="002A20C4"/>
    <w:rsid w:val="002A570F"/>
    <w:rsid w:val="002A7292"/>
    <w:rsid w:val="002A7358"/>
    <w:rsid w:val="002A7902"/>
    <w:rsid w:val="002B0F6B"/>
    <w:rsid w:val="002B23B8"/>
    <w:rsid w:val="002B4429"/>
    <w:rsid w:val="002B4F00"/>
    <w:rsid w:val="002B68A6"/>
    <w:rsid w:val="002B77E1"/>
    <w:rsid w:val="002B7FAF"/>
    <w:rsid w:val="002D0C4F"/>
    <w:rsid w:val="002D1364"/>
    <w:rsid w:val="002D4D30"/>
    <w:rsid w:val="002D5000"/>
    <w:rsid w:val="002D5827"/>
    <w:rsid w:val="002D598D"/>
    <w:rsid w:val="002D7188"/>
    <w:rsid w:val="002E0A8C"/>
    <w:rsid w:val="002E1B04"/>
    <w:rsid w:val="002E1DE3"/>
    <w:rsid w:val="002E26FC"/>
    <w:rsid w:val="002E2AB6"/>
    <w:rsid w:val="002E3F34"/>
    <w:rsid w:val="002E5F79"/>
    <w:rsid w:val="002E64FA"/>
    <w:rsid w:val="002F0A00"/>
    <w:rsid w:val="002F0CFA"/>
    <w:rsid w:val="002F669F"/>
    <w:rsid w:val="00301C97"/>
    <w:rsid w:val="00306A38"/>
    <w:rsid w:val="0031004C"/>
    <w:rsid w:val="003105F6"/>
    <w:rsid w:val="00311297"/>
    <w:rsid w:val="003113BE"/>
    <w:rsid w:val="003122CA"/>
    <w:rsid w:val="003148FD"/>
    <w:rsid w:val="00321080"/>
    <w:rsid w:val="00322D45"/>
    <w:rsid w:val="0032569A"/>
    <w:rsid w:val="00325A1F"/>
    <w:rsid w:val="003268F9"/>
    <w:rsid w:val="003272B1"/>
    <w:rsid w:val="00330BAF"/>
    <w:rsid w:val="00334E3A"/>
    <w:rsid w:val="003361DD"/>
    <w:rsid w:val="0033750C"/>
    <w:rsid w:val="00341599"/>
    <w:rsid w:val="00341A6A"/>
    <w:rsid w:val="00345B9C"/>
    <w:rsid w:val="00351B5F"/>
    <w:rsid w:val="00352DAE"/>
    <w:rsid w:val="00354EB9"/>
    <w:rsid w:val="00356FAE"/>
    <w:rsid w:val="003602AE"/>
    <w:rsid w:val="00360929"/>
    <w:rsid w:val="003647D5"/>
    <w:rsid w:val="0036702A"/>
    <w:rsid w:val="003674B0"/>
    <w:rsid w:val="0037727C"/>
    <w:rsid w:val="00377E70"/>
    <w:rsid w:val="00380904"/>
    <w:rsid w:val="003823EE"/>
    <w:rsid w:val="00382960"/>
    <w:rsid w:val="003846F7"/>
    <w:rsid w:val="003851ED"/>
    <w:rsid w:val="00385B39"/>
    <w:rsid w:val="00386785"/>
    <w:rsid w:val="00390E89"/>
    <w:rsid w:val="00391B1A"/>
    <w:rsid w:val="00394423"/>
    <w:rsid w:val="00396942"/>
    <w:rsid w:val="00396B49"/>
    <w:rsid w:val="00396E3E"/>
    <w:rsid w:val="003A306E"/>
    <w:rsid w:val="003A460E"/>
    <w:rsid w:val="003A60DC"/>
    <w:rsid w:val="003A6A46"/>
    <w:rsid w:val="003A7A63"/>
    <w:rsid w:val="003B000C"/>
    <w:rsid w:val="003B0F1D"/>
    <w:rsid w:val="003B4A57"/>
    <w:rsid w:val="003B5BE6"/>
    <w:rsid w:val="003B7F7E"/>
    <w:rsid w:val="003C0AD9"/>
    <w:rsid w:val="003C0ED0"/>
    <w:rsid w:val="003C1D49"/>
    <w:rsid w:val="003C35C4"/>
    <w:rsid w:val="003D12C2"/>
    <w:rsid w:val="003D31B9"/>
    <w:rsid w:val="003D3867"/>
    <w:rsid w:val="003E0D1A"/>
    <w:rsid w:val="003E2DA3"/>
    <w:rsid w:val="003F020D"/>
    <w:rsid w:val="003F03D9"/>
    <w:rsid w:val="003F2FBE"/>
    <w:rsid w:val="003F318D"/>
    <w:rsid w:val="003F5BAE"/>
    <w:rsid w:val="003F6ED7"/>
    <w:rsid w:val="0040178F"/>
    <w:rsid w:val="00401C84"/>
    <w:rsid w:val="00403210"/>
    <w:rsid w:val="004035BB"/>
    <w:rsid w:val="004035EB"/>
    <w:rsid w:val="00407332"/>
    <w:rsid w:val="00407828"/>
    <w:rsid w:val="00410CBA"/>
    <w:rsid w:val="0041233C"/>
    <w:rsid w:val="00413D8E"/>
    <w:rsid w:val="004140F2"/>
    <w:rsid w:val="00417B22"/>
    <w:rsid w:val="00421085"/>
    <w:rsid w:val="004211A6"/>
    <w:rsid w:val="00421A4A"/>
    <w:rsid w:val="00421E18"/>
    <w:rsid w:val="0042465E"/>
    <w:rsid w:val="00424D78"/>
    <w:rsid w:val="00424DF7"/>
    <w:rsid w:val="00432B76"/>
    <w:rsid w:val="00434D01"/>
    <w:rsid w:val="00435D26"/>
    <w:rsid w:val="00440C99"/>
    <w:rsid w:val="0044175C"/>
    <w:rsid w:val="00443B84"/>
    <w:rsid w:val="004448B5"/>
    <w:rsid w:val="00445F4D"/>
    <w:rsid w:val="004504C0"/>
    <w:rsid w:val="004550FB"/>
    <w:rsid w:val="0046111A"/>
    <w:rsid w:val="00462946"/>
    <w:rsid w:val="00463F43"/>
    <w:rsid w:val="00464B94"/>
    <w:rsid w:val="004653A8"/>
    <w:rsid w:val="00465A0B"/>
    <w:rsid w:val="00467432"/>
    <w:rsid w:val="0047077C"/>
    <w:rsid w:val="00470B05"/>
    <w:rsid w:val="0047207C"/>
    <w:rsid w:val="00472CD6"/>
    <w:rsid w:val="00474E3C"/>
    <w:rsid w:val="00480A58"/>
    <w:rsid w:val="00482151"/>
    <w:rsid w:val="00485FAD"/>
    <w:rsid w:val="00486AAC"/>
    <w:rsid w:val="00487AED"/>
    <w:rsid w:val="00491EDF"/>
    <w:rsid w:val="00492A3F"/>
    <w:rsid w:val="00494F62"/>
    <w:rsid w:val="00494F8C"/>
    <w:rsid w:val="004A2001"/>
    <w:rsid w:val="004A3590"/>
    <w:rsid w:val="004B00A7"/>
    <w:rsid w:val="004B25E2"/>
    <w:rsid w:val="004B33B7"/>
    <w:rsid w:val="004B34D7"/>
    <w:rsid w:val="004B5037"/>
    <w:rsid w:val="004B5B2F"/>
    <w:rsid w:val="004B626A"/>
    <w:rsid w:val="004B660E"/>
    <w:rsid w:val="004C05BD"/>
    <w:rsid w:val="004C3B06"/>
    <w:rsid w:val="004C3F97"/>
    <w:rsid w:val="004C7EE7"/>
    <w:rsid w:val="004D2DEE"/>
    <w:rsid w:val="004D2E1F"/>
    <w:rsid w:val="004D7FD9"/>
    <w:rsid w:val="004E1324"/>
    <w:rsid w:val="004E19A5"/>
    <w:rsid w:val="004E37E5"/>
    <w:rsid w:val="004E3FDB"/>
    <w:rsid w:val="004E6675"/>
    <w:rsid w:val="004F1F4A"/>
    <w:rsid w:val="004F296D"/>
    <w:rsid w:val="004F508B"/>
    <w:rsid w:val="004F695F"/>
    <w:rsid w:val="004F6CA4"/>
    <w:rsid w:val="00500752"/>
    <w:rsid w:val="00501A50"/>
    <w:rsid w:val="0050222D"/>
    <w:rsid w:val="00502383"/>
    <w:rsid w:val="00503AF3"/>
    <w:rsid w:val="0050696D"/>
    <w:rsid w:val="005073C7"/>
    <w:rsid w:val="0051094B"/>
    <w:rsid w:val="005110D7"/>
    <w:rsid w:val="00511D99"/>
    <w:rsid w:val="005128D3"/>
    <w:rsid w:val="005147E8"/>
    <w:rsid w:val="005158F2"/>
    <w:rsid w:val="00526DFC"/>
    <w:rsid w:val="00526F43"/>
    <w:rsid w:val="00527651"/>
    <w:rsid w:val="005363AB"/>
    <w:rsid w:val="00544907"/>
    <w:rsid w:val="00544EF4"/>
    <w:rsid w:val="0054565C"/>
    <w:rsid w:val="00545E53"/>
    <w:rsid w:val="005479D9"/>
    <w:rsid w:val="005572BD"/>
    <w:rsid w:val="00557A12"/>
    <w:rsid w:val="0056090F"/>
    <w:rsid w:val="00560AC7"/>
    <w:rsid w:val="00561AFB"/>
    <w:rsid w:val="00561FA8"/>
    <w:rsid w:val="005635ED"/>
    <w:rsid w:val="00565253"/>
    <w:rsid w:val="00570191"/>
    <w:rsid w:val="00570570"/>
    <w:rsid w:val="00572512"/>
    <w:rsid w:val="00573EE6"/>
    <w:rsid w:val="0057547F"/>
    <w:rsid w:val="005754EE"/>
    <w:rsid w:val="0057617E"/>
    <w:rsid w:val="00576497"/>
    <w:rsid w:val="005835E7"/>
    <w:rsid w:val="0058397F"/>
    <w:rsid w:val="00583BF8"/>
    <w:rsid w:val="00585F33"/>
    <w:rsid w:val="00591124"/>
    <w:rsid w:val="00597024"/>
    <w:rsid w:val="005A0274"/>
    <w:rsid w:val="005A095C"/>
    <w:rsid w:val="005A669D"/>
    <w:rsid w:val="005A75D8"/>
    <w:rsid w:val="005B713E"/>
    <w:rsid w:val="005C03B6"/>
    <w:rsid w:val="005C348E"/>
    <w:rsid w:val="005C3CB8"/>
    <w:rsid w:val="005C68E1"/>
    <w:rsid w:val="005C6EBA"/>
    <w:rsid w:val="005D3763"/>
    <w:rsid w:val="005D55E1"/>
    <w:rsid w:val="005E19F7"/>
    <w:rsid w:val="005E4F04"/>
    <w:rsid w:val="005E62C2"/>
    <w:rsid w:val="005E6C71"/>
    <w:rsid w:val="005F0963"/>
    <w:rsid w:val="005F2824"/>
    <w:rsid w:val="005F2EBA"/>
    <w:rsid w:val="005F35ED"/>
    <w:rsid w:val="005F7812"/>
    <w:rsid w:val="005F7A88"/>
    <w:rsid w:val="00603A1A"/>
    <w:rsid w:val="006046D5"/>
    <w:rsid w:val="00606577"/>
    <w:rsid w:val="00607A93"/>
    <w:rsid w:val="00610C08"/>
    <w:rsid w:val="00611F74"/>
    <w:rsid w:val="00615772"/>
    <w:rsid w:val="006178B0"/>
    <w:rsid w:val="00621256"/>
    <w:rsid w:val="00621FCC"/>
    <w:rsid w:val="00622E4B"/>
    <w:rsid w:val="0063061F"/>
    <w:rsid w:val="006333DA"/>
    <w:rsid w:val="00635134"/>
    <w:rsid w:val="006356E2"/>
    <w:rsid w:val="00642A65"/>
    <w:rsid w:val="00645DCE"/>
    <w:rsid w:val="006465AC"/>
    <w:rsid w:val="006465BF"/>
    <w:rsid w:val="00653B22"/>
    <w:rsid w:val="00657BF4"/>
    <w:rsid w:val="006603FB"/>
    <w:rsid w:val="006608DF"/>
    <w:rsid w:val="006623AC"/>
    <w:rsid w:val="006678AF"/>
    <w:rsid w:val="006701EF"/>
    <w:rsid w:val="00673BA5"/>
    <w:rsid w:val="00680058"/>
    <w:rsid w:val="00680621"/>
    <w:rsid w:val="00681F9F"/>
    <w:rsid w:val="006840EA"/>
    <w:rsid w:val="006844E2"/>
    <w:rsid w:val="00685267"/>
    <w:rsid w:val="006872AE"/>
    <w:rsid w:val="00690082"/>
    <w:rsid w:val="00690252"/>
    <w:rsid w:val="006946BB"/>
    <w:rsid w:val="006969FA"/>
    <w:rsid w:val="006A35D5"/>
    <w:rsid w:val="006A748A"/>
    <w:rsid w:val="006C419E"/>
    <w:rsid w:val="006C4A31"/>
    <w:rsid w:val="006C5AC2"/>
    <w:rsid w:val="006C6AFB"/>
    <w:rsid w:val="006D2735"/>
    <w:rsid w:val="006D45B2"/>
    <w:rsid w:val="006E0FCC"/>
    <w:rsid w:val="006E1E96"/>
    <w:rsid w:val="006E5E21"/>
    <w:rsid w:val="006E6FC1"/>
    <w:rsid w:val="006F2648"/>
    <w:rsid w:val="006F2F10"/>
    <w:rsid w:val="006F482B"/>
    <w:rsid w:val="006F6311"/>
    <w:rsid w:val="00701952"/>
    <w:rsid w:val="00702556"/>
    <w:rsid w:val="0070277E"/>
    <w:rsid w:val="00704156"/>
    <w:rsid w:val="007061B9"/>
    <w:rsid w:val="007069FC"/>
    <w:rsid w:val="00711221"/>
    <w:rsid w:val="00712675"/>
    <w:rsid w:val="00713808"/>
    <w:rsid w:val="007151B6"/>
    <w:rsid w:val="0071520D"/>
    <w:rsid w:val="00715EDB"/>
    <w:rsid w:val="007160D5"/>
    <w:rsid w:val="007163FB"/>
    <w:rsid w:val="00717C2E"/>
    <w:rsid w:val="00717E56"/>
    <w:rsid w:val="007204FA"/>
    <w:rsid w:val="007213B3"/>
    <w:rsid w:val="0072457F"/>
    <w:rsid w:val="00725406"/>
    <w:rsid w:val="0072621B"/>
    <w:rsid w:val="00730555"/>
    <w:rsid w:val="007312CC"/>
    <w:rsid w:val="00736A64"/>
    <w:rsid w:val="00737F6A"/>
    <w:rsid w:val="00740650"/>
    <w:rsid w:val="007410B6"/>
    <w:rsid w:val="007438F3"/>
    <w:rsid w:val="00744C6F"/>
    <w:rsid w:val="007457F6"/>
    <w:rsid w:val="00745ABB"/>
    <w:rsid w:val="00746E38"/>
    <w:rsid w:val="007471CB"/>
    <w:rsid w:val="00747CD5"/>
    <w:rsid w:val="00753B51"/>
    <w:rsid w:val="00756629"/>
    <w:rsid w:val="007575D2"/>
    <w:rsid w:val="00757B4F"/>
    <w:rsid w:val="00757B6A"/>
    <w:rsid w:val="007610E0"/>
    <w:rsid w:val="007621AA"/>
    <w:rsid w:val="0076260A"/>
    <w:rsid w:val="00764A67"/>
    <w:rsid w:val="00765DE3"/>
    <w:rsid w:val="007702C0"/>
    <w:rsid w:val="00770F6B"/>
    <w:rsid w:val="00771883"/>
    <w:rsid w:val="00775BA6"/>
    <w:rsid w:val="00776DC2"/>
    <w:rsid w:val="007800BB"/>
    <w:rsid w:val="00780122"/>
    <w:rsid w:val="0078214B"/>
    <w:rsid w:val="0078498A"/>
    <w:rsid w:val="007878FE"/>
    <w:rsid w:val="00792207"/>
    <w:rsid w:val="00792B64"/>
    <w:rsid w:val="00792E29"/>
    <w:rsid w:val="0079379A"/>
    <w:rsid w:val="00794953"/>
    <w:rsid w:val="007A1F2F"/>
    <w:rsid w:val="007A2A5C"/>
    <w:rsid w:val="007A2BC6"/>
    <w:rsid w:val="007A5150"/>
    <w:rsid w:val="007A5373"/>
    <w:rsid w:val="007A789F"/>
    <w:rsid w:val="007B75BC"/>
    <w:rsid w:val="007C0BD6"/>
    <w:rsid w:val="007C3806"/>
    <w:rsid w:val="007C5BB7"/>
    <w:rsid w:val="007D07D5"/>
    <w:rsid w:val="007D0A60"/>
    <w:rsid w:val="007D0FF9"/>
    <w:rsid w:val="007D1C64"/>
    <w:rsid w:val="007D32DD"/>
    <w:rsid w:val="007D6DCE"/>
    <w:rsid w:val="007D72C4"/>
    <w:rsid w:val="007E2CFE"/>
    <w:rsid w:val="007E59C9"/>
    <w:rsid w:val="007E5EBD"/>
    <w:rsid w:val="007F0072"/>
    <w:rsid w:val="007F2EB6"/>
    <w:rsid w:val="007F54C3"/>
    <w:rsid w:val="00801563"/>
    <w:rsid w:val="00802949"/>
    <w:rsid w:val="0080301E"/>
    <w:rsid w:val="0080365F"/>
    <w:rsid w:val="00806350"/>
    <w:rsid w:val="00812BE5"/>
    <w:rsid w:val="00812D4D"/>
    <w:rsid w:val="00817429"/>
    <w:rsid w:val="00821514"/>
    <w:rsid w:val="00821E35"/>
    <w:rsid w:val="00823C4A"/>
    <w:rsid w:val="00824591"/>
    <w:rsid w:val="00824AED"/>
    <w:rsid w:val="00827113"/>
    <w:rsid w:val="00827820"/>
    <w:rsid w:val="00831B8B"/>
    <w:rsid w:val="0083405D"/>
    <w:rsid w:val="008352D4"/>
    <w:rsid w:val="00836C1E"/>
    <w:rsid w:val="00836DB9"/>
    <w:rsid w:val="00837C67"/>
    <w:rsid w:val="008415B0"/>
    <w:rsid w:val="00842028"/>
    <w:rsid w:val="008436B8"/>
    <w:rsid w:val="008460B6"/>
    <w:rsid w:val="00850C9D"/>
    <w:rsid w:val="00852B59"/>
    <w:rsid w:val="00856272"/>
    <w:rsid w:val="008563FF"/>
    <w:rsid w:val="0086018B"/>
    <w:rsid w:val="008611DD"/>
    <w:rsid w:val="008620DE"/>
    <w:rsid w:val="00866867"/>
    <w:rsid w:val="00866FE9"/>
    <w:rsid w:val="008703F9"/>
    <w:rsid w:val="00872257"/>
    <w:rsid w:val="00872CB4"/>
    <w:rsid w:val="008753E6"/>
    <w:rsid w:val="0087738C"/>
    <w:rsid w:val="008802AF"/>
    <w:rsid w:val="00880DBC"/>
    <w:rsid w:val="00881926"/>
    <w:rsid w:val="0088318F"/>
    <w:rsid w:val="0088331D"/>
    <w:rsid w:val="008852B0"/>
    <w:rsid w:val="00885AE7"/>
    <w:rsid w:val="00886B60"/>
    <w:rsid w:val="00887889"/>
    <w:rsid w:val="008920FF"/>
    <w:rsid w:val="008926E8"/>
    <w:rsid w:val="00894F19"/>
    <w:rsid w:val="00896A10"/>
    <w:rsid w:val="008971B5"/>
    <w:rsid w:val="008A5D26"/>
    <w:rsid w:val="008A6B13"/>
    <w:rsid w:val="008A6ECB"/>
    <w:rsid w:val="008B0BF9"/>
    <w:rsid w:val="008B2866"/>
    <w:rsid w:val="008B3859"/>
    <w:rsid w:val="008B436D"/>
    <w:rsid w:val="008B4E49"/>
    <w:rsid w:val="008B677D"/>
    <w:rsid w:val="008B7712"/>
    <w:rsid w:val="008B7B26"/>
    <w:rsid w:val="008C3524"/>
    <w:rsid w:val="008C3931"/>
    <w:rsid w:val="008C4061"/>
    <w:rsid w:val="008C4229"/>
    <w:rsid w:val="008C5BE0"/>
    <w:rsid w:val="008C7233"/>
    <w:rsid w:val="008D2434"/>
    <w:rsid w:val="008E171D"/>
    <w:rsid w:val="008E2785"/>
    <w:rsid w:val="008E78A3"/>
    <w:rsid w:val="008F0654"/>
    <w:rsid w:val="008F06CB"/>
    <w:rsid w:val="008F2E83"/>
    <w:rsid w:val="008F4F33"/>
    <w:rsid w:val="008F612A"/>
    <w:rsid w:val="0090293D"/>
    <w:rsid w:val="009034DE"/>
    <w:rsid w:val="00905396"/>
    <w:rsid w:val="0090605D"/>
    <w:rsid w:val="00906419"/>
    <w:rsid w:val="00912889"/>
    <w:rsid w:val="00913A42"/>
    <w:rsid w:val="00914167"/>
    <w:rsid w:val="009143DB"/>
    <w:rsid w:val="00915065"/>
    <w:rsid w:val="00917CE5"/>
    <w:rsid w:val="009217C0"/>
    <w:rsid w:val="00922F72"/>
    <w:rsid w:val="009237F9"/>
    <w:rsid w:val="00925241"/>
    <w:rsid w:val="00925CEC"/>
    <w:rsid w:val="00926A3F"/>
    <w:rsid w:val="0092794E"/>
    <w:rsid w:val="00930D30"/>
    <w:rsid w:val="009332A2"/>
    <w:rsid w:val="00933440"/>
    <w:rsid w:val="009344DA"/>
    <w:rsid w:val="00937598"/>
    <w:rsid w:val="0093790B"/>
    <w:rsid w:val="00942F98"/>
    <w:rsid w:val="00943751"/>
    <w:rsid w:val="00946DD0"/>
    <w:rsid w:val="009509E6"/>
    <w:rsid w:val="00952018"/>
    <w:rsid w:val="00952800"/>
    <w:rsid w:val="00952CA5"/>
    <w:rsid w:val="0095300D"/>
    <w:rsid w:val="00956812"/>
    <w:rsid w:val="0095719A"/>
    <w:rsid w:val="009623E9"/>
    <w:rsid w:val="00963EEB"/>
    <w:rsid w:val="0096457E"/>
    <w:rsid w:val="009648BC"/>
    <w:rsid w:val="00964C2F"/>
    <w:rsid w:val="00965F88"/>
    <w:rsid w:val="00970CAD"/>
    <w:rsid w:val="00975610"/>
    <w:rsid w:val="00984E03"/>
    <w:rsid w:val="00986069"/>
    <w:rsid w:val="00987E85"/>
    <w:rsid w:val="0099148C"/>
    <w:rsid w:val="00995AB6"/>
    <w:rsid w:val="009A0D12"/>
    <w:rsid w:val="009A1987"/>
    <w:rsid w:val="009A2BEE"/>
    <w:rsid w:val="009A4804"/>
    <w:rsid w:val="009A5289"/>
    <w:rsid w:val="009A7A53"/>
    <w:rsid w:val="009B0402"/>
    <w:rsid w:val="009B0B75"/>
    <w:rsid w:val="009B16DF"/>
    <w:rsid w:val="009B4CB2"/>
    <w:rsid w:val="009B5B2C"/>
    <w:rsid w:val="009B6701"/>
    <w:rsid w:val="009B6EF7"/>
    <w:rsid w:val="009B7000"/>
    <w:rsid w:val="009B739C"/>
    <w:rsid w:val="009C04EC"/>
    <w:rsid w:val="009C1E08"/>
    <w:rsid w:val="009C328C"/>
    <w:rsid w:val="009C4444"/>
    <w:rsid w:val="009C79AD"/>
    <w:rsid w:val="009C7CA6"/>
    <w:rsid w:val="009D3316"/>
    <w:rsid w:val="009D4A60"/>
    <w:rsid w:val="009D55AA"/>
    <w:rsid w:val="009E2490"/>
    <w:rsid w:val="009E3E77"/>
    <w:rsid w:val="009E3FAB"/>
    <w:rsid w:val="009E5B3F"/>
    <w:rsid w:val="009E7D90"/>
    <w:rsid w:val="009F1AB0"/>
    <w:rsid w:val="009F408A"/>
    <w:rsid w:val="009F501D"/>
    <w:rsid w:val="00A039D5"/>
    <w:rsid w:val="00A046AD"/>
    <w:rsid w:val="00A07008"/>
    <w:rsid w:val="00A079C1"/>
    <w:rsid w:val="00A12520"/>
    <w:rsid w:val="00A130FD"/>
    <w:rsid w:val="00A13D6D"/>
    <w:rsid w:val="00A14769"/>
    <w:rsid w:val="00A16151"/>
    <w:rsid w:val="00A16EC6"/>
    <w:rsid w:val="00A17C06"/>
    <w:rsid w:val="00A2126E"/>
    <w:rsid w:val="00A21706"/>
    <w:rsid w:val="00A24FCC"/>
    <w:rsid w:val="00A25CCC"/>
    <w:rsid w:val="00A26A90"/>
    <w:rsid w:val="00A26B27"/>
    <w:rsid w:val="00A30E4F"/>
    <w:rsid w:val="00A32253"/>
    <w:rsid w:val="00A3310E"/>
    <w:rsid w:val="00A333A0"/>
    <w:rsid w:val="00A35EF0"/>
    <w:rsid w:val="00A361D9"/>
    <w:rsid w:val="00A37E70"/>
    <w:rsid w:val="00A437E1"/>
    <w:rsid w:val="00A4685E"/>
    <w:rsid w:val="00A50CD4"/>
    <w:rsid w:val="00A51191"/>
    <w:rsid w:val="00A56D62"/>
    <w:rsid w:val="00A56F07"/>
    <w:rsid w:val="00A5762C"/>
    <w:rsid w:val="00A600FC"/>
    <w:rsid w:val="00A60BCA"/>
    <w:rsid w:val="00A638DA"/>
    <w:rsid w:val="00A65B41"/>
    <w:rsid w:val="00A65E00"/>
    <w:rsid w:val="00A66A78"/>
    <w:rsid w:val="00A7436E"/>
    <w:rsid w:val="00A74C80"/>
    <w:rsid w:val="00A74E96"/>
    <w:rsid w:val="00A75A8E"/>
    <w:rsid w:val="00A81F36"/>
    <w:rsid w:val="00A824DD"/>
    <w:rsid w:val="00A83676"/>
    <w:rsid w:val="00A83B7B"/>
    <w:rsid w:val="00A84274"/>
    <w:rsid w:val="00A850F3"/>
    <w:rsid w:val="00A864E3"/>
    <w:rsid w:val="00A94574"/>
    <w:rsid w:val="00A95936"/>
    <w:rsid w:val="00A96265"/>
    <w:rsid w:val="00A97084"/>
    <w:rsid w:val="00AA1C2C"/>
    <w:rsid w:val="00AA1E38"/>
    <w:rsid w:val="00AA35F6"/>
    <w:rsid w:val="00AA667C"/>
    <w:rsid w:val="00AA6E91"/>
    <w:rsid w:val="00AA7439"/>
    <w:rsid w:val="00AB047E"/>
    <w:rsid w:val="00AB0B0A"/>
    <w:rsid w:val="00AB0BB7"/>
    <w:rsid w:val="00AB22C6"/>
    <w:rsid w:val="00AB2AD0"/>
    <w:rsid w:val="00AB67FC"/>
    <w:rsid w:val="00AC00F2"/>
    <w:rsid w:val="00AC31B5"/>
    <w:rsid w:val="00AC40CD"/>
    <w:rsid w:val="00AC4EA1"/>
    <w:rsid w:val="00AC5381"/>
    <w:rsid w:val="00AC5920"/>
    <w:rsid w:val="00AD0E65"/>
    <w:rsid w:val="00AD2BF2"/>
    <w:rsid w:val="00AD4E90"/>
    <w:rsid w:val="00AD5422"/>
    <w:rsid w:val="00AE4179"/>
    <w:rsid w:val="00AE4425"/>
    <w:rsid w:val="00AE46E9"/>
    <w:rsid w:val="00AE4FBE"/>
    <w:rsid w:val="00AE650F"/>
    <w:rsid w:val="00AE6555"/>
    <w:rsid w:val="00AE6DA7"/>
    <w:rsid w:val="00AE7D16"/>
    <w:rsid w:val="00AF4CAA"/>
    <w:rsid w:val="00AF571A"/>
    <w:rsid w:val="00AF60A0"/>
    <w:rsid w:val="00AF67FC"/>
    <w:rsid w:val="00AF7DF5"/>
    <w:rsid w:val="00B006E5"/>
    <w:rsid w:val="00B019AB"/>
    <w:rsid w:val="00B024C2"/>
    <w:rsid w:val="00B07700"/>
    <w:rsid w:val="00B13921"/>
    <w:rsid w:val="00B1528C"/>
    <w:rsid w:val="00B16A21"/>
    <w:rsid w:val="00B16ACD"/>
    <w:rsid w:val="00B21487"/>
    <w:rsid w:val="00B232D1"/>
    <w:rsid w:val="00B24DB5"/>
    <w:rsid w:val="00B31F9E"/>
    <w:rsid w:val="00B3268F"/>
    <w:rsid w:val="00B32C2C"/>
    <w:rsid w:val="00B33A1A"/>
    <w:rsid w:val="00B33E6C"/>
    <w:rsid w:val="00B371CC"/>
    <w:rsid w:val="00B41CD9"/>
    <w:rsid w:val="00B427E6"/>
    <w:rsid w:val="00B428A6"/>
    <w:rsid w:val="00B43E1F"/>
    <w:rsid w:val="00B45FBC"/>
    <w:rsid w:val="00B46A23"/>
    <w:rsid w:val="00B51A7D"/>
    <w:rsid w:val="00B535C2"/>
    <w:rsid w:val="00B55544"/>
    <w:rsid w:val="00B61D02"/>
    <w:rsid w:val="00B642FC"/>
    <w:rsid w:val="00B64D26"/>
    <w:rsid w:val="00B64FBB"/>
    <w:rsid w:val="00B70E22"/>
    <w:rsid w:val="00B774CB"/>
    <w:rsid w:val="00B80402"/>
    <w:rsid w:val="00B80B9A"/>
    <w:rsid w:val="00B830B7"/>
    <w:rsid w:val="00B848EA"/>
    <w:rsid w:val="00B84B2B"/>
    <w:rsid w:val="00B85438"/>
    <w:rsid w:val="00B90500"/>
    <w:rsid w:val="00B9176C"/>
    <w:rsid w:val="00B93272"/>
    <w:rsid w:val="00B935A4"/>
    <w:rsid w:val="00BA1015"/>
    <w:rsid w:val="00BA561A"/>
    <w:rsid w:val="00BB0DC6"/>
    <w:rsid w:val="00BB15E4"/>
    <w:rsid w:val="00BB1E19"/>
    <w:rsid w:val="00BB21D1"/>
    <w:rsid w:val="00BB32F2"/>
    <w:rsid w:val="00BB4338"/>
    <w:rsid w:val="00BB6C0E"/>
    <w:rsid w:val="00BB7699"/>
    <w:rsid w:val="00BB7B38"/>
    <w:rsid w:val="00BC02FF"/>
    <w:rsid w:val="00BC11E5"/>
    <w:rsid w:val="00BC4BC6"/>
    <w:rsid w:val="00BC4D85"/>
    <w:rsid w:val="00BC52FD"/>
    <w:rsid w:val="00BC6E62"/>
    <w:rsid w:val="00BC6F2F"/>
    <w:rsid w:val="00BC7443"/>
    <w:rsid w:val="00BD0648"/>
    <w:rsid w:val="00BD1040"/>
    <w:rsid w:val="00BD34AA"/>
    <w:rsid w:val="00BE01F2"/>
    <w:rsid w:val="00BE0C44"/>
    <w:rsid w:val="00BE1B8B"/>
    <w:rsid w:val="00BE2A18"/>
    <w:rsid w:val="00BE2C01"/>
    <w:rsid w:val="00BE41EC"/>
    <w:rsid w:val="00BE56FB"/>
    <w:rsid w:val="00BF3DDE"/>
    <w:rsid w:val="00BF6589"/>
    <w:rsid w:val="00BF6F7F"/>
    <w:rsid w:val="00C00647"/>
    <w:rsid w:val="00C02409"/>
    <w:rsid w:val="00C02764"/>
    <w:rsid w:val="00C04CEF"/>
    <w:rsid w:val="00C0662F"/>
    <w:rsid w:val="00C11943"/>
    <w:rsid w:val="00C12E96"/>
    <w:rsid w:val="00C14763"/>
    <w:rsid w:val="00C16141"/>
    <w:rsid w:val="00C2363F"/>
    <w:rsid w:val="00C236C8"/>
    <w:rsid w:val="00C260B1"/>
    <w:rsid w:val="00C26E56"/>
    <w:rsid w:val="00C30A64"/>
    <w:rsid w:val="00C31406"/>
    <w:rsid w:val="00C34154"/>
    <w:rsid w:val="00C36205"/>
    <w:rsid w:val="00C37194"/>
    <w:rsid w:val="00C40637"/>
    <w:rsid w:val="00C40F6C"/>
    <w:rsid w:val="00C44426"/>
    <w:rsid w:val="00C445F3"/>
    <w:rsid w:val="00C451F4"/>
    <w:rsid w:val="00C45EB1"/>
    <w:rsid w:val="00C50BED"/>
    <w:rsid w:val="00C51664"/>
    <w:rsid w:val="00C54A3A"/>
    <w:rsid w:val="00C55566"/>
    <w:rsid w:val="00C56448"/>
    <w:rsid w:val="00C667BE"/>
    <w:rsid w:val="00C6766B"/>
    <w:rsid w:val="00C72223"/>
    <w:rsid w:val="00C76417"/>
    <w:rsid w:val="00C7726F"/>
    <w:rsid w:val="00C823DA"/>
    <w:rsid w:val="00C8259F"/>
    <w:rsid w:val="00C82746"/>
    <w:rsid w:val="00C8312F"/>
    <w:rsid w:val="00C84C47"/>
    <w:rsid w:val="00C858A4"/>
    <w:rsid w:val="00C86AFA"/>
    <w:rsid w:val="00C87EB1"/>
    <w:rsid w:val="00CA37D2"/>
    <w:rsid w:val="00CB18D0"/>
    <w:rsid w:val="00CB1C8A"/>
    <w:rsid w:val="00CB24F5"/>
    <w:rsid w:val="00CB2663"/>
    <w:rsid w:val="00CB2B9B"/>
    <w:rsid w:val="00CB3BBE"/>
    <w:rsid w:val="00CB58B3"/>
    <w:rsid w:val="00CB59E9"/>
    <w:rsid w:val="00CC0D6A"/>
    <w:rsid w:val="00CC3831"/>
    <w:rsid w:val="00CC3E3D"/>
    <w:rsid w:val="00CC519B"/>
    <w:rsid w:val="00CD12C1"/>
    <w:rsid w:val="00CD214E"/>
    <w:rsid w:val="00CD46FA"/>
    <w:rsid w:val="00CD5973"/>
    <w:rsid w:val="00CE31A6"/>
    <w:rsid w:val="00CF09AA"/>
    <w:rsid w:val="00CF4813"/>
    <w:rsid w:val="00CF5233"/>
    <w:rsid w:val="00D029B8"/>
    <w:rsid w:val="00D02F60"/>
    <w:rsid w:val="00D0464E"/>
    <w:rsid w:val="00D04810"/>
    <w:rsid w:val="00D04A96"/>
    <w:rsid w:val="00D07A7B"/>
    <w:rsid w:val="00D10E06"/>
    <w:rsid w:val="00D15197"/>
    <w:rsid w:val="00D16820"/>
    <w:rsid w:val="00D169C8"/>
    <w:rsid w:val="00D1793F"/>
    <w:rsid w:val="00D22AF5"/>
    <w:rsid w:val="00D235EA"/>
    <w:rsid w:val="00D247A9"/>
    <w:rsid w:val="00D32721"/>
    <w:rsid w:val="00D328DC"/>
    <w:rsid w:val="00D33387"/>
    <w:rsid w:val="00D402FB"/>
    <w:rsid w:val="00D47D7A"/>
    <w:rsid w:val="00D5074D"/>
    <w:rsid w:val="00D50ABD"/>
    <w:rsid w:val="00D55290"/>
    <w:rsid w:val="00D555CC"/>
    <w:rsid w:val="00D55E33"/>
    <w:rsid w:val="00D57791"/>
    <w:rsid w:val="00D6046A"/>
    <w:rsid w:val="00D62870"/>
    <w:rsid w:val="00D655D9"/>
    <w:rsid w:val="00D65872"/>
    <w:rsid w:val="00D676F3"/>
    <w:rsid w:val="00D70EF5"/>
    <w:rsid w:val="00D71024"/>
    <w:rsid w:val="00D71A25"/>
    <w:rsid w:val="00D71FCF"/>
    <w:rsid w:val="00D72A54"/>
    <w:rsid w:val="00D72CC1"/>
    <w:rsid w:val="00D72DE1"/>
    <w:rsid w:val="00D76EC9"/>
    <w:rsid w:val="00D80E7D"/>
    <w:rsid w:val="00D81397"/>
    <w:rsid w:val="00D848B9"/>
    <w:rsid w:val="00D90E69"/>
    <w:rsid w:val="00D91368"/>
    <w:rsid w:val="00D93106"/>
    <w:rsid w:val="00D933E9"/>
    <w:rsid w:val="00D9505D"/>
    <w:rsid w:val="00D953D0"/>
    <w:rsid w:val="00D959F5"/>
    <w:rsid w:val="00D96884"/>
    <w:rsid w:val="00DA3FDD"/>
    <w:rsid w:val="00DA6483"/>
    <w:rsid w:val="00DA7017"/>
    <w:rsid w:val="00DA7028"/>
    <w:rsid w:val="00DB1AD2"/>
    <w:rsid w:val="00DB2B58"/>
    <w:rsid w:val="00DB5206"/>
    <w:rsid w:val="00DB6276"/>
    <w:rsid w:val="00DB63F5"/>
    <w:rsid w:val="00DB6D5F"/>
    <w:rsid w:val="00DC1C6B"/>
    <w:rsid w:val="00DC2125"/>
    <w:rsid w:val="00DC2C2E"/>
    <w:rsid w:val="00DC4AF0"/>
    <w:rsid w:val="00DC7886"/>
    <w:rsid w:val="00DD0CF2"/>
    <w:rsid w:val="00DE1554"/>
    <w:rsid w:val="00DE2901"/>
    <w:rsid w:val="00DE3B26"/>
    <w:rsid w:val="00DE590F"/>
    <w:rsid w:val="00DE7DC1"/>
    <w:rsid w:val="00DF2E13"/>
    <w:rsid w:val="00DF3F7E"/>
    <w:rsid w:val="00DF7648"/>
    <w:rsid w:val="00DF7F3F"/>
    <w:rsid w:val="00E00E29"/>
    <w:rsid w:val="00E02B75"/>
    <w:rsid w:val="00E02BAB"/>
    <w:rsid w:val="00E04CEB"/>
    <w:rsid w:val="00E060BC"/>
    <w:rsid w:val="00E11420"/>
    <w:rsid w:val="00E132FB"/>
    <w:rsid w:val="00E170B7"/>
    <w:rsid w:val="00E177DD"/>
    <w:rsid w:val="00E20900"/>
    <w:rsid w:val="00E20C7F"/>
    <w:rsid w:val="00E2396E"/>
    <w:rsid w:val="00E24728"/>
    <w:rsid w:val="00E276AC"/>
    <w:rsid w:val="00E34A35"/>
    <w:rsid w:val="00E37C2F"/>
    <w:rsid w:val="00E416ED"/>
    <w:rsid w:val="00E41C28"/>
    <w:rsid w:val="00E46308"/>
    <w:rsid w:val="00E46A7E"/>
    <w:rsid w:val="00E51E17"/>
    <w:rsid w:val="00E52DAB"/>
    <w:rsid w:val="00E539B0"/>
    <w:rsid w:val="00E5442A"/>
    <w:rsid w:val="00E55994"/>
    <w:rsid w:val="00E60606"/>
    <w:rsid w:val="00E60C66"/>
    <w:rsid w:val="00E6164D"/>
    <w:rsid w:val="00E618C9"/>
    <w:rsid w:val="00E62774"/>
    <w:rsid w:val="00E6307C"/>
    <w:rsid w:val="00E636FA"/>
    <w:rsid w:val="00E66C50"/>
    <w:rsid w:val="00E679D3"/>
    <w:rsid w:val="00E71208"/>
    <w:rsid w:val="00E71444"/>
    <w:rsid w:val="00E71C91"/>
    <w:rsid w:val="00E720A1"/>
    <w:rsid w:val="00E75DDA"/>
    <w:rsid w:val="00E773E8"/>
    <w:rsid w:val="00E821ED"/>
    <w:rsid w:val="00E83ADD"/>
    <w:rsid w:val="00E84F38"/>
    <w:rsid w:val="00E85623"/>
    <w:rsid w:val="00E87441"/>
    <w:rsid w:val="00E8788D"/>
    <w:rsid w:val="00E91FAE"/>
    <w:rsid w:val="00E95D44"/>
    <w:rsid w:val="00E96E3F"/>
    <w:rsid w:val="00EA270C"/>
    <w:rsid w:val="00EA4974"/>
    <w:rsid w:val="00EA532E"/>
    <w:rsid w:val="00EB06D9"/>
    <w:rsid w:val="00EB192B"/>
    <w:rsid w:val="00EB19ED"/>
    <w:rsid w:val="00EB1CAB"/>
    <w:rsid w:val="00EC0F5A"/>
    <w:rsid w:val="00EC4265"/>
    <w:rsid w:val="00EC4CEB"/>
    <w:rsid w:val="00EC5BF1"/>
    <w:rsid w:val="00EC659E"/>
    <w:rsid w:val="00ED2072"/>
    <w:rsid w:val="00ED2AE0"/>
    <w:rsid w:val="00ED5553"/>
    <w:rsid w:val="00ED5E36"/>
    <w:rsid w:val="00ED6961"/>
    <w:rsid w:val="00EF0B96"/>
    <w:rsid w:val="00EF3486"/>
    <w:rsid w:val="00EF47AF"/>
    <w:rsid w:val="00EF53B6"/>
    <w:rsid w:val="00EF653E"/>
    <w:rsid w:val="00F00B73"/>
    <w:rsid w:val="00F115CA"/>
    <w:rsid w:val="00F14817"/>
    <w:rsid w:val="00F14EBA"/>
    <w:rsid w:val="00F1510F"/>
    <w:rsid w:val="00F1533A"/>
    <w:rsid w:val="00F15E5A"/>
    <w:rsid w:val="00F17F0A"/>
    <w:rsid w:val="00F2668F"/>
    <w:rsid w:val="00F2742F"/>
    <w:rsid w:val="00F2753B"/>
    <w:rsid w:val="00F33F8B"/>
    <w:rsid w:val="00F340B2"/>
    <w:rsid w:val="00F43390"/>
    <w:rsid w:val="00F443B2"/>
    <w:rsid w:val="00F458D8"/>
    <w:rsid w:val="00F50237"/>
    <w:rsid w:val="00F508A6"/>
    <w:rsid w:val="00F53596"/>
    <w:rsid w:val="00F54DE3"/>
    <w:rsid w:val="00F55BA8"/>
    <w:rsid w:val="00F55DB1"/>
    <w:rsid w:val="00F56ACA"/>
    <w:rsid w:val="00F600FE"/>
    <w:rsid w:val="00F62E4D"/>
    <w:rsid w:val="00F66B34"/>
    <w:rsid w:val="00F670B7"/>
    <w:rsid w:val="00F675B9"/>
    <w:rsid w:val="00F711C9"/>
    <w:rsid w:val="00F74C59"/>
    <w:rsid w:val="00F75C3A"/>
    <w:rsid w:val="00F82E30"/>
    <w:rsid w:val="00F831CB"/>
    <w:rsid w:val="00F848A3"/>
    <w:rsid w:val="00F84ACF"/>
    <w:rsid w:val="00F85742"/>
    <w:rsid w:val="00F85BF8"/>
    <w:rsid w:val="00F871CE"/>
    <w:rsid w:val="00F87802"/>
    <w:rsid w:val="00F92C0A"/>
    <w:rsid w:val="00F93401"/>
    <w:rsid w:val="00F9415B"/>
    <w:rsid w:val="00FA13C2"/>
    <w:rsid w:val="00FA31DF"/>
    <w:rsid w:val="00FA7F91"/>
    <w:rsid w:val="00FB121C"/>
    <w:rsid w:val="00FB1CDD"/>
    <w:rsid w:val="00FB2C2F"/>
    <w:rsid w:val="00FB305C"/>
    <w:rsid w:val="00FB64D8"/>
    <w:rsid w:val="00FC2CB8"/>
    <w:rsid w:val="00FC2E3D"/>
    <w:rsid w:val="00FC3BDE"/>
    <w:rsid w:val="00FC4D7C"/>
    <w:rsid w:val="00FD08B5"/>
    <w:rsid w:val="00FD1DBE"/>
    <w:rsid w:val="00FD1F95"/>
    <w:rsid w:val="00FD25A7"/>
    <w:rsid w:val="00FD27B6"/>
    <w:rsid w:val="00FD3689"/>
    <w:rsid w:val="00FD42A3"/>
    <w:rsid w:val="00FD7468"/>
    <w:rsid w:val="00FD7CE0"/>
    <w:rsid w:val="00FE0B3B"/>
    <w:rsid w:val="00FE1BE2"/>
    <w:rsid w:val="00FE2666"/>
    <w:rsid w:val="00FE730A"/>
    <w:rsid w:val="00FF1DD7"/>
    <w:rsid w:val="00FF2D4B"/>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D6C264"/>
  <w15:docId w15:val="{D9AE7AB6-AA1D-4B57-BA3C-18043E0FD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486AAC"/>
    <w:pPr>
      <w:widowControl/>
      <w:autoSpaceDE/>
      <w:autoSpaceDN/>
      <w:adjustRightInd/>
      <w:spacing w:line="276" w:lineRule="auto"/>
      <w:ind w:left="720"/>
      <w:contextualSpacing/>
    </w:pPr>
    <w:rPr>
      <w:rFonts w:ascii="Calibri" w:eastAsia="Calibri" w:hAnsi="Calibri" w:cs="Times New Roman"/>
      <w:sz w:val="22"/>
      <w:szCs w:val="22"/>
      <w:lang w:eastAsia="en-US"/>
    </w:rPr>
  </w:style>
  <w:style w:type="character" w:styleId="Hipercze">
    <w:name w:val="Hyperlink"/>
    <w:uiPriority w:val="99"/>
    <w:unhideWhenUsed/>
    <w:rsid w:val="00486AAC"/>
    <w:rPr>
      <w:color w:val="0000FF"/>
      <w:u w:val="single"/>
    </w:rPr>
  </w:style>
  <w:style w:type="paragraph" w:styleId="Poprawka">
    <w:name w:val="Revision"/>
    <w:hidden/>
    <w:uiPriority w:val="99"/>
    <w:semiHidden/>
    <w:rsid w:val="008C3931"/>
    <w:pPr>
      <w:spacing w:line="240" w:lineRule="auto"/>
    </w:pPr>
    <w:rPr>
      <w:rFonts w:ascii="Times New Roman" w:eastAsiaTheme="minorEastAsia" w:hAnsi="Times New Roman" w:cs="Arial"/>
      <w:szCs w:val="20"/>
    </w:rPr>
  </w:style>
  <w:style w:type="character" w:styleId="UyteHipercze">
    <w:name w:val="FollowedHyperlink"/>
    <w:basedOn w:val="Domylnaczcionkaakapitu"/>
    <w:uiPriority w:val="99"/>
    <w:semiHidden/>
    <w:unhideWhenUsed/>
    <w:rsid w:val="007D0A6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865468">
      <w:bodyDiv w:val="1"/>
      <w:marLeft w:val="0"/>
      <w:marRight w:val="0"/>
      <w:marTop w:val="0"/>
      <w:marBottom w:val="0"/>
      <w:divBdr>
        <w:top w:val="none" w:sz="0" w:space="0" w:color="auto"/>
        <w:left w:val="none" w:sz="0" w:space="0" w:color="auto"/>
        <w:bottom w:val="none" w:sz="0" w:space="0" w:color="auto"/>
        <w:right w:val="none" w:sz="0" w:space="0" w:color="auto"/>
      </w:divBdr>
    </w:div>
    <w:div w:id="422268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v.pl/web/gov/ministerstwa" TargetMode="External"/><Relationship Id="rId18" Type="http://schemas.openxmlformats.org/officeDocument/2006/relationships/hyperlink" Target="https://radon.nauka.gov.pl/dane/instytucje-systemu-szkolnictwa-wyzszego-i-nauki"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docs.italia.it/italia/daf/lg-patrimonio-pubblico/it/bozza/index.html" TargetMode="External"/><Relationship Id="rId17" Type="http://schemas.openxmlformats.org/officeDocument/2006/relationships/hyperlink" Target="https://stat.gov.pl/obszary-tematyczne/gospodarka-spoleczna-wolontariat/gospodarka-spoleczna-trzeci-sektor/dzialalnosc-stowarzyszen-i-podobnych-organizacji-spolecznych-fundacji-spolecznych-podmiotow-wyznaniowych-oraz-samorzadu-gospodarczego-i-zawodowego-w-2018-r-wyniki-wstepne,3,8.html" TargetMode="External"/><Relationship Id="rId2" Type="http://schemas.openxmlformats.org/officeDocument/2006/relationships/customXml" Target="../customXml/item2.xml"/><Relationship Id="rId16" Type="http://schemas.openxmlformats.org/officeDocument/2006/relationships/hyperlink" Target="https://stat.gov.pl/obszary-tematyczne/kultura-turystyka-sport/kultura/przemysly-kultury-i-kreatywne-w-2017-r-,21,1.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ata.gov.ie/uploads/page_images/2018-03-07-114306.063816Final-Strategy-online-version1.pdf" TargetMode="External"/><Relationship Id="rId5" Type="http://schemas.openxmlformats.org/officeDocument/2006/relationships/settings" Target="settings.xml"/><Relationship Id="rId15" Type="http://schemas.openxmlformats.org/officeDocument/2006/relationships/hyperlink" Target="https://stat.gov.pl/statystyka-regionalna/jednostki-terytorialne/podzial-administracyjny-polski" TargetMode="External"/><Relationship Id="rId23" Type="http://schemas.openxmlformats.org/officeDocument/2006/relationships/theme" Target="theme/theme1.xml"/><Relationship Id="rId10" Type="http://schemas.openxmlformats.org/officeDocument/2006/relationships/hyperlink" Target="mailto:sylwia.pichlak-pawlak@mc.gov.pl" TargetMode="External"/><Relationship Id="rId19" Type="http://schemas.openxmlformats.org/officeDocument/2006/relationships/hyperlink" Target="https://www.rgib.org.pl/images/dokumenty/biuletyn/biuletyn_1_2019.pdf" TargetMode="External"/><Relationship Id="rId4" Type="http://schemas.openxmlformats.org/officeDocument/2006/relationships/styles" Target="styles.xml"/><Relationship Id="rId9" Type="http://schemas.openxmlformats.org/officeDocument/2006/relationships/hyperlink" Target="mailto:iwona.szelenbaum@mc.gov.pl" TargetMode="External"/><Relationship Id="rId14" Type="http://schemas.openxmlformats.org/officeDocument/2006/relationships/hyperlink" Target="http://administracja.mswia.gov.pl/adm/departament-administra/administracja-zespolon/10343,Baza-teleadresowa-administracji-zespolonej.html"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www.gov.pl/documents/528248/541918/PROGRAM_PRPM_26112018.pdf/917baba4-8f73-1d3d-1f63-8446b0c41145" TargetMode="External"/><Relationship Id="rId2" Type="http://schemas.openxmlformats.org/officeDocument/2006/relationships/hyperlink" Target="https://www.ulc.gov.pl/_download/regulacja_rynku/statystyki/2018/4-kw-2018/wg_portow_lotniczych_kw42018.pdf" TargetMode="External"/><Relationship Id="rId1" Type="http://schemas.openxmlformats.org/officeDocument/2006/relationships/hyperlink" Target="https://utk.gov.pl/pl/raporty-i-analizy/analizy-i-monitoring/sprawozdania/16190,Sprawozdanie-z-funkcjonowania-rynku-transportu-kolejowego-w-2019-r.html" TargetMode="External"/><Relationship Id="rId6" Type="http://schemas.openxmlformats.org/officeDocument/2006/relationships/hyperlink" Target="https://www.europeandataportal.eu/pl/using-data/benefits-of-open-data" TargetMode="External"/><Relationship Id="rId5"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 Id="rId4" Type="http://schemas.openxmlformats.org/officeDocument/2006/relationships/hyperlink" Target="https://stat.gov.pl/obszary-tematyczne/podmioty-gospodarcze-wyniki-finansowe/zmiany-strukturalne-grup-podmiotow/miesieczna-informacja-o-podmiotach-gospodarki-narodowej-w-rejestrze-regon-sierpien-2019,4,2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gapska\AppData\Roaming\Microsoft\Szablony\Szablon%20aktu%20prawnego%204_0.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27E54D2C5CD4BAD80CA857A8799EA25"/>
        <w:category>
          <w:name w:val="Ogólne"/>
          <w:gallery w:val="placeholder"/>
        </w:category>
        <w:types>
          <w:type w:val="bbPlcHdr"/>
        </w:types>
        <w:behaviors>
          <w:behavior w:val="content"/>
        </w:behaviors>
        <w:guid w:val="{5B3EEF62-EEBF-4409-BFF8-975B70330E09}"/>
      </w:docPartPr>
      <w:docPartBody>
        <w:p w:rsidR="00F60EAB" w:rsidRDefault="00881D98" w:rsidP="00881D98">
          <w:pPr>
            <w:pStyle w:val="A27E54D2C5CD4BAD80CA857A8799EA25"/>
          </w:pPr>
          <w:r w:rsidRPr="008D2484">
            <w:rPr>
              <w:rStyle w:val="Tekstzastpczy"/>
            </w:rPr>
            <w:t>Kliknij tutaj, aby wprowadzić datę.</w:t>
          </w:r>
        </w:p>
      </w:docPartBody>
    </w:docPart>
    <w:docPart>
      <w:docPartPr>
        <w:name w:val="72256CE9F0534B92A514D304179A8ACC"/>
        <w:category>
          <w:name w:val="Ogólne"/>
          <w:gallery w:val="placeholder"/>
        </w:category>
        <w:types>
          <w:type w:val="bbPlcHdr"/>
        </w:types>
        <w:behaviors>
          <w:behavior w:val="content"/>
        </w:behaviors>
        <w:guid w:val="{DF33A10C-53E4-48F6-8825-1C6245656D71}"/>
      </w:docPartPr>
      <w:docPartBody>
        <w:p w:rsidR="00F60EAB" w:rsidRDefault="00881D98" w:rsidP="00881D98">
          <w:pPr>
            <w:pStyle w:val="72256CE9F0534B92A514D304179A8ACC"/>
          </w:pPr>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D98"/>
    <w:rsid w:val="000308DA"/>
    <w:rsid w:val="0016419D"/>
    <w:rsid w:val="001D2576"/>
    <w:rsid w:val="003729D0"/>
    <w:rsid w:val="003A20FD"/>
    <w:rsid w:val="003D2350"/>
    <w:rsid w:val="00551629"/>
    <w:rsid w:val="0059573A"/>
    <w:rsid w:val="005966A5"/>
    <w:rsid w:val="005E0D6F"/>
    <w:rsid w:val="005F4063"/>
    <w:rsid w:val="00624256"/>
    <w:rsid w:val="00746290"/>
    <w:rsid w:val="00813CF1"/>
    <w:rsid w:val="00846E29"/>
    <w:rsid w:val="00881D98"/>
    <w:rsid w:val="008C0BDF"/>
    <w:rsid w:val="008D7E0C"/>
    <w:rsid w:val="00B325AF"/>
    <w:rsid w:val="00B32DDD"/>
    <w:rsid w:val="00BB420C"/>
    <w:rsid w:val="00D21F66"/>
    <w:rsid w:val="00D93CBA"/>
    <w:rsid w:val="00DD2924"/>
    <w:rsid w:val="00F36D56"/>
    <w:rsid w:val="00F60EAB"/>
    <w:rsid w:val="00FD0124"/>
    <w:rsid w:val="00FE1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881D98"/>
    <w:rPr>
      <w:color w:val="808080"/>
    </w:rPr>
  </w:style>
  <w:style w:type="paragraph" w:customStyle="1" w:styleId="C346D29A5536486E81C9F74B62203742">
    <w:name w:val="C346D29A5536486E81C9F74B62203742"/>
    <w:rsid w:val="00881D98"/>
  </w:style>
  <w:style w:type="paragraph" w:customStyle="1" w:styleId="FE7603B6BBB649BEAC2BCEEC6FF99589">
    <w:name w:val="FE7603B6BBB649BEAC2BCEEC6FF99589"/>
    <w:rsid w:val="00881D98"/>
  </w:style>
  <w:style w:type="paragraph" w:customStyle="1" w:styleId="C983514801394CB088DCD18E29004FAA">
    <w:name w:val="C983514801394CB088DCD18E29004FAA"/>
    <w:rsid w:val="00881D98"/>
  </w:style>
  <w:style w:type="paragraph" w:customStyle="1" w:styleId="9B6DE7EC7F1945B98A80742D91C1A6AE">
    <w:name w:val="9B6DE7EC7F1945B98A80742D91C1A6AE"/>
    <w:rsid w:val="00881D98"/>
  </w:style>
  <w:style w:type="paragraph" w:customStyle="1" w:styleId="13FC38814F504C5DBDF5A3D4B2AAD125">
    <w:name w:val="13FC38814F504C5DBDF5A3D4B2AAD125"/>
    <w:rsid w:val="00881D98"/>
  </w:style>
  <w:style w:type="paragraph" w:customStyle="1" w:styleId="0730BF4EFA3E48438B217B8E1DFFECEE">
    <w:name w:val="0730BF4EFA3E48438B217B8E1DFFECEE"/>
    <w:rsid w:val="00881D98"/>
  </w:style>
  <w:style w:type="paragraph" w:customStyle="1" w:styleId="891136B566C6499F8C838EACB625833D">
    <w:name w:val="891136B566C6499F8C838EACB625833D"/>
    <w:rsid w:val="00881D98"/>
  </w:style>
  <w:style w:type="paragraph" w:customStyle="1" w:styleId="ABAD9AB048134C29B2CE5AD3C828BAEC">
    <w:name w:val="ABAD9AB048134C29B2CE5AD3C828BAEC"/>
    <w:rsid w:val="00881D98"/>
  </w:style>
  <w:style w:type="paragraph" w:customStyle="1" w:styleId="C6B24713B43C4A81B8E4B766FE54E874">
    <w:name w:val="C6B24713B43C4A81B8E4B766FE54E874"/>
    <w:rsid w:val="00881D98"/>
  </w:style>
  <w:style w:type="paragraph" w:customStyle="1" w:styleId="E7C5784CBCB94A7799AC01C4AE7E09BA">
    <w:name w:val="E7C5784CBCB94A7799AC01C4AE7E09BA"/>
    <w:rsid w:val="00881D98"/>
  </w:style>
  <w:style w:type="paragraph" w:customStyle="1" w:styleId="1C1841FE5F9E4ADCB96A4147E8795A73">
    <w:name w:val="1C1841FE5F9E4ADCB96A4147E8795A73"/>
    <w:rsid w:val="00881D98"/>
  </w:style>
  <w:style w:type="paragraph" w:customStyle="1" w:styleId="BE8B24DDE2084782BE827AFD953F8C20">
    <w:name w:val="BE8B24DDE2084782BE827AFD953F8C20"/>
    <w:rsid w:val="00881D98"/>
  </w:style>
  <w:style w:type="paragraph" w:customStyle="1" w:styleId="43B2FB9FCFE842E4BDDB2A603C569DA4">
    <w:name w:val="43B2FB9FCFE842E4BDDB2A603C569DA4"/>
    <w:rsid w:val="00881D98"/>
  </w:style>
  <w:style w:type="paragraph" w:customStyle="1" w:styleId="8DACA6EA202D47EC878672E3EF4B6452">
    <w:name w:val="8DACA6EA202D47EC878672E3EF4B6452"/>
    <w:rsid w:val="00881D98"/>
  </w:style>
  <w:style w:type="paragraph" w:customStyle="1" w:styleId="E5A02F4196C64E4899C83EFAD873EDA4">
    <w:name w:val="E5A02F4196C64E4899C83EFAD873EDA4"/>
    <w:rsid w:val="00881D98"/>
  </w:style>
  <w:style w:type="paragraph" w:customStyle="1" w:styleId="5C8CC4613F4F43C8BC72773682DDB858">
    <w:name w:val="5C8CC4613F4F43C8BC72773682DDB858"/>
    <w:rsid w:val="00881D98"/>
  </w:style>
  <w:style w:type="paragraph" w:customStyle="1" w:styleId="7469CA1E2C4D48C98AB8AC402D647CD7">
    <w:name w:val="7469CA1E2C4D48C98AB8AC402D647CD7"/>
    <w:rsid w:val="00881D98"/>
  </w:style>
  <w:style w:type="paragraph" w:customStyle="1" w:styleId="E39572BDB9384F96BA7CAB4B0927195C">
    <w:name w:val="E39572BDB9384F96BA7CAB4B0927195C"/>
    <w:rsid w:val="00881D98"/>
  </w:style>
  <w:style w:type="paragraph" w:customStyle="1" w:styleId="786E67A5E9014550A0395FD00F6636BA">
    <w:name w:val="786E67A5E9014550A0395FD00F6636BA"/>
    <w:rsid w:val="00881D98"/>
  </w:style>
  <w:style w:type="paragraph" w:customStyle="1" w:styleId="6A96F5190A3344AD98034ED6A3E08444">
    <w:name w:val="6A96F5190A3344AD98034ED6A3E08444"/>
    <w:rsid w:val="00881D98"/>
  </w:style>
  <w:style w:type="paragraph" w:customStyle="1" w:styleId="A27E54D2C5CD4BAD80CA857A8799EA25">
    <w:name w:val="A27E54D2C5CD4BAD80CA857A8799EA25"/>
    <w:rsid w:val="00881D98"/>
  </w:style>
  <w:style w:type="paragraph" w:customStyle="1" w:styleId="72256CE9F0534B92A514D304179A8ACC">
    <w:name w:val="72256CE9F0534B92A514D304179A8ACC"/>
    <w:rsid w:val="00881D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B7669A-DD6D-401C-A105-91FEF2EE7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2</TotalTime>
  <Pages>1</Pages>
  <Words>6888</Words>
  <Characters>41331</Characters>
  <Application>Microsoft Office Word</Application>
  <DocSecurity>0</DocSecurity>
  <Lines>344</Lines>
  <Paragraphs>96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Manager/>
  <Company>&lt;nazwa organu&gt;</Company>
  <LinksUpToDate>false</LinksUpToDate>
  <CharactersWithSpaces>48123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subject/>
  <dc:creator>Gapska-Szczygieł Małgorzata</dc:creator>
  <cp:keywords/>
  <dc:description/>
  <cp:lastModifiedBy>AA</cp:lastModifiedBy>
  <cp:revision>5</cp:revision>
  <cp:lastPrinted>2012-04-23T06:39:00Z</cp:lastPrinted>
  <dcterms:created xsi:type="dcterms:W3CDTF">2020-12-17T12:20:00Z</dcterms:created>
  <dcterms:modified xsi:type="dcterms:W3CDTF">2020-12-17T12:52:00Z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