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69BFD" w14:textId="77777777" w:rsidR="00700D76" w:rsidRPr="001F0DD4" w:rsidRDefault="00700D76" w:rsidP="00955117">
      <w:pPr>
        <w:widowControl w:val="0"/>
        <w:pBdr>
          <w:top w:val="nil"/>
          <w:left w:val="nil"/>
          <w:bottom w:val="nil"/>
          <w:right w:val="nil"/>
          <w:between w:val="nil"/>
        </w:pBdr>
        <w:spacing w:after="0" w:line="240" w:lineRule="auto"/>
        <w:jc w:val="both"/>
        <w:rPr>
          <w:rFonts w:asciiTheme="minorHAnsi" w:eastAsia="Arial" w:hAnsiTheme="minorHAnsi" w:cstheme="minorHAnsi"/>
          <w:color w:val="000000"/>
        </w:rPr>
      </w:pPr>
    </w:p>
    <w:tbl>
      <w:tblPr>
        <w:tblStyle w:val="1"/>
        <w:tblW w:w="13886" w:type="dxa"/>
        <w:tblInd w:w="108" w:type="dxa"/>
        <w:tblLayout w:type="fixed"/>
        <w:tblLook w:val="0400" w:firstRow="0" w:lastRow="0" w:firstColumn="0" w:lastColumn="0" w:noHBand="0" w:noVBand="1"/>
      </w:tblPr>
      <w:tblGrid>
        <w:gridCol w:w="491"/>
        <w:gridCol w:w="1408"/>
        <w:gridCol w:w="1486"/>
        <w:gridCol w:w="6110"/>
        <w:gridCol w:w="4391"/>
      </w:tblGrid>
      <w:tr w:rsidR="00700D76" w:rsidRPr="001F0DD4" w14:paraId="70ED07E9" w14:textId="77777777">
        <w:trPr>
          <w:trHeight w:val="1"/>
        </w:trPr>
        <w:tc>
          <w:tcPr>
            <w:tcW w:w="13886" w:type="dxa"/>
            <w:gridSpan w:val="5"/>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CB1EE3"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 xml:space="preserve">Tabela uwag do projektu rozporządzenia Ministra Cyfryzacji w sprawie gwarantowanych dostępności i pojemności skrzynek doręczeń – </w:t>
            </w:r>
          </w:p>
          <w:p w14:paraId="286CCC79"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konsultacje publiczne</w:t>
            </w:r>
          </w:p>
        </w:tc>
      </w:tr>
      <w:tr w:rsidR="00700D76" w:rsidRPr="001F0DD4" w14:paraId="3FEB7CF1" w14:textId="77777777">
        <w:trPr>
          <w:trHeight w:val="1"/>
        </w:trPr>
        <w:tc>
          <w:tcPr>
            <w:tcW w:w="13886"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555A33" w14:textId="4774AEA6"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b/>
              </w:rPr>
              <w:t>konsultacje publiczne</w:t>
            </w:r>
            <w:r w:rsidR="00CB6C0E" w:rsidRPr="001F0DD4">
              <w:rPr>
                <w:rFonts w:asciiTheme="minorHAnsi" w:hAnsiTheme="minorHAnsi" w:cstheme="minorHAnsi"/>
                <w:b/>
              </w:rPr>
              <w:t>:</w:t>
            </w:r>
          </w:p>
          <w:p w14:paraId="7572275F"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1. Poczta Polska S.A.</w:t>
            </w:r>
          </w:p>
          <w:p w14:paraId="375D6757"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2. Sieć Badawcza Łukasiewicz – Instytut Logistyki i Magazynowania (ILIM)</w:t>
            </w:r>
          </w:p>
          <w:p w14:paraId="155249F4" w14:textId="77777777" w:rsidR="00700D76" w:rsidRPr="001F0DD4" w:rsidRDefault="00011956" w:rsidP="00955117">
            <w:pPr>
              <w:spacing w:after="0" w:line="240" w:lineRule="auto"/>
              <w:jc w:val="both"/>
              <w:rPr>
                <w:rFonts w:asciiTheme="minorHAnsi" w:hAnsiTheme="minorHAnsi" w:cstheme="minorHAnsi"/>
              </w:rPr>
            </w:pPr>
            <w:bookmarkStart w:id="0" w:name="_heading=h.gjdgxs" w:colFirst="0" w:colLast="0"/>
            <w:bookmarkEnd w:id="0"/>
            <w:r w:rsidRPr="001F0DD4">
              <w:rPr>
                <w:rFonts w:asciiTheme="minorHAnsi" w:hAnsiTheme="minorHAnsi" w:cstheme="minorHAnsi"/>
              </w:rPr>
              <w:t>3. NBP</w:t>
            </w:r>
          </w:p>
          <w:p w14:paraId="10EBC4D9"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4. PWPW</w:t>
            </w:r>
          </w:p>
        </w:tc>
      </w:tr>
      <w:tr w:rsidR="00700D76" w:rsidRPr="001F0DD4" w14:paraId="24C465D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2507A9"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xml:space="preserve">Nr </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A3BDA1"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xml:space="preserve">Jednostka redakcyjna </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AE9E28"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xml:space="preserve">Podmiot </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F6481C"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 xml:space="preserve">Treść uwagi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39435F"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xml:space="preserve">Stanowisko MC </w:t>
            </w:r>
          </w:p>
          <w:p w14:paraId="26DA6E40" w14:textId="77777777" w:rsidR="00700D76" w:rsidRPr="001F0DD4" w:rsidRDefault="00700D76" w:rsidP="00955117">
            <w:pPr>
              <w:spacing w:after="0" w:line="240" w:lineRule="auto"/>
              <w:jc w:val="both"/>
              <w:rPr>
                <w:rFonts w:asciiTheme="minorHAnsi" w:hAnsiTheme="minorHAnsi" w:cstheme="minorHAnsi"/>
                <w:b/>
                <w:i/>
              </w:rPr>
            </w:pPr>
          </w:p>
        </w:tc>
      </w:tr>
      <w:tr w:rsidR="00700D76" w:rsidRPr="001F0DD4" w14:paraId="4A5A5848"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82D13A" w14:textId="1D5B97EC"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A170CB"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2 ust. 1, 2 i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70E39A"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D86C34" w14:textId="5DDFF221" w:rsidR="00700D76" w:rsidRPr="001F0DD4" w:rsidRDefault="00011956" w:rsidP="00955117">
            <w:pPr>
              <w:widowControl w:val="0"/>
              <w:spacing w:line="240" w:lineRule="auto"/>
              <w:jc w:val="both"/>
              <w:rPr>
                <w:rFonts w:asciiTheme="minorHAnsi" w:hAnsiTheme="minorHAnsi" w:cstheme="minorHAnsi"/>
              </w:rPr>
            </w:pPr>
            <w:bookmarkStart w:id="1" w:name="_heading=h.30j0zll" w:colFirst="0" w:colLast="0"/>
            <w:bookmarkEnd w:id="1"/>
            <w:r w:rsidRPr="001F0DD4">
              <w:rPr>
                <w:rFonts w:asciiTheme="minorHAnsi" w:hAnsiTheme="minorHAnsi" w:cstheme="minorHAnsi"/>
              </w:rPr>
              <w:t xml:space="preserve">Operator </w:t>
            </w:r>
            <w:r w:rsidR="00CB6C0E" w:rsidRPr="001F0DD4">
              <w:rPr>
                <w:rFonts w:asciiTheme="minorHAnsi" w:hAnsiTheme="minorHAnsi" w:cstheme="minorHAnsi"/>
              </w:rPr>
              <w:t>w</w:t>
            </w:r>
            <w:r w:rsidRPr="001F0DD4">
              <w:rPr>
                <w:rFonts w:asciiTheme="minorHAnsi" w:hAnsiTheme="minorHAnsi" w:cstheme="minorHAnsi"/>
              </w:rPr>
              <w:t>yznaczony jest dostawcą systemu informatycznego  zapewniającego gwarantowaną dostępność dla wszystkich obsługiwanych skrzynek doręczeń. Możemy zatem określać dostępność systemu, a nie pojedynczej skrzynki. W związku z tym brzmienie przepisu niniejszego paragrafu zamiast określenia w liczbie pojedynczej „skrzynka doręczeń” należy zmienić na „skrzynki doręczeń” i odpowiednio zmieniając na „podmiotów publicznych” oraz „podmiotów niepublicznych”.</w:t>
            </w:r>
          </w:p>
          <w:p w14:paraId="3CBBD7E3"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 związku z powyższym, Poczta Polska S.A. przedstawia propozycję brzmienia przepisu § 2 ust. 1, 2 i 3:</w:t>
            </w:r>
          </w:p>
          <w:p w14:paraId="0D5606DF" w14:textId="77777777" w:rsidR="00700D76" w:rsidRPr="001F0DD4" w:rsidRDefault="00011956" w:rsidP="00955117">
            <w:pPr>
              <w:spacing w:before="120" w:line="240" w:lineRule="auto"/>
              <w:jc w:val="both"/>
              <w:rPr>
                <w:rFonts w:asciiTheme="minorHAnsi" w:hAnsiTheme="minorHAnsi" w:cstheme="minorHAnsi"/>
              </w:rPr>
            </w:pPr>
            <w:r w:rsidRPr="001F0DD4">
              <w:rPr>
                <w:rFonts w:asciiTheme="minorHAnsi" w:hAnsiTheme="minorHAnsi" w:cstheme="minorHAnsi"/>
              </w:rPr>
              <w:t>„1. Gwarantowana, minimalna dostępność skrzynek doręczeń podmiotów publicznych, przy założeniu braku korespondencji wysłanej i otrzymanej, wynosi 97,850 %.</w:t>
            </w:r>
          </w:p>
          <w:p w14:paraId="38523F9A"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2. Gwarantowana, minimalna dostępność skrzynek doręczeń podmiotów niepublicznych, przy założeniu braku korespondencji wysłanej i otrzymanej, wynosi 97,850 %.</w:t>
            </w:r>
          </w:p>
          <w:p w14:paraId="465EBF53"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3. Wartość wskaźnika dostępności skrzynek doręczeń oblicza się według wzoru określonego w załączniku do rozporządzenia. Dostępność obliczana jest z wyłączeniem czasu niedostępności z przyczyn niezależnych od operatora wyznaczonego.”</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DEBED3"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uwzględniona</w:t>
            </w:r>
          </w:p>
          <w:p w14:paraId="6B4B7F2A"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rPr>
              <w:t>Przy DON na poziomie 3,5 należy zmienić wartość dostępności z 97, 850 na 97,852.</w:t>
            </w:r>
          </w:p>
        </w:tc>
      </w:tr>
      <w:tr w:rsidR="00700D76" w:rsidRPr="001F0DD4" w14:paraId="4ECF852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F99CE6" w14:textId="7358BB12"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2</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04D5C2"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8941C7"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AD4204"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uzasadnienie jak do § 2</w:t>
            </w:r>
          </w:p>
          <w:p w14:paraId="76CA5B4E"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Propozycja brzmienia przepisu § 3:</w:t>
            </w:r>
          </w:p>
          <w:p w14:paraId="4C1DC6F5"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xml:space="preserve">„3. Czas przywrócenia dostępności skrzynek doręczeń dla </w:t>
            </w:r>
            <w:r w:rsidRPr="001F0DD4">
              <w:rPr>
                <w:rFonts w:asciiTheme="minorHAnsi" w:hAnsiTheme="minorHAnsi" w:cstheme="minorHAnsi"/>
              </w:rPr>
              <w:lastRenderedPageBreak/>
              <w:t xml:space="preserve">podmiotów publicznych oraz podmiotów niepublicznych po zaistnieniu nieplanowanej niedostępności wynosi maksymalnie </w:t>
            </w:r>
            <w:r w:rsidRPr="001F0DD4">
              <w:rPr>
                <w:rFonts w:asciiTheme="minorHAnsi" w:hAnsiTheme="minorHAnsi" w:cstheme="minorHAnsi"/>
              </w:rPr>
              <w:br/>
              <w:t>4 godziny.”</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C852A9" w14:textId="77777777" w:rsidR="00D01378" w:rsidRPr="001F0DD4" w:rsidRDefault="00D01378"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Wyjaśnienie</w:t>
            </w:r>
          </w:p>
          <w:p w14:paraId="2D667627" w14:textId="3D180758" w:rsidR="00700D76" w:rsidRPr="001F0DD4" w:rsidRDefault="00D01378" w:rsidP="00955117">
            <w:pPr>
              <w:spacing w:after="0" w:line="240" w:lineRule="auto"/>
              <w:jc w:val="both"/>
              <w:rPr>
                <w:rFonts w:asciiTheme="minorHAnsi" w:hAnsiTheme="minorHAnsi" w:cstheme="minorHAnsi"/>
                <w:b/>
                <w:i/>
                <w:u w:val="single"/>
              </w:rPr>
            </w:pPr>
            <w:r w:rsidRPr="001F0DD4">
              <w:rPr>
                <w:rFonts w:asciiTheme="minorHAnsi" w:hAnsiTheme="minorHAnsi" w:cstheme="minorHAnsi"/>
                <w:u w:val="single"/>
              </w:rPr>
              <w:t xml:space="preserve">Przepis usunięty z tekstu projektu rozporządzenia na skutek uwagi RCL. Z punktu widzenia podmiotu korzystającego ze skrzynki </w:t>
            </w:r>
            <w:r w:rsidRPr="001F0DD4">
              <w:rPr>
                <w:rFonts w:asciiTheme="minorHAnsi" w:hAnsiTheme="minorHAnsi" w:cstheme="minorHAnsi"/>
                <w:u w:val="single"/>
              </w:rPr>
              <w:lastRenderedPageBreak/>
              <w:t>pozostanie jeden miernik: liczba godzin dostępności nieplanowanej</w:t>
            </w:r>
            <w:r w:rsidRPr="001F0DD4">
              <w:rPr>
                <w:rFonts w:asciiTheme="minorHAnsi" w:hAnsiTheme="minorHAnsi" w:cstheme="minorHAnsi"/>
                <w:b/>
                <w:u w:val="single"/>
              </w:rPr>
              <w:t>.</w:t>
            </w:r>
          </w:p>
        </w:tc>
      </w:tr>
      <w:tr w:rsidR="00700D76" w:rsidRPr="001F0DD4" w14:paraId="0D636F3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33A127"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3</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BA1E4B"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4 ust. 1</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292E3C"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DFB1E6" w14:textId="77777777" w:rsidR="00700D76" w:rsidRPr="001F0DD4" w:rsidRDefault="00011956" w:rsidP="00955117">
            <w:pPr>
              <w:spacing w:before="120" w:line="240" w:lineRule="auto"/>
              <w:jc w:val="both"/>
              <w:rPr>
                <w:rFonts w:asciiTheme="minorHAnsi" w:hAnsiTheme="minorHAnsi" w:cstheme="minorHAnsi"/>
              </w:rPr>
            </w:pPr>
            <w:r w:rsidRPr="001F0DD4">
              <w:rPr>
                <w:rFonts w:asciiTheme="minorHAnsi" w:hAnsiTheme="minorHAnsi" w:cstheme="minorHAnsi"/>
              </w:rPr>
              <w:t xml:space="preserve">Rozporządzenie reguluje kwestie skrzynek doręczeń w zakresie ich dostępności </w:t>
            </w:r>
            <w:r w:rsidRPr="001F0DD4">
              <w:rPr>
                <w:rFonts w:asciiTheme="minorHAnsi" w:hAnsiTheme="minorHAnsi" w:cstheme="minorHAnsi"/>
              </w:rPr>
              <w:br/>
              <w:t>i pojemności. Tym samym nie powinno odnosić się do usługi (rejestrowanego doręczenia elektronicznego), w tym w zakresie jakości usługi.</w:t>
            </w:r>
          </w:p>
          <w:p w14:paraId="22B8B95F"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 związku z powyższym, Poczta Polska S.A. przedstawia propozycję brzmienia przepisu  § 4 ust. 1:</w:t>
            </w:r>
          </w:p>
          <w:p w14:paraId="23AC2BE2" w14:textId="77777777" w:rsidR="00700D76" w:rsidRPr="001F0DD4" w:rsidRDefault="00011956" w:rsidP="00955117">
            <w:pPr>
              <w:widowControl w:val="0"/>
              <w:spacing w:line="240" w:lineRule="auto"/>
              <w:jc w:val="both"/>
              <w:rPr>
                <w:rFonts w:asciiTheme="minorHAnsi" w:hAnsiTheme="minorHAnsi" w:cstheme="minorHAnsi"/>
                <w:b/>
              </w:rPr>
            </w:pPr>
            <w:r w:rsidRPr="001F0DD4">
              <w:rPr>
                <w:rFonts w:asciiTheme="minorHAnsi" w:hAnsiTheme="minorHAnsi" w:cstheme="minorHAnsi"/>
                <w:b/>
              </w:rPr>
              <w:t>„</w:t>
            </w:r>
            <w:r w:rsidRPr="001F0DD4">
              <w:rPr>
                <w:rFonts w:asciiTheme="minorHAnsi" w:hAnsiTheme="minorHAnsi" w:cstheme="minorHAnsi"/>
              </w:rPr>
              <w:t xml:space="preserve">1. Operator wyznaczony może dokonywać planowanych prac serwisowych mających na celu wdrożenie nowych funkcjonalności skrzynek doręczeń.”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7BCB5E" w14:textId="2E0D8EA3" w:rsidR="00220974" w:rsidRPr="001F0DD4" w:rsidRDefault="00220974" w:rsidP="00955117">
            <w:pPr>
              <w:spacing w:after="0" w:line="240" w:lineRule="auto"/>
              <w:jc w:val="both"/>
              <w:rPr>
                <w:rFonts w:asciiTheme="minorHAnsi" w:hAnsiTheme="minorHAnsi" w:cstheme="minorHAnsi"/>
                <w:b/>
                <w:i/>
                <w:color w:val="000000"/>
                <w:u w:val="single"/>
              </w:rPr>
            </w:pPr>
            <w:r w:rsidRPr="001F0DD4">
              <w:rPr>
                <w:rFonts w:asciiTheme="minorHAnsi" w:hAnsiTheme="minorHAnsi" w:cstheme="minorHAnsi"/>
                <w:b/>
                <w:color w:val="000000"/>
                <w:u w:val="single"/>
              </w:rPr>
              <w:t xml:space="preserve">a) Uwaga częściowo uwzględniona </w:t>
            </w:r>
          </w:p>
          <w:p w14:paraId="4E35C504" w14:textId="77777777" w:rsidR="00220974" w:rsidRPr="001F0DD4" w:rsidRDefault="00220974" w:rsidP="00955117">
            <w:pPr>
              <w:spacing w:after="0" w:line="240" w:lineRule="auto"/>
              <w:jc w:val="both"/>
              <w:rPr>
                <w:rFonts w:asciiTheme="minorHAnsi" w:hAnsiTheme="minorHAnsi" w:cstheme="minorHAnsi"/>
                <w:color w:val="000000"/>
                <w:u w:val="single"/>
              </w:rPr>
            </w:pPr>
            <w:r w:rsidRPr="001F0DD4">
              <w:rPr>
                <w:rFonts w:asciiTheme="minorHAnsi" w:hAnsiTheme="minorHAnsi" w:cstheme="minorHAnsi"/>
                <w:color w:val="000000"/>
                <w:u w:val="single"/>
              </w:rPr>
              <w:t xml:space="preserve">W tekście rozporządzenia zrezygnowano z precyzowania celu. Cel dokonywania prac serwisowych został wskazany w uzasadnieniu. </w:t>
            </w:r>
          </w:p>
          <w:p w14:paraId="1A5D6E76" w14:textId="375BF968" w:rsidR="00700D76" w:rsidRPr="001F0DD4" w:rsidRDefault="00700D76" w:rsidP="00955117">
            <w:pPr>
              <w:spacing w:after="0" w:line="240" w:lineRule="auto"/>
              <w:jc w:val="both"/>
              <w:rPr>
                <w:rFonts w:asciiTheme="minorHAnsi" w:hAnsiTheme="minorHAnsi" w:cstheme="minorHAnsi"/>
                <w:i/>
              </w:rPr>
            </w:pPr>
          </w:p>
        </w:tc>
      </w:tr>
      <w:tr w:rsidR="00700D76" w:rsidRPr="001F0DD4" w14:paraId="12BB54A6"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ADB232"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4</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9A0A9F"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4 ust.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496432A"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9B6E15" w14:textId="77777777" w:rsidR="00700D76" w:rsidRPr="001F0DD4" w:rsidRDefault="00011956" w:rsidP="00955117">
            <w:pPr>
              <w:widowControl w:val="0"/>
              <w:spacing w:after="0" w:line="240" w:lineRule="auto"/>
              <w:jc w:val="both"/>
              <w:rPr>
                <w:rFonts w:asciiTheme="minorHAnsi" w:hAnsiTheme="minorHAnsi" w:cstheme="minorHAnsi"/>
              </w:rPr>
            </w:pPr>
            <w:r w:rsidRPr="001F0DD4">
              <w:rPr>
                <w:rFonts w:asciiTheme="minorHAnsi" w:hAnsiTheme="minorHAnsi" w:cstheme="minorHAnsi"/>
                <w:b/>
              </w:rPr>
              <w:t xml:space="preserve">§ 4 ust. 3 </w:t>
            </w:r>
            <w:r w:rsidRPr="001F0DD4">
              <w:rPr>
                <w:rFonts w:asciiTheme="minorHAnsi" w:hAnsiTheme="minorHAnsi" w:cstheme="minorHAnsi"/>
              </w:rPr>
              <w:t>–</w:t>
            </w:r>
            <w:r w:rsidRPr="001F0DD4">
              <w:rPr>
                <w:rFonts w:asciiTheme="minorHAnsi" w:hAnsiTheme="minorHAnsi" w:cstheme="minorHAnsi"/>
                <w:b/>
              </w:rPr>
              <w:t> </w:t>
            </w:r>
            <w:r w:rsidRPr="001F0DD4">
              <w:rPr>
                <w:rFonts w:asciiTheme="minorHAnsi" w:hAnsiTheme="minorHAnsi" w:cstheme="minorHAnsi"/>
              </w:rPr>
              <w:t>rozwiązanie musi uwzględniać jednolite podejście do niedostępności skrzynek doręczeń, czy dotyczy skrzynek dla podmiotów publicznych, czy niepublicznych. Prace serwisowe prowadzone w systemie, nie mają odniesienia do podmiotu posiadającego skrzynkę (publiczny/niepubliczny).  Dodatkowo, jak wskazywaliśmy w pkt 3, rozporządzenie nie może regulować kwestii usługi bo dotyczy wyłącznie skrzynek doręczeń.</w:t>
            </w:r>
          </w:p>
          <w:p w14:paraId="5CDB14F0"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 związku z powyższym, Poczta Polska S.A. przedstawia propozycję brzmienia przepisu  § 4 ust. 3:</w:t>
            </w:r>
            <w:r w:rsidRPr="001F0DD4">
              <w:rPr>
                <w:rFonts w:asciiTheme="minorHAnsi" w:hAnsiTheme="minorHAnsi" w:cstheme="minorHAnsi"/>
                <w:b/>
              </w:rPr>
              <w:t xml:space="preserve"> „</w:t>
            </w:r>
            <w:r w:rsidRPr="001F0DD4">
              <w:rPr>
                <w:rFonts w:asciiTheme="minorHAnsi" w:hAnsiTheme="minorHAnsi" w:cstheme="minorHAnsi"/>
              </w:rPr>
              <w:t>3. Jeżeli planowane prace serwisowe powodują niedostępność skrzynek doręczeń, ich łączny czas  nie może przekroczyć 5,5 godzin tygodniowo.”.</w:t>
            </w:r>
          </w:p>
          <w:p w14:paraId="5BBF17F3" w14:textId="77777777" w:rsidR="009A7055" w:rsidRPr="001F0DD4" w:rsidRDefault="009A7055" w:rsidP="00955117">
            <w:pPr>
              <w:widowControl w:val="0"/>
              <w:spacing w:line="240" w:lineRule="auto"/>
              <w:jc w:val="both"/>
              <w:rPr>
                <w:rFonts w:asciiTheme="minorHAnsi" w:hAnsiTheme="minorHAnsi" w:cstheme="minorHAnsi"/>
              </w:rPr>
            </w:pP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069A2C" w14:textId="7777777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częściowo uwzględniona</w:t>
            </w:r>
          </w:p>
          <w:p w14:paraId="6B1B97D0" w14:textId="262CFC70" w:rsidR="00584AB0" w:rsidRPr="001F0DD4" w:rsidRDefault="00584AB0" w:rsidP="00955117">
            <w:pPr>
              <w:spacing w:after="120" w:line="240" w:lineRule="auto"/>
              <w:jc w:val="both"/>
              <w:rPr>
                <w:rFonts w:asciiTheme="minorHAnsi" w:hAnsiTheme="minorHAnsi" w:cstheme="minorHAnsi"/>
                <w:color w:val="000000"/>
              </w:rPr>
            </w:pPr>
            <w:r w:rsidRPr="001F0DD4">
              <w:rPr>
                <w:rFonts w:asciiTheme="minorHAnsi" w:hAnsiTheme="minorHAnsi" w:cstheme="minorHAnsi"/>
                <w:color w:val="000000"/>
              </w:rPr>
              <w:t>Intencja została uwzględniona.</w:t>
            </w:r>
          </w:p>
          <w:p w14:paraId="22E02904" w14:textId="778CDE11" w:rsidR="00A3065D" w:rsidRPr="001F0DD4" w:rsidRDefault="00A3065D" w:rsidP="00955117">
            <w:pPr>
              <w:spacing w:after="120" w:line="240" w:lineRule="auto"/>
              <w:jc w:val="both"/>
              <w:rPr>
                <w:rFonts w:asciiTheme="minorHAnsi" w:hAnsiTheme="minorHAnsi" w:cstheme="minorHAnsi"/>
                <w:color w:val="000000"/>
              </w:rPr>
            </w:pPr>
            <w:r w:rsidRPr="001F0DD4">
              <w:rPr>
                <w:rFonts w:asciiTheme="minorHAnsi" w:hAnsiTheme="minorHAnsi" w:cstheme="minorHAnsi"/>
                <w:color w:val="000000"/>
              </w:rPr>
              <w:t xml:space="preserve">Redakcja całego </w:t>
            </w:r>
            <w:r w:rsidR="000D6CDF" w:rsidRPr="001F0DD4">
              <w:rPr>
                <w:rFonts w:asciiTheme="minorHAnsi" w:hAnsiTheme="minorHAnsi" w:cstheme="minorHAnsi"/>
                <w:color w:val="000000"/>
              </w:rPr>
              <w:t xml:space="preserve">przepisu została zmieniona. </w:t>
            </w:r>
          </w:p>
          <w:p w14:paraId="7832A5E7" w14:textId="160E4F71" w:rsidR="00584AB0"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t xml:space="preserve"> </w:t>
            </w:r>
            <w:r w:rsidRPr="001F0DD4">
              <w:rPr>
                <w:rFonts w:asciiTheme="minorHAnsi" w:hAnsiTheme="minorHAnsi" w:cstheme="minorHAnsi"/>
                <w:b/>
                <w:i/>
                <w:color w:val="000000"/>
              </w:rPr>
              <w:t>§ 2.</w:t>
            </w:r>
            <w:r w:rsidRPr="001F0DD4">
              <w:rPr>
                <w:rFonts w:asciiTheme="minorHAnsi" w:hAnsiTheme="minorHAnsi" w:cstheme="minorHAnsi"/>
                <w:i/>
                <w:color w:val="000000"/>
              </w:rPr>
              <w:t xml:space="preserve"> 1. Operator wyznaczony może dokonywać planowanych prac serwisowych. </w:t>
            </w:r>
          </w:p>
          <w:p w14:paraId="4A138DFF" w14:textId="77777777" w:rsidR="00584AB0"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t>2. Planowane prace serwisowe, które powodują niedostępność skrzynek doręczeń, mogą odbywać się:</w:t>
            </w:r>
          </w:p>
          <w:p w14:paraId="6B3B4BDF" w14:textId="77777777" w:rsidR="00584AB0"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t xml:space="preserve">1) w godzinach 00:30 – 06:00 w dni powszednie i soboty;  </w:t>
            </w:r>
          </w:p>
          <w:p w14:paraId="5CDA9ADA" w14:textId="77777777" w:rsidR="00584AB0"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t xml:space="preserve">2) w godzinach 15:00 – 20:00 w niedziele. </w:t>
            </w:r>
          </w:p>
          <w:p w14:paraId="49738C50" w14:textId="77777777" w:rsidR="00584AB0"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t>3. Planowane prace serwisowe są zgłaszane organowi sprawującemu nadzór nad publiczną usługą rejestrowanego doręczenia elektronicznego co najmniej z 24 godzinnym wyprzedzeniem, a w przypadku prac serwisowych planowanych w okresie dłuższym niż miesiąc – z wyprzedzeniem 7 dni.</w:t>
            </w:r>
          </w:p>
          <w:p w14:paraId="3E0A6F9A" w14:textId="77777777" w:rsidR="00700D76" w:rsidRPr="001F0DD4" w:rsidRDefault="00584AB0" w:rsidP="00955117">
            <w:pPr>
              <w:spacing w:after="120" w:line="240" w:lineRule="auto"/>
              <w:jc w:val="both"/>
              <w:rPr>
                <w:rFonts w:asciiTheme="minorHAnsi" w:hAnsiTheme="minorHAnsi" w:cstheme="minorHAnsi"/>
                <w:i/>
                <w:color w:val="000000"/>
              </w:rPr>
            </w:pPr>
            <w:r w:rsidRPr="001F0DD4">
              <w:rPr>
                <w:rFonts w:asciiTheme="minorHAnsi" w:hAnsiTheme="minorHAnsi" w:cstheme="minorHAnsi"/>
                <w:i/>
                <w:color w:val="000000"/>
              </w:rPr>
              <w:lastRenderedPageBreak/>
              <w:t>„4. Łączny czas planowanej niedostępności skrzynek doręczeń w przypadku prac, o których mowa w ust. 2, nie może przekroczyć 5 godzin i 30 minut tygodniowo.”.</w:t>
            </w:r>
          </w:p>
          <w:p w14:paraId="316840B6" w14:textId="77777777" w:rsidR="007B099A" w:rsidRPr="001F0DD4" w:rsidRDefault="007B099A" w:rsidP="00955117">
            <w:pPr>
              <w:spacing w:after="120" w:line="240" w:lineRule="auto"/>
              <w:jc w:val="both"/>
              <w:rPr>
                <w:rFonts w:asciiTheme="minorHAnsi" w:hAnsiTheme="minorHAnsi" w:cstheme="minorHAnsi"/>
              </w:rPr>
            </w:pPr>
            <w:r w:rsidRPr="001F0DD4">
              <w:rPr>
                <w:rFonts w:asciiTheme="minorHAnsi" w:hAnsiTheme="minorHAnsi" w:cstheme="minorHAnsi"/>
              </w:rPr>
              <w:t>KPRM liczy się z możliwością zarówno awarii systemu jak i incydentu dotyczącego pojedynczej skrzynki, spowodowanego danymi umieszczonymi na skrzynce. Niemniej proponowana wartość pięciu i pół godziny zostanie przyjęta dla podmiotów publicznych i niepublicznych.</w:t>
            </w:r>
          </w:p>
          <w:p w14:paraId="11555C1C" w14:textId="19E65373" w:rsidR="007B099A" w:rsidRPr="001F0DD4" w:rsidRDefault="007B099A" w:rsidP="00955117">
            <w:pPr>
              <w:spacing w:after="120" w:line="240" w:lineRule="auto"/>
              <w:jc w:val="both"/>
              <w:rPr>
                <w:rFonts w:asciiTheme="minorHAnsi" w:hAnsiTheme="minorHAnsi" w:cstheme="minorHAnsi"/>
                <w:b/>
                <w:i/>
                <w:u w:val="single"/>
              </w:rPr>
            </w:pPr>
            <w:r w:rsidRPr="001F0DD4">
              <w:rPr>
                <w:rFonts w:asciiTheme="minorHAnsi" w:hAnsiTheme="minorHAnsi" w:cstheme="minorHAnsi"/>
              </w:rPr>
              <w:t>Usługa publiczna jest dostępna, o ile skrzynka jest dostępna, operator wyznaczony nie przewiduje bowiem możliwości korzystania z usługi z pominięciem skrzynki.</w:t>
            </w:r>
          </w:p>
        </w:tc>
      </w:tr>
      <w:tr w:rsidR="00700D76" w:rsidRPr="001F0DD4" w14:paraId="0D5B4A5C"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AB19C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5</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09C1D6"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5 ust. 1 pkt 1 i 2</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5E0BF4"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FD67FB"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b/>
              </w:rPr>
              <w:t>1.</w:t>
            </w:r>
            <w:r w:rsidRPr="001F0DD4">
              <w:rPr>
                <w:rFonts w:asciiTheme="minorHAnsi" w:hAnsiTheme="minorHAnsi" w:cstheme="minorHAnsi"/>
              </w:rPr>
              <w:t xml:space="preserve"> § 5 ust. 1 pkt 1 i 2 – zdaniem Poczty Polskiej S.A., brzmienie przepisu wykracza poza delegację ustawową. Ustawa o doręczeniach elektronicznych nie wskazuje na obowiązek Operatora Wyznaczonego dostarczania skrzynek w podziale na zasób podstawowy i zapasowy. </w:t>
            </w:r>
          </w:p>
          <w:p w14:paraId="398AE7F1"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b/>
              </w:rPr>
              <w:t>2.</w:t>
            </w:r>
            <w:r w:rsidRPr="001F0DD4">
              <w:rPr>
                <w:rFonts w:asciiTheme="minorHAnsi" w:hAnsiTheme="minorHAnsi" w:cstheme="minorHAnsi"/>
              </w:rPr>
              <w:t xml:space="preserve"> Opublikowany Standard przewiduje procedurę do stosowania na okoliczność przepełniającej się skrzynki doręczeń. System Operatora Wyznaczonego zawsze zapewni użytkownikowi możliwość pobrania dowodów z realizacji usługi PURDE/przesyłki PURDE, taki obowiązek wynika ze Standardu (np. na nośnik zewnętrzny z pominięciem skrzynki). Przygotowane rozwiązanie techniczne przez Operatora Wyznaczonego, nie przewiduje dzielenia przestrzeni i monitorowania podzielonej przestrzeni.  </w:t>
            </w:r>
          </w:p>
          <w:p w14:paraId="20F0E7A3"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 związku z powyższym, Poczta Polska S.A. przedstawia propozycję brzmienia przepisu  § 5 ust. 1:</w:t>
            </w:r>
          </w:p>
          <w:p w14:paraId="54F31EF2"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„1. Gwarantowana pojemność skrzynek doręczeń wynosi 15 GB dla podmiotów publicznych  i 1 GB dla podmiotów niepublicznych.”</w:t>
            </w:r>
          </w:p>
          <w:p w14:paraId="0DF715BD" w14:textId="77777777" w:rsidR="00700D76" w:rsidRPr="001F0DD4" w:rsidRDefault="00700D76" w:rsidP="00955117">
            <w:pPr>
              <w:widowControl w:val="0"/>
              <w:spacing w:line="240" w:lineRule="auto"/>
              <w:jc w:val="both"/>
              <w:rPr>
                <w:rFonts w:asciiTheme="minorHAnsi" w:hAnsiTheme="minorHAnsi" w:cstheme="minorHAnsi"/>
              </w:rPr>
            </w:pP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8E422C" w14:textId="7BC7923D" w:rsidR="00700D76" w:rsidRPr="001F0DD4" w:rsidRDefault="00B12EC2"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 xml:space="preserve">1. </w:t>
            </w:r>
            <w:r w:rsidR="00011956" w:rsidRPr="001F0DD4">
              <w:rPr>
                <w:rFonts w:asciiTheme="minorHAnsi" w:hAnsiTheme="minorHAnsi" w:cstheme="minorHAnsi"/>
                <w:b/>
                <w:u w:val="single"/>
              </w:rPr>
              <w:t>Uwaga częściowo uwzględniona</w:t>
            </w:r>
            <w:r w:rsidR="001217E3" w:rsidRPr="001F0DD4">
              <w:rPr>
                <w:rFonts w:asciiTheme="minorHAnsi" w:hAnsiTheme="minorHAnsi" w:cstheme="minorHAnsi"/>
                <w:b/>
                <w:u w:val="single"/>
              </w:rPr>
              <w:t xml:space="preserve"> wobec zmiany stanowiska operatora wyznaczonego co do wielkości pojemności skrzynek doręczeń.</w:t>
            </w:r>
          </w:p>
          <w:p w14:paraId="26CFCB16" w14:textId="77777777" w:rsidR="001217E3" w:rsidRPr="001F0DD4" w:rsidRDefault="001217E3" w:rsidP="00955117">
            <w:pPr>
              <w:spacing w:after="0" w:line="240" w:lineRule="auto"/>
              <w:jc w:val="both"/>
              <w:rPr>
                <w:rFonts w:asciiTheme="minorHAnsi" w:hAnsiTheme="minorHAnsi" w:cstheme="minorHAnsi"/>
              </w:rPr>
            </w:pPr>
            <w:r w:rsidRPr="001F0DD4">
              <w:rPr>
                <w:rFonts w:asciiTheme="minorHAnsi" w:hAnsiTheme="minorHAnsi" w:cstheme="minorHAnsi"/>
              </w:rPr>
              <w:t xml:space="preserve">Operator wyznaczony zaproponował podwyższenie pojemności skrzynek doręczeń dla podmiotów publicznych do 30 GB a 3 GB dla niepublicznych. Usuwa to konieczność stosowania obostrzeń funkcjonalnych stosowanych przy zapełnianiu się skrzynki doręczeń. </w:t>
            </w:r>
          </w:p>
          <w:p w14:paraId="20CA22FB" w14:textId="5925C8AC"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b/>
              </w:rPr>
              <w:t>2.</w:t>
            </w:r>
            <w:r w:rsidRPr="001F0DD4">
              <w:rPr>
                <w:rFonts w:asciiTheme="minorHAnsi" w:hAnsiTheme="minorHAnsi" w:cstheme="minorHAnsi"/>
              </w:rPr>
              <w:t xml:space="preserve"> Przewidywane przez projektodawcę mechanizmy istniały już w wersji z 08.01.2021 projektu rozporządzenia oraz w wersji 1C z 27.05.2020, (rozdział 7) Załącznika Skrzynki do Standardu, który opisał je tak samo jak par. 5. Poczta Polska wiedziała o ich istnieniu i zgłosiła w uwagach propozycję umieszczenia ich w rozporządzeniu (nie uważając tego wówczas za wyjście poza delegację ustawową), wskazując </w:t>
            </w:r>
            <w:r w:rsidRPr="001F0DD4">
              <w:rPr>
                <w:rFonts w:asciiTheme="minorHAnsi" w:hAnsiTheme="minorHAnsi" w:cstheme="minorHAnsi"/>
              </w:rPr>
              <w:lastRenderedPageBreak/>
              <w:t xml:space="preserve">jednocześnie, że będzie to materia przekazana do aktu wykonawczego. </w:t>
            </w:r>
          </w:p>
          <w:p w14:paraId="05ACB707"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Projektodawca przyjął więc, że ta sprawa została uzgodniona już w roku 2020. </w:t>
            </w:r>
          </w:p>
          <w:p w14:paraId="78DE9086" w14:textId="5163F09B"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Zakładane w rozwiązaniu funkcjonalności badania stanu zapełnienia skrzynki przed umożliwieniem użytkownikowi stworzenia lub wysłania nowej wiadomości </w:t>
            </w:r>
            <w:r w:rsidR="00CB6C0E" w:rsidRPr="001F0DD4">
              <w:rPr>
                <w:rFonts w:asciiTheme="minorHAnsi" w:hAnsiTheme="minorHAnsi" w:cstheme="minorHAnsi"/>
              </w:rPr>
              <w:t>operator wyznaczony</w:t>
            </w:r>
            <w:r w:rsidRPr="001F0DD4">
              <w:rPr>
                <w:rFonts w:asciiTheme="minorHAnsi" w:hAnsiTheme="minorHAnsi" w:cstheme="minorHAnsi"/>
              </w:rPr>
              <w:t xml:space="preserve"> jako dostawca rozwiązania skrzynki musi wykonać niezależnie czy będzie je stosował przy 100% zapełnieniu czy przy niższych wartościach.</w:t>
            </w:r>
          </w:p>
        </w:tc>
      </w:tr>
      <w:tr w:rsidR="00700D76" w:rsidRPr="001F0DD4" w14:paraId="6FB2155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4071A2"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6.</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540EE4"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5 ust. 2</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CC4621"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AB2FC9"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 xml:space="preserve">§ 5 ust. 2 </w:t>
            </w:r>
            <w:r w:rsidRPr="001F0DD4">
              <w:rPr>
                <w:rFonts w:asciiTheme="minorHAnsi" w:hAnsiTheme="minorHAnsi" w:cstheme="minorHAnsi"/>
              </w:rPr>
              <w:t>– Poczta Polska S.A. proponuje modyfikację przepisu poprzez nadanie następującego brzmienia:</w:t>
            </w:r>
          </w:p>
          <w:p w14:paraId="39551D05"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„2. Operator wyznaczony zapewniając gwarantowaną pojemność skrzynek doręczeń umożliwia użytkownikom pobranie korespondencji i zarchiwizowanie jej na nośniku użytkownika albo jej usuwanie.”</w:t>
            </w:r>
          </w:p>
          <w:p w14:paraId="11470AFB" w14:textId="77777777" w:rsidR="0071601B" w:rsidRPr="001F0DD4" w:rsidRDefault="0071601B" w:rsidP="00955117">
            <w:pPr>
              <w:spacing w:line="240" w:lineRule="auto"/>
              <w:jc w:val="both"/>
              <w:rPr>
                <w:rFonts w:asciiTheme="minorHAnsi" w:hAnsiTheme="minorHAnsi" w:cstheme="minorHAnsi"/>
              </w:rPr>
            </w:pP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AB4495" w14:textId="021245BA"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w:t>
            </w:r>
            <w:r w:rsidR="00A05CFE" w:rsidRPr="001F0DD4">
              <w:rPr>
                <w:rFonts w:asciiTheme="minorHAnsi" w:hAnsiTheme="minorHAnsi" w:cstheme="minorHAnsi"/>
                <w:b/>
                <w:u w:val="single"/>
              </w:rPr>
              <w:t xml:space="preserve"> </w:t>
            </w:r>
            <w:r w:rsidR="0026553C" w:rsidRPr="001F0DD4">
              <w:rPr>
                <w:rFonts w:asciiTheme="minorHAnsi" w:hAnsiTheme="minorHAnsi" w:cstheme="minorHAnsi"/>
                <w:b/>
                <w:u w:val="single"/>
              </w:rPr>
              <w:t>częściowo</w:t>
            </w:r>
            <w:r w:rsidRPr="001F0DD4">
              <w:rPr>
                <w:rFonts w:asciiTheme="minorHAnsi" w:hAnsiTheme="minorHAnsi" w:cstheme="minorHAnsi"/>
                <w:b/>
                <w:u w:val="single"/>
              </w:rPr>
              <w:t xml:space="preserve"> uwzględniona</w:t>
            </w:r>
          </w:p>
          <w:p w14:paraId="74849437" w14:textId="57DB9722" w:rsidR="0026553C" w:rsidRPr="001F0DD4" w:rsidRDefault="0026553C"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Brzmienie uwzględnia także uwagę RCL</w:t>
            </w:r>
            <w:r w:rsidR="00091056" w:rsidRPr="001F0DD4">
              <w:rPr>
                <w:rFonts w:asciiTheme="minorHAnsi" w:hAnsiTheme="minorHAnsi" w:cstheme="minorHAnsi"/>
                <w:b/>
                <w:u w:val="single"/>
              </w:rPr>
              <w:t>.</w:t>
            </w:r>
          </w:p>
          <w:p w14:paraId="6D7D0191" w14:textId="1B1B8BBB" w:rsidR="00A05CFE" w:rsidRPr="001F0DD4" w:rsidRDefault="00A05CFE" w:rsidP="00453C99">
            <w:pPr>
              <w:spacing w:after="0" w:line="240" w:lineRule="auto"/>
              <w:jc w:val="both"/>
              <w:rPr>
                <w:rFonts w:asciiTheme="minorHAnsi" w:hAnsiTheme="minorHAnsi" w:cstheme="minorHAnsi"/>
              </w:rPr>
            </w:pPr>
            <w:r w:rsidRPr="001F0DD4">
              <w:rPr>
                <w:rFonts w:asciiTheme="minorHAnsi" w:hAnsiTheme="minorHAnsi" w:cstheme="minorHAnsi"/>
              </w:rPr>
              <w:t>„</w:t>
            </w:r>
            <w:r w:rsidRPr="001F0DD4">
              <w:rPr>
                <w:rFonts w:asciiTheme="minorHAnsi" w:hAnsiTheme="minorHAnsi" w:cstheme="minorHAnsi"/>
                <w:i/>
              </w:rPr>
              <w:t xml:space="preserve">2. Operator wyznaczony zapewniając gwarantowaną pojemność skrzynek doręczeń umożliwia pobranie na skrzynkę doręczeń korespondencji, w tym z wykorzystaniem reguł przekazywania korespondencji do innych systemów teleinformatycznych w sposób automatyczny oraz archiwizowanie jej poza skrzynką doręczeń z jednoczesnym usunięciem jej ze skrzynki doręczeń.” </w:t>
            </w:r>
          </w:p>
        </w:tc>
      </w:tr>
      <w:tr w:rsidR="00700D76" w:rsidRPr="001F0DD4" w14:paraId="1EE80019"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E928E2" w14:textId="1D36ED48"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7</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4D23933"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i/>
              </w:rPr>
              <w:t>§ 5 ust. 1 pkt 1</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E91DDC"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ILIM</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7411C7" w14:textId="77777777" w:rsidR="0026553C"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Zgodnie z treścią § 5 ust. 1 pkt 1 projektu rozporządzenia gwarantowana pojemność skrzynek doręczeń wynosi 15 GB dla podmiotów publicznych i 1 GB dla podmiotów niepublicznych, w tym 8 GB dla podmiotów publicznych i 0,75 GB dla podmiotów niepublicznych podstawowej przestrzeni na korespondencję otrzymaną i wysłaną wraz z dowodami wysłania oraz dowodami otrzymania, a także na korespondencję usuniętą i roboczą (...). </w:t>
            </w:r>
          </w:p>
          <w:p w14:paraId="0D2B73F1" w14:textId="34DADC81"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Zgodnie z zacytowanym przepisem opisana pojemność skrzynek zarezerwowana jest również na korespondencję usuniętą. Taka konstrukcja przepisu powoduje niejasność. Jak należy rozumieć pojęcie „korespondencji usuniętej”? Zapewne chodzi o korespondencję, która nie została usunięta lecz została </w:t>
            </w:r>
            <w:r w:rsidRPr="001F0DD4">
              <w:rPr>
                <w:rFonts w:asciiTheme="minorHAnsi" w:hAnsiTheme="minorHAnsi" w:cstheme="minorHAnsi"/>
              </w:rPr>
              <w:lastRenderedPageBreak/>
              <w:t xml:space="preserve">przeniesiona do kosza skrzynki. W tej sytuacji sugerujemy precyzyjne określenie, że chodzi o korespondencje znajdującą się w koszu (archiwum) a nie o korespondencje usuniętą.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0B910F"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Uwaga częściowo uwzględniona</w:t>
            </w:r>
          </w:p>
          <w:p w14:paraId="3DD09D8A" w14:textId="4D320854" w:rsidR="00011956" w:rsidRPr="001F0DD4" w:rsidRDefault="00A76F4F" w:rsidP="00955117">
            <w:pPr>
              <w:spacing w:after="0" w:line="240" w:lineRule="auto"/>
              <w:jc w:val="both"/>
              <w:rPr>
                <w:rFonts w:asciiTheme="minorHAnsi" w:hAnsiTheme="minorHAnsi" w:cstheme="minorHAnsi"/>
              </w:rPr>
            </w:pPr>
            <w:r w:rsidRPr="001F0DD4">
              <w:rPr>
                <w:rFonts w:asciiTheme="minorHAnsi" w:hAnsiTheme="minorHAnsi" w:cstheme="minorHAnsi"/>
              </w:rPr>
              <w:t>Operator wyznaczony zaproponował podwyższenie pojemności skrzynek doręczeń dla podmiotów publicznych do 30 GB a 3 GB dla niepublicznych.</w:t>
            </w:r>
          </w:p>
          <w:p w14:paraId="4B4A1934" w14:textId="77777777" w:rsidR="0026553C" w:rsidRPr="001F0DD4" w:rsidRDefault="0026553C" w:rsidP="00955117">
            <w:pPr>
              <w:spacing w:after="0" w:line="240" w:lineRule="auto"/>
              <w:jc w:val="both"/>
              <w:rPr>
                <w:rFonts w:asciiTheme="minorHAnsi" w:hAnsiTheme="minorHAnsi" w:cstheme="minorHAnsi"/>
              </w:rPr>
            </w:pPr>
          </w:p>
          <w:p w14:paraId="073888E2"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Uwaga zasadna, ale rozporządzenie nie powinno posługiwać się określeniem kosza, które jest uznane za potoczne. Proponuje się użycie zwrotu: "korespondencja oznaczona jako usunięta".</w:t>
            </w:r>
          </w:p>
        </w:tc>
      </w:tr>
      <w:tr w:rsidR="00700D76" w:rsidRPr="001F0DD4" w14:paraId="6AE2D0F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588930"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8</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93C290"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b/>
                <w:i/>
              </w:rPr>
              <w:t>§ 5 ust. 4</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9BFD21"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C24FD4" w14:textId="13766685" w:rsidR="00700D76" w:rsidRPr="001F0DD4" w:rsidRDefault="00011956" w:rsidP="00955117">
            <w:pPr>
              <w:widowControl w:val="0"/>
              <w:spacing w:line="240" w:lineRule="auto"/>
              <w:jc w:val="both"/>
              <w:rPr>
                <w:rFonts w:asciiTheme="minorHAnsi" w:hAnsiTheme="minorHAnsi" w:cstheme="minorHAnsi"/>
                <w:i/>
              </w:rPr>
            </w:pPr>
            <w:r w:rsidRPr="001F0DD4">
              <w:rPr>
                <w:rFonts w:asciiTheme="minorHAnsi" w:hAnsiTheme="minorHAnsi" w:cstheme="minorHAnsi"/>
                <w:b/>
                <w:i/>
              </w:rPr>
              <w:t xml:space="preserve">§ 5 ust. 4 </w:t>
            </w:r>
            <w:r w:rsidRPr="001F0DD4">
              <w:rPr>
                <w:rFonts w:asciiTheme="minorHAnsi" w:hAnsiTheme="minorHAnsi" w:cstheme="minorHAnsi"/>
                <w:i/>
              </w:rPr>
              <w:t>– proponujemy usunięcie przepisu, powtórzenie przepisu w § 7.</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7D3EE7" w14:textId="19DC48A9" w:rsidR="00700D76" w:rsidRPr="001F0DD4" w:rsidRDefault="00011956" w:rsidP="00955117">
            <w:pPr>
              <w:spacing w:after="0" w:line="240" w:lineRule="auto"/>
              <w:jc w:val="both"/>
              <w:rPr>
                <w:rFonts w:asciiTheme="minorHAnsi" w:hAnsiTheme="minorHAnsi" w:cstheme="minorHAnsi"/>
                <w:b/>
                <w:i/>
                <w:u w:val="single"/>
              </w:rPr>
            </w:pPr>
            <w:r w:rsidRPr="001F0DD4">
              <w:rPr>
                <w:rFonts w:asciiTheme="minorHAnsi" w:hAnsiTheme="minorHAnsi" w:cstheme="minorHAnsi"/>
                <w:b/>
                <w:i/>
                <w:u w:val="single"/>
              </w:rPr>
              <w:t>Uwaga uwzględniona</w:t>
            </w:r>
          </w:p>
        </w:tc>
      </w:tr>
      <w:tr w:rsidR="00700D76" w:rsidRPr="001F0DD4" w14:paraId="675F982C"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76DA7D"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9</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A8A993"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 6 ust. 2 i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7E6722"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47716D" w14:textId="77777777" w:rsidR="00700D76" w:rsidRPr="001F0DD4" w:rsidRDefault="00011956" w:rsidP="00955117">
            <w:pPr>
              <w:widowControl w:val="0"/>
              <w:spacing w:line="240" w:lineRule="auto"/>
              <w:jc w:val="both"/>
              <w:rPr>
                <w:rFonts w:asciiTheme="minorHAnsi" w:hAnsiTheme="minorHAnsi" w:cstheme="minorHAnsi"/>
                <w:i/>
              </w:rPr>
            </w:pPr>
            <w:r w:rsidRPr="001F0DD4">
              <w:rPr>
                <w:rFonts w:asciiTheme="minorHAnsi" w:hAnsiTheme="minorHAnsi" w:cstheme="minorHAnsi"/>
                <w:i/>
              </w:rPr>
              <w:t xml:space="preserve">Operator Wyznaczony zapewnia komunikację o zapełnieniu skrzynki. Zasób Operatora Wyznaczonego nie jest dzielony na przestrzeń podstawową i zapasową. Zdaniem </w:t>
            </w:r>
            <w:r w:rsidRPr="001F0DD4">
              <w:rPr>
                <w:rFonts w:asciiTheme="minorHAnsi" w:hAnsiTheme="minorHAnsi" w:cstheme="minorHAnsi"/>
                <w:i/>
              </w:rPr>
              <w:br/>
              <w:t xml:space="preserve">Poczty Polskiej S.A., brzmienie przepisu wykracza poza delegację ustawową. Ustawa </w:t>
            </w:r>
            <w:r w:rsidRPr="001F0DD4">
              <w:rPr>
                <w:rFonts w:asciiTheme="minorHAnsi" w:hAnsiTheme="minorHAnsi" w:cstheme="minorHAnsi"/>
                <w:i/>
              </w:rPr>
              <w:br/>
              <w:t xml:space="preserve">o doręczeniach elektronicznych nie wskazuje na obowiązek Operatora Wyznaczonego dostarczania skrzynek doręczeń w podziale na zasób podstawowy i zapasowy. </w:t>
            </w:r>
          </w:p>
          <w:p w14:paraId="20D70F8F" w14:textId="77777777" w:rsidR="00700D76" w:rsidRPr="001F0DD4" w:rsidRDefault="00011956" w:rsidP="00955117">
            <w:pPr>
              <w:widowControl w:val="0"/>
              <w:spacing w:line="240" w:lineRule="auto"/>
              <w:jc w:val="both"/>
              <w:rPr>
                <w:rFonts w:asciiTheme="minorHAnsi" w:hAnsiTheme="minorHAnsi" w:cstheme="minorHAnsi"/>
                <w:i/>
              </w:rPr>
            </w:pPr>
            <w:r w:rsidRPr="001F0DD4">
              <w:rPr>
                <w:rFonts w:asciiTheme="minorHAnsi" w:hAnsiTheme="minorHAnsi" w:cstheme="minorHAnsi"/>
                <w:i/>
              </w:rPr>
              <w:t xml:space="preserve">W związku z powyższym, Poczta Polska S.A. przedstawia propozycję brzmienia przepisu § 6 </w:t>
            </w:r>
            <w:r w:rsidRPr="001F0DD4">
              <w:rPr>
                <w:rFonts w:asciiTheme="minorHAnsi" w:hAnsiTheme="minorHAnsi" w:cstheme="minorHAnsi"/>
                <w:i/>
              </w:rPr>
              <w:br/>
              <w:t>ust. 2 i 3:</w:t>
            </w:r>
          </w:p>
          <w:p w14:paraId="757C93D3" w14:textId="77777777" w:rsidR="00700D76" w:rsidRPr="001F0DD4" w:rsidRDefault="00011956" w:rsidP="00955117">
            <w:pPr>
              <w:widowControl w:val="0"/>
              <w:spacing w:line="240" w:lineRule="auto"/>
              <w:ind w:left="720"/>
              <w:jc w:val="both"/>
              <w:rPr>
                <w:rFonts w:asciiTheme="minorHAnsi" w:hAnsiTheme="minorHAnsi" w:cstheme="minorHAnsi"/>
                <w:i/>
              </w:rPr>
            </w:pPr>
            <w:r w:rsidRPr="001F0DD4">
              <w:rPr>
                <w:rFonts w:asciiTheme="minorHAnsi" w:hAnsiTheme="minorHAnsi" w:cstheme="minorHAnsi"/>
                <w:i/>
              </w:rPr>
              <w:t>„2.</w:t>
            </w:r>
            <w:r w:rsidRPr="001F0DD4">
              <w:rPr>
                <w:rFonts w:asciiTheme="minorHAnsi" w:hAnsiTheme="minorHAnsi" w:cstheme="minorHAnsi"/>
                <w:b/>
                <w:i/>
              </w:rPr>
              <w:t xml:space="preserve"> </w:t>
            </w:r>
            <w:r w:rsidRPr="001F0DD4">
              <w:rPr>
                <w:rFonts w:asciiTheme="minorHAnsi" w:hAnsiTheme="minorHAnsi" w:cstheme="minorHAnsi"/>
                <w:i/>
              </w:rPr>
              <w:t>Operator wyznaczony przed zapełnieniem skrzynki doręczeń ostrzega użytkownika przed konsekwencjami jej zapełnienia.</w:t>
            </w:r>
          </w:p>
          <w:p w14:paraId="473FEC4E" w14:textId="77777777" w:rsidR="00700D76" w:rsidRPr="001F0DD4" w:rsidRDefault="00011956" w:rsidP="00955117">
            <w:pPr>
              <w:widowControl w:val="0"/>
              <w:numPr>
                <w:ilvl w:val="0"/>
                <w:numId w:val="1"/>
              </w:numPr>
              <w:tabs>
                <w:tab w:val="left" w:pos="993"/>
              </w:tabs>
              <w:spacing w:line="240" w:lineRule="auto"/>
              <w:ind w:left="709" w:firstLine="10"/>
              <w:jc w:val="both"/>
              <w:rPr>
                <w:rFonts w:asciiTheme="minorHAnsi" w:hAnsiTheme="minorHAnsi" w:cstheme="minorHAnsi"/>
                <w:i/>
              </w:rPr>
            </w:pPr>
            <w:r w:rsidRPr="001F0DD4">
              <w:rPr>
                <w:rFonts w:asciiTheme="minorHAnsi" w:hAnsiTheme="minorHAnsi" w:cstheme="minorHAnsi"/>
                <w:i/>
              </w:rPr>
              <w:t>Po zapełnieniu skrzynka doręczeń pozwala użytkownikowi na odczytanie i usuwanie pobranej wcześniej korespondencji”.</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59407A" w14:textId="77777777" w:rsidR="00700D76" w:rsidRPr="001F0DD4" w:rsidRDefault="00011956" w:rsidP="00955117">
            <w:pPr>
              <w:spacing w:after="0" w:line="240" w:lineRule="auto"/>
              <w:jc w:val="both"/>
              <w:rPr>
                <w:rFonts w:asciiTheme="minorHAnsi" w:hAnsiTheme="minorHAnsi" w:cstheme="minorHAnsi"/>
                <w:b/>
                <w:i/>
                <w:u w:val="single"/>
              </w:rPr>
            </w:pPr>
            <w:r w:rsidRPr="001F0DD4">
              <w:rPr>
                <w:rFonts w:asciiTheme="minorHAnsi" w:hAnsiTheme="minorHAnsi" w:cstheme="minorHAnsi"/>
                <w:b/>
                <w:i/>
                <w:u w:val="single"/>
              </w:rPr>
              <w:t>Uwaga częściowo uwzględniona</w:t>
            </w:r>
          </w:p>
          <w:p w14:paraId="4D0B87D9" w14:textId="23E09FB3" w:rsidR="00700D76" w:rsidRPr="001F0DD4" w:rsidRDefault="003743CE" w:rsidP="00955117">
            <w:pPr>
              <w:spacing w:after="0" w:line="240" w:lineRule="auto"/>
              <w:jc w:val="both"/>
              <w:rPr>
                <w:rFonts w:asciiTheme="minorHAnsi" w:hAnsiTheme="minorHAnsi" w:cstheme="minorHAnsi"/>
              </w:rPr>
            </w:pPr>
            <w:r w:rsidRPr="001F0DD4">
              <w:rPr>
                <w:rFonts w:asciiTheme="minorHAnsi" w:hAnsiTheme="minorHAnsi" w:cstheme="minorHAnsi"/>
              </w:rPr>
              <w:t>Zaproponowano następujące brzmienie:</w:t>
            </w:r>
          </w:p>
          <w:p w14:paraId="510B75F9" w14:textId="0D03512F" w:rsidR="003743CE" w:rsidRPr="001F0DD4" w:rsidRDefault="003743CE" w:rsidP="00955117">
            <w:pPr>
              <w:spacing w:after="0" w:line="240" w:lineRule="auto"/>
              <w:jc w:val="both"/>
              <w:rPr>
                <w:rFonts w:asciiTheme="minorHAnsi" w:hAnsiTheme="minorHAnsi" w:cstheme="minorHAnsi"/>
                <w:i/>
              </w:rPr>
            </w:pPr>
            <w:r w:rsidRPr="001F0DD4">
              <w:rPr>
                <w:rFonts w:asciiTheme="minorHAnsi" w:hAnsiTheme="minorHAnsi" w:cstheme="minorHAnsi"/>
                <w:i/>
              </w:rPr>
              <w:t>„2. Operator wyznaczony przy zapełnieniu 90% pojemności gwarantowanej jednorazowo informuje podmiot o skutkach zapełnienia skrzynki doręczeń, o których mowa w ust. 3.</w:t>
            </w:r>
          </w:p>
          <w:p w14:paraId="3FB9AA19" w14:textId="77777777" w:rsidR="003743CE" w:rsidRPr="001F0DD4" w:rsidRDefault="003743CE" w:rsidP="00955117">
            <w:pPr>
              <w:spacing w:after="0" w:line="240" w:lineRule="auto"/>
              <w:jc w:val="both"/>
              <w:rPr>
                <w:rFonts w:asciiTheme="minorHAnsi" w:hAnsiTheme="minorHAnsi" w:cstheme="minorHAnsi"/>
                <w:i/>
              </w:rPr>
            </w:pPr>
            <w:r w:rsidRPr="001F0DD4">
              <w:rPr>
                <w:rFonts w:asciiTheme="minorHAnsi" w:hAnsiTheme="minorHAnsi" w:cstheme="minorHAnsi"/>
                <w:i/>
              </w:rPr>
              <w:t xml:space="preserve">3. Po zapełnieniu 98% pojemności gwarantowanej skrzynka doręczeń pozwala użytkownikowi jedynie na odczytywanie, archiwizowanie i usuwanie korespondencji. W tym przypadku użytkownik traci możliwość pobierania na skrzynkę, wysyłania oraz tworzenia nowej korespondencji. </w:t>
            </w:r>
          </w:p>
          <w:p w14:paraId="7133B2CF" w14:textId="42906682" w:rsidR="00700D76" w:rsidRPr="001F0DD4" w:rsidRDefault="003743CE" w:rsidP="00955117">
            <w:pPr>
              <w:spacing w:after="0" w:line="240" w:lineRule="auto"/>
              <w:jc w:val="both"/>
              <w:rPr>
                <w:rFonts w:asciiTheme="minorHAnsi" w:hAnsiTheme="minorHAnsi" w:cstheme="minorHAnsi"/>
                <w:i/>
              </w:rPr>
            </w:pPr>
            <w:r w:rsidRPr="001F0DD4">
              <w:rPr>
                <w:rFonts w:asciiTheme="minorHAnsi" w:hAnsiTheme="minorHAnsi" w:cstheme="minorHAnsi"/>
                <w:i/>
              </w:rPr>
              <w:t>4. Po zapełnieniu przekraczającym 98% pojemności gwarantowanej operator wyznaczony okresowo informuje użytkownika o konieczności usunięcia wiadomości jako warunku przywrócenia pełnej funkcjonalności skrzynki.</w:t>
            </w:r>
            <w:r w:rsidR="00901700" w:rsidRPr="001F0DD4">
              <w:rPr>
                <w:rFonts w:asciiTheme="minorHAnsi" w:hAnsiTheme="minorHAnsi" w:cstheme="minorHAnsi"/>
                <w:i/>
              </w:rPr>
              <w:t>”</w:t>
            </w:r>
            <w:r w:rsidRPr="001F0DD4">
              <w:rPr>
                <w:rFonts w:asciiTheme="minorHAnsi" w:hAnsiTheme="minorHAnsi" w:cstheme="minorHAnsi"/>
                <w:i/>
              </w:rPr>
              <w:t xml:space="preserve"> </w:t>
            </w:r>
          </w:p>
        </w:tc>
      </w:tr>
      <w:tr w:rsidR="00700D76" w:rsidRPr="001F0DD4" w14:paraId="16166DF2"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5DBC41"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10</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0BF582"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6 ust. 2</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1D66BA4"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ILIM</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EC76AD"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W myśl § 6 ust. 2 projektu rozporządzenia operator wyznaczony przed zapełnieniem przestrzeni podstawowej ostrzega użytkownika przed konsekwencjami zapełnienia skrzynki doręczeń. Przepis ten jest bardzo ogólny; nie doprecyzowano w nim w jaki sposób następuje wskazane ostrzeżenie i z jaką częstotliwością. Sugerujemy doprecyzowanie projektu rozporządzenia we wskazanych zakresach.</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91ADAE"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częściowo uwzględniona</w:t>
            </w:r>
          </w:p>
          <w:p w14:paraId="62C0B617" w14:textId="0ACC55B6"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Nie jest zasadne precyzowanie projektu rozwiązania (jak rozwiązanie ma funkcjonować lub być zbudowane), lecz oczekiwanych efektów. Proponuje się uzupełnienie przepisu, iż jest to ostrzeżenie jednorazowe i wydawane zanim dojdzie do zapełnienia, a szczegóły określić w dokumentacji Standardu opublikowanego na BIP Ministra Cyfryzacji.</w:t>
            </w:r>
          </w:p>
        </w:tc>
      </w:tr>
      <w:tr w:rsidR="00700D76" w:rsidRPr="001F0DD4" w14:paraId="62893F3C"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848B5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11</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E386A9"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6 ust.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B208CA"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ILIM</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080FEB"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 6 ust. 3 projektu rozporządzenia stanowi, że po zapełnieniu przestrzeni podstawowej skrzynka doręczeń pozwala użytkownikowi jedynie na odbieranie i usuwanie korespondencji. </w:t>
            </w:r>
            <w:r w:rsidRPr="001F0DD4">
              <w:rPr>
                <w:rFonts w:asciiTheme="minorHAnsi" w:hAnsiTheme="minorHAnsi" w:cstheme="minorHAnsi"/>
              </w:rPr>
              <w:lastRenderedPageBreak/>
              <w:t xml:space="preserve">Jeżeli wiadomości są magazynowane w przestrzeni zapasowej użytkownik traci możliwość wysyłania korespondencji do czasu zwolnienia przestrzeni na skrzynce doręczeń. Sugerujemy poszerzyć katalog ograniczeń również o „tworzenie” korespondencji. Taka operacja również powoduje wykorzystanie przestrzeni.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575861" w14:textId="32DC43B4" w:rsidR="00700D76" w:rsidRPr="001F0DD4" w:rsidRDefault="00011956" w:rsidP="00955117">
            <w:pPr>
              <w:spacing w:after="0" w:line="240" w:lineRule="auto"/>
              <w:jc w:val="both"/>
              <w:rPr>
                <w:rFonts w:asciiTheme="minorHAnsi" w:hAnsiTheme="minorHAnsi" w:cstheme="minorHAnsi"/>
                <w:b/>
                <w:i/>
                <w:u w:val="single"/>
              </w:rPr>
            </w:pPr>
            <w:r w:rsidRPr="001F0DD4">
              <w:rPr>
                <w:rFonts w:asciiTheme="minorHAnsi" w:hAnsiTheme="minorHAnsi" w:cstheme="minorHAnsi"/>
                <w:b/>
                <w:i/>
                <w:u w:val="single"/>
              </w:rPr>
              <w:lastRenderedPageBreak/>
              <w:t>Uwaga uwzględniona</w:t>
            </w:r>
          </w:p>
          <w:p w14:paraId="09484E09" w14:textId="1DAD380B" w:rsidR="004213B2" w:rsidRPr="001F0DD4" w:rsidRDefault="004213B2" w:rsidP="00955117">
            <w:pPr>
              <w:spacing w:after="0" w:line="240" w:lineRule="auto"/>
              <w:jc w:val="both"/>
              <w:rPr>
                <w:rFonts w:asciiTheme="minorHAnsi" w:hAnsiTheme="minorHAnsi" w:cstheme="minorHAnsi"/>
                <w:u w:val="single"/>
              </w:rPr>
            </w:pPr>
            <w:r w:rsidRPr="001F0DD4">
              <w:rPr>
                <w:rFonts w:asciiTheme="minorHAnsi" w:hAnsiTheme="minorHAnsi" w:cstheme="minorHAnsi"/>
                <w:u w:val="single"/>
              </w:rPr>
              <w:t>Przepis otrzymał brzmienie:</w:t>
            </w:r>
          </w:p>
          <w:p w14:paraId="09E648F3" w14:textId="5C00D340" w:rsidR="00700D76" w:rsidRPr="001F0DD4" w:rsidRDefault="004213B2" w:rsidP="00F75D0E">
            <w:pPr>
              <w:spacing w:after="0" w:line="240" w:lineRule="auto"/>
              <w:jc w:val="both"/>
              <w:rPr>
                <w:rFonts w:asciiTheme="minorHAnsi" w:hAnsiTheme="minorHAnsi" w:cstheme="minorHAnsi"/>
                <w:b/>
                <w:i/>
                <w:u w:val="single"/>
              </w:rPr>
            </w:pPr>
            <w:r w:rsidRPr="001F0DD4">
              <w:rPr>
                <w:rFonts w:asciiTheme="minorHAnsi" w:hAnsiTheme="minorHAnsi" w:cstheme="minorHAnsi"/>
                <w:i/>
                <w:u w:val="single"/>
              </w:rPr>
              <w:lastRenderedPageBreak/>
              <w:t>„3. Po zapełnieniu 98% pojemności gwarantowanej skrzynka doręczeń pozwala użytkownikowi jedynie na odczytywanie, archiwizowanie i usuwanie korespondencji. W</w:t>
            </w:r>
            <w:r w:rsidR="00A0779E" w:rsidRPr="001F0DD4">
              <w:rPr>
                <w:rFonts w:asciiTheme="minorHAnsi" w:hAnsiTheme="minorHAnsi" w:cstheme="minorHAnsi"/>
                <w:i/>
                <w:u w:val="single"/>
              </w:rPr>
              <w:t> </w:t>
            </w:r>
            <w:r w:rsidRPr="001F0DD4">
              <w:rPr>
                <w:rFonts w:asciiTheme="minorHAnsi" w:hAnsiTheme="minorHAnsi" w:cstheme="minorHAnsi"/>
                <w:i/>
                <w:u w:val="single"/>
              </w:rPr>
              <w:t xml:space="preserve">tym przypadku użytkownik traci możliwość pobierania na skrzynkę, wysyłania oraz tworzenia nowej korespondencji. </w:t>
            </w:r>
          </w:p>
        </w:tc>
      </w:tr>
      <w:tr w:rsidR="00700D76" w:rsidRPr="001F0DD4" w14:paraId="12E5B0EE"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4BBA09"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12</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2CD1EB"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6 ust. 4</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7E1EBA"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ILIM</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6DB729"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xml:space="preserve">Zgodnie z § 6 ust. 4 projektu rozporządzenia przed zapełnieniem przestrzeni zapasowej operator wyznaczony informuje użytkownika, że będzie otrzymywał korespondencję za pomocą innych kanałów. Zacytowana regulacja nie określa precyzyjnie w jaki sposób na następować przekazanie przedmiotowej informacji. Sugerujemy doprecyzowanie przepisu u wskazanie sposobu przekazania informacji.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1887D2" w14:textId="03C47654"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091F5AA9"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rPr>
              <w:t>Zwrot "innych kanałów", zostanie usunięty.  Proponuje się wskazać, że skrzynka nie odbiera wiadomości, ale nie wstrzymuje to biegu terminów. Sposób przekazywania notyfikacji wskazany jest w dokumentacji Standardu opublikowanego na BIP Ministra Cyfryzacji</w:t>
            </w:r>
          </w:p>
        </w:tc>
      </w:tr>
      <w:tr w:rsidR="00700D76" w:rsidRPr="001F0DD4" w14:paraId="54900A40"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C16265"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13</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E87E8D"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b/>
                <w:i/>
              </w:rPr>
              <w:t>§ 6 ust. 4</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4BDA77"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08C8A5"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b/>
              </w:rPr>
              <w:t>§ 6 ust. 4</w:t>
            </w:r>
            <w:r w:rsidRPr="001F0DD4">
              <w:rPr>
                <w:rFonts w:asciiTheme="minorHAnsi" w:hAnsiTheme="minorHAnsi" w:cstheme="minorHAnsi"/>
              </w:rPr>
              <w:t xml:space="preserve"> - proponujemy usunięcie przepisu. Operator Wyznaczony nie może decydować o kanale korespondencji. O trybie nadania, doręczenia decyduje nadawca i zleca Operatorowi Wyznaczonemu do realizacji usługę. Zdaniem Poczty Polskiej S.A., brzmienie przepisu wykracza poza delegację ustawową.</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062B5F" w14:textId="22FC2C5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uwzględniona i wyjaśniona</w:t>
            </w:r>
          </w:p>
          <w:p w14:paraId="73BAB5A6" w14:textId="77777777"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Przepis nie zawierał założenia, iż o kanale i trybie decyduje Operator Wyznaczony.</w:t>
            </w:r>
          </w:p>
          <w:p w14:paraId="39376A93" w14:textId="77777777" w:rsidR="0079784E" w:rsidRPr="001F0DD4" w:rsidRDefault="0079784E" w:rsidP="00955117">
            <w:pPr>
              <w:spacing w:after="0" w:line="240" w:lineRule="auto"/>
              <w:jc w:val="both"/>
              <w:rPr>
                <w:rFonts w:asciiTheme="minorHAnsi" w:hAnsiTheme="minorHAnsi" w:cstheme="minorHAnsi"/>
              </w:rPr>
            </w:pPr>
            <w:r w:rsidRPr="001F0DD4">
              <w:rPr>
                <w:rFonts w:asciiTheme="minorHAnsi" w:hAnsiTheme="minorHAnsi" w:cstheme="minorHAnsi"/>
              </w:rPr>
              <w:t>Z przepisu został usunięty zapis o otrzymywaniu korespondencji innymi kanałami.</w:t>
            </w:r>
            <w:r w:rsidR="00901700" w:rsidRPr="001F0DD4">
              <w:rPr>
                <w:rFonts w:asciiTheme="minorHAnsi" w:hAnsiTheme="minorHAnsi" w:cstheme="minorHAnsi"/>
              </w:rPr>
              <w:t xml:space="preserve"> </w:t>
            </w:r>
          </w:p>
          <w:p w14:paraId="092A9C16" w14:textId="4DF4CD03" w:rsidR="00901700" w:rsidRPr="001F0DD4" w:rsidRDefault="00901700" w:rsidP="00955117">
            <w:pPr>
              <w:spacing w:after="0" w:line="240" w:lineRule="auto"/>
              <w:jc w:val="both"/>
              <w:rPr>
                <w:rFonts w:asciiTheme="minorHAnsi" w:hAnsiTheme="minorHAnsi" w:cstheme="minorHAnsi"/>
                <w:i/>
              </w:rPr>
            </w:pPr>
            <w:r w:rsidRPr="001F0DD4">
              <w:rPr>
                <w:rFonts w:asciiTheme="minorHAnsi" w:hAnsiTheme="minorHAnsi" w:cstheme="minorHAnsi"/>
              </w:rPr>
              <w:t>Zaproponowano następujące brzmienie ust. 2-4</w:t>
            </w:r>
            <w:r w:rsidRPr="001F0DD4">
              <w:rPr>
                <w:rFonts w:asciiTheme="minorHAnsi" w:hAnsiTheme="minorHAnsi" w:cstheme="minorHAnsi"/>
                <w:i/>
              </w:rPr>
              <w:t xml:space="preserve"> :</w:t>
            </w:r>
          </w:p>
          <w:p w14:paraId="1E006498" w14:textId="64B3FE49" w:rsidR="00901700" w:rsidRPr="001F0DD4" w:rsidRDefault="00901700" w:rsidP="00955117">
            <w:pPr>
              <w:spacing w:after="0" w:line="240" w:lineRule="auto"/>
              <w:jc w:val="both"/>
              <w:rPr>
                <w:rFonts w:asciiTheme="minorHAnsi" w:hAnsiTheme="minorHAnsi" w:cstheme="minorHAnsi"/>
                <w:i/>
              </w:rPr>
            </w:pPr>
            <w:r w:rsidRPr="001F0DD4">
              <w:rPr>
                <w:rFonts w:asciiTheme="minorHAnsi" w:hAnsiTheme="minorHAnsi" w:cstheme="minorHAnsi"/>
                <w:i/>
              </w:rPr>
              <w:t>„</w:t>
            </w:r>
            <w:r w:rsidR="001733C3" w:rsidRPr="001F0DD4">
              <w:rPr>
                <w:rFonts w:asciiTheme="minorHAnsi" w:hAnsiTheme="minorHAnsi" w:cstheme="minorHAnsi"/>
                <w:b/>
                <w:i/>
              </w:rPr>
              <w:t>§ 4.</w:t>
            </w:r>
            <w:r w:rsidR="001733C3" w:rsidRPr="001F0DD4">
              <w:rPr>
                <w:rFonts w:asciiTheme="minorHAnsi" w:hAnsiTheme="minorHAnsi" w:cstheme="minorHAnsi"/>
                <w:i/>
              </w:rPr>
              <w:t xml:space="preserve"> </w:t>
            </w:r>
            <w:r w:rsidRPr="001F0DD4">
              <w:rPr>
                <w:rFonts w:asciiTheme="minorHAnsi" w:hAnsiTheme="minorHAnsi" w:cstheme="minorHAnsi"/>
                <w:i/>
              </w:rPr>
              <w:t>2. Operator wyznaczony przy zapełnieniu 90% pojemności gwarantowanej jednorazowo informuje podmiot o skutkach zapełnienia skrzynki doręczeń, o których mowa w ust. 3.</w:t>
            </w:r>
          </w:p>
          <w:p w14:paraId="101FD0DF" w14:textId="77777777" w:rsidR="00901700" w:rsidRPr="001F0DD4" w:rsidRDefault="00901700" w:rsidP="00955117">
            <w:pPr>
              <w:spacing w:after="0" w:line="240" w:lineRule="auto"/>
              <w:jc w:val="both"/>
              <w:rPr>
                <w:rFonts w:asciiTheme="minorHAnsi" w:hAnsiTheme="minorHAnsi" w:cstheme="minorHAnsi"/>
                <w:i/>
              </w:rPr>
            </w:pPr>
            <w:r w:rsidRPr="001F0DD4">
              <w:rPr>
                <w:rFonts w:asciiTheme="minorHAnsi" w:hAnsiTheme="minorHAnsi" w:cstheme="minorHAnsi"/>
                <w:i/>
              </w:rPr>
              <w:t xml:space="preserve">3. Po zapełnieniu 98% pojemności gwarantowanej skrzynka doręczeń pozwala użytkownikowi jedynie na odczytywanie, archiwizowanie i usuwanie korespondencji. W tym przypadku użytkownik traci możliwość pobierania na skrzynkę, wysyłania oraz tworzenia nowej korespondencji. </w:t>
            </w:r>
          </w:p>
          <w:p w14:paraId="5CD78ED9" w14:textId="2F9CB096" w:rsidR="00901700" w:rsidRPr="001F0DD4" w:rsidRDefault="00901700" w:rsidP="00955117">
            <w:pPr>
              <w:spacing w:after="0" w:line="240" w:lineRule="auto"/>
              <w:jc w:val="both"/>
              <w:rPr>
                <w:rFonts w:asciiTheme="minorHAnsi" w:hAnsiTheme="minorHAnsi" w:cstheme="minorHAnsi"/>
                <w:b/>
              </w:rPr>
            </w:pPr>
            <w:r w:rsidRPr="001F0DD4">
              <w:rPr>
                <w:rFonts w:asciiTheme="minorHAnsi" w:hAnsiTheme="minorHAnsi" w:cstheme="minorHAnsi"/>
                <w:i/>
              </w:rPr>
              <w:t xml:space="preserve">4. Po zapełnieniu przekraczającym 98% pojemności gwarantowanej operator wyznaczony okresowo informuje użytkownika </w:t>
            </w:r>
            <w:r w:rsidRPr="001F0DD4">
              <w:rPr>
                <w:rFonts w:asciiTheme="minorHAnsi" w:hAnsiTheme="minorHAnsi" w:cstheme="minorHAnsi"/>
                <w:i/>
              </w:rPr>
              <w:lastRenderedPageBreak/>
              <w:t>o konieczności usunięcia wiadomości jako warunku przywrócenia pełnej funkcjonalności skrzynki.</w:t>
            </w:r>
          </w:p>
        </w:tc>
      </w:tr>
      <w:tr w:rsidR="00700D76" w:rsidRPr="001F0DD4" w14:paraId="5F534A5F"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E616E9"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14</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09C46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7</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C19D5B"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ILIM</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BE8D65"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 7 projektu rozporządzenia stanowi, że operator wyznaczony zapewnia gwarantowaną pojemność oraz gwarantowaną dostępność skrzynek doręczeń od momentu ich aktywacji. Przepis ten w naszej opinii w szerokim zakresie jest powtórzeniem regulacji z § 5 ust. 4 projektu rozporządzenia, który mówi, że operator wyznaczony zapewnia gwarantowaną pojemność skrzynek doręczeń od momentu ich aktywacji. Sugerujemy usunięcie wskazanego powtórzenia np. poprzez wykreślenie § 5 ust. 4 projektu rozporządzenia.</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430D4B"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uwzględniona</w:t>
            </w:r>
          </w:p>
          <w:p w14:paraId="0961D988"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Przepis zostanie usunięty.</w:t>
            </w:r>
          </w:p>
          <w:p w14:paraId="09E2DD5F" w14:textId="77777777" w:rsidR="00700D76" w:rsidRPr="001F0DD4" w:rsidRDefault="00700D76" w:rsidP="00955117">
            <w:pPr>
              <w:spacing w:after="0" w:line="240" w:lineRule="auto"/>
              <w:jc w:val="both"/>
              <w:rPr>
                <w:rFonts w:asciiTheme="minorHAnsi" w:hAnsiTheme="minorHAnsi" w:cstheme="minorHAnsi"/>
                <w:b/>
              </w:rPr>
            </w:pPr>
          </w:p>
        </w:tc>
      </w:tr>
      <w:tr w:rsidR="00700D76" w:rsidRPr="001F0DD4" w14:paraId="00C54CFD"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58F595"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15</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D20B28"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załącznik</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02AF96"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PP S.A</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716CDDB"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b/>
              </w:rPr>
              <w:t>1.</w:t>
            </w:r>
            <w:r w:rsidRPr="001F0DD4">
              <w:rPr>
                <w:rFonts w:asciiTheme="minorHAnsi" w:hAnsiTheme="minorHAnsi" w:cstheme="minorHAnsi"/>
              </w:rPr>
              <w:t xml:space="preserve"> Pkt 1.  - Zgodnie z podanym wzorem, pojemność liczona jest dla każdej skrzynki. </w:t>
            </w:r>
            <w:r w:rsidRPr="001F0DD4">
              <w:rPr>
                <w:rFonts w:asciiTheme="minorHAnsi" w:hAnsiTheme="minorHAnsi" w:cstheme="minorHAnsi"/>
              </w:rPr>
              <w:br/>
              <w:t>Poczta Polska S.A. wnioskuje o zmianę w tym zakresie, w taki sposób aby dostępność była liczona dla dostępności usługi.</w:t>
            </w:r>
          </w:p>
          <w:p w14:paraId="50E42585" w14:textId="77777777" w:rsidR="00700D76" w:rsidRPr="001F0DD4" w:rsidRDefault="00011956" w:rsidP="00955117">
            <w:pPr>
              <w:spacing w:line="240" w:lineRule="auto"/>
              <w:jc w:val="both"/>
              <w:rPr>
                <w:rFonts w:asciiTheme="minorHAnsi" w:hAnsiTheme="minorHAnsi" w:cstheme="minorHAnsi"/>
                <w:b/>
              </w:rPr>
            </w:pPr>
            <w:r w:rsidRPr="001F0DD4">
              <w:rPr>
                <w:rFonts w:asciiTheme="minorHAnsi" w:hAnsiTheme="minorHAnsi" w:cstheme="minorHAnsi"/>
                <w:b/>
              </w:rPr>
              <w:t>2. Wzór proponowany</w:t>
            </w:r>
          </w:p>
          <w:p w14:paraId="5B804CC9" w14:textId="77777777" w:rsidR="00700D76" w:rsidRPr="001F0DD4" w:rsidRDefault="00011956" w:rsidP="00955117">
            <w:pPr>
              <w:keepNext/>
              <w:spacing w:after="0" w:line="240" w:lineRule="auto"/>
              <w:jc w:val="both"/>
              <w:rPr>
                <w:rFonts w:asciiTheme="minorHAnsi" w:hAnsiTheme="minorHAnsi" w:cstheme="minorHAnsi"/>
              </w:rPr>
            </w:pPr>
            <w:r w:rsidRPr="001F0DD4">
              <w:rPr>
                <w:rFonts w:asciiTheme="minorHAnsi" w:hAnsiTheme="minorHAnsi" w:cstheme="minorHAnsi"/>
              </w:rPr>
              <w:t>Załącznik do rozporządzenia Ministra Cyfryzacji z dnia    2021 r. (Dz. U. poz. ….)</w:t>
            </w:r>
          </w:p>
          <w:p w14:paraId="640EA351" w14:textId="77777777" w:rsidR="00700D76" w:rsidRPr="001F0DD4" w:rsidRDefault="00011956" w:rsidP="00955117">
            <w:pPr>
              <w:spacing w:line="240" w:lineRule="auto"/>
              <w:ind w:firstLine="510"/>
              <w:jc w:val="both"/>
              <w:rPr>
                <w:rFonts w:asciiTheme="minorHAnsi" w:hAnsiTheme="minorHAnsi" w:cstheme="minorHAnsi"/>
              </w:rPr>
            </w:pPr>
            <w:r w:rsidRPr="001F0DD4">
              <w:rPr>
                <w:rFonts w:asciiTheme="minorHAnsi" w:hAnsiTheme="minorHAnsi" w:cstheme="minorHAnsi"/>
              </w:rPr>
              <w:t>1. Dostępność skrzynek doręczeń dla podmiotów publicznych i niepublicznego oblicza się według wzoru:</w:t>
            </w:r>
          </w:p>
          <w:p w14:paraId="209C54A3" w14:textId="77777777" w:rsidR="00700D76" w:rsidRPr="001F0DD4" w:rsidRDefault="00011956" w:rsidP="00955117">
            <w:pPr>
              <w:pBdr>
                <w:top w:val="nil"/>
                <w:left w:val="nil"/>
                <w:bottom w:val="nil"/>
                <w:right w:val="nil"/>
                <w:between w:val="nil"/>
              </w:pBdr>
              <w:spacing w:before="120" w:after="0" w:line="240" w:lineRule="auto"/>
              <w:ind w:firstLine="510"/>
              <w:jc w:val="both"/>
              <w:rPr>
                <w:rFonts w:asciiTheme="minorHAnsi" w:hAnsiTheme="minorHAnsi" w:cstheme="minorHAnsi"/>
                <w:color w:val="000000"/>
              </w:rPr>
            </w:pPr>
            <w:r w:rsidRPr="001F0DD4">
              <w:rPr>
                <w:rFonts w:asciiTheme="minorHAnsi" w:hAnsiTheme="minorHAnsi" w:cstheme="minorHAnsi"/>
                <w:color w:val="000000"/>
              </w:rPr>
              <w:t xml:space="preserve">dostępność rzeczywista = </w:t>
            </w:r>
            <m:oMath>
              <m:r>
                <w:rPr>
                  <w:rFonts w:ascii="Cambria Math" w:eastAsia="Cambria Math" w:hAnsi="Cambria Math" w:cstheme="minorHAnsi"/>
                  <w:color w:val="000000"/>
                </w:rPr>
                <m:t xml:space="preserve"> </m:t>
              </m:r>
              <m:f>
                <m:fPr>
                  <m:ctrlPr>
                    <w:rPr>
                      <w:rFonts w:ascii="Cambria Math" w:eastAsia="Cambria Math" w:hAnsi="Cambria Math" w:cstheme="minorHAnsi"/>
                      <w:color w:val="000000"/>
                    </w:rPr>
                  </m:ctrlPr>
                </m:fPr>
                <m:num>
                  <m:r>
                    <w:rPr>
                      <w:rFonts w:ascii="Cambria Math" w:eastAsia="Cambria Math" w:hAnsi="Cambria Math" w:cstheme="minorHAnsi"/>
                      <w:color w:val="000000"/>
                    </w:rPr>
                    <m:t>OCD- DON-NTS</m:t>
                  </m:r>
                </m:num>
                <m:den>
                  <m:r>
                    <w:rPr>
                      <w:rFonts w:ascii="Cambria Math" w:eastAsia="Cambria Math" w:hAnsi="Cambria Math" w:cstheme="minorHAnsi"/>
                      <w:color w:val="000000"/>
                    </w:rPr>
                    <m:t xml:space="preserve">OCD-DON </m:t>
                  </m:r>
                </m:den>
              </m:f>
              <m:r>
                <w:rPr>
                  <w:rFonts w:ascii="Cambria Math" w:eastAsia="Cambria Math" w:hAnsi="Cambria Math" w:cstheme="minorHAnsi"/>
                  <w:color w:val="000000"/>
                </w:rPr>
                <m:t>*100</m:t>
              </m:r>
            </m:oMath>
          </w:p>
          <w:p w14:paraId="2867AE82" w14:textId="77777777" w:rsidR="00700D76" w:rsidRPr="001F0DD4" w:rsidRDefault="00011956" w:rsidP="00955117">
            <w:pPr>
              <w:spacing w:before="120" w:line="240" w:lineRule="auto"/>
              <w:jc w:val="both"/>
              <w:rPr>
                <w:rFonts w:asciiTheme="minorHAnsi" w:hAnsiTheme="minorHAnsi" w:cstheme="minorHAnsi"/>
                <w:b/>
              </w:rPr>
            </w:pPr>
            <w:r w:rsidRPr="001F0DD4">
              <w:rPr>
                <w:rFonts w:asciiTheme="minorHAnsi" w:hAnsiTheme="minorHAnsi" w:cstheme="minorHAnsi"/>
                <w:b/>
              </w:rPr>
              <w:t>gdzie:</w:t>
            </w:r>
          </w:p>
          <w:p w14:paraId="2C9E7B08" w14:textId="77777777" w:rsidR="00700D76" w:rsidRPr="001F0DD4" w:rsidRDefault="00011956" w:rsidP="00955117">
            <w:pPr>
              <w:spacing w:before="120" w:line="240" w:lineRule="auto"/>
              <w:jc w:val="both"/>
              <w:rPr>
                <w:rFonts w:asciiTheme="minorHAnsi" w:hAnsiTheme="minorHAnsi" w:cstheme="minorHAnsi"/>
              </w:rPr>
            </w:pPr>
            <w:r w:rsidRPr="001F0DD4">
              <w:rPr>
                <w:rFonts w:asciiTheme="minorHAnsi" w:hAnsiTheme="minorHAnsi" w:cstheme="minorHAnsi"/>
              </w:rPr>
              <w:t>1) OCD - oznacza oczekiwaną liczbę godzin działania usługi tygodniowo,</w:t>
            </w:r>
          </w:p>
          <w:p w14:paraId="56E2B886" w14:textId="77777777" w:rsidR="00700D76" w:rsidRPr="001F0DD4" w:rsidRDefault="00011956" w:rsidP="00955117">
            <w:pPr>
              <w:spacing w:before="120" w:line="240" w:lineRule="auto"/>
              <w:jc w:val="both"/>
              <w:rPr>
                <w:rFonts w:asciiTheme="minorHAnsi" w:hAnsiTheme="minorHAnsi" w:cstheme="minorHAnsi"/>
              </w:rPr>
            </w:pPr>
            <w:r w:rsidRPr="001F0DD4">
              <w:rPr>
                <w:rFonts w:asciiTheme="minorHAnsi" w:hAnsiTheme="minorHAnsi" w:cstheme="minorHAnsi"/>
              </w:rPr>
              <w:t>2) DON - oznacza dopuszczalny okres niedostępności planowanej tygodniowo</w:t>
            </w:r>
          </w:p>
          <w:p w14:paraId="52CDC59E" w14:textId="77777777" w:rsidR="00700D76" w:rsidRPr="001F0DD4" w:rsidRDefault="00011956" w:rsidP="00955117">
            <w:pPr>
              <w:spacing w:before="120" w:line="240" w:lineRule="auto"/>
              <w:jc w:val="both"/>
              <w:rPr>
                <w:rFonts w:asciiTheme="minorHAnsi" w:hAnsiTheme="minorHAnsi" w:cstheme="minorHAnsi"/>
              </w:rPr>
            </w:pPr>
            <w:r w:rsidRPr="001F0DD4">
              <w:rPr>
                <w:rFonts w:asciiTheme="minorHAnsi" w:hAnsiTheme="minorHAnsi" w:cstheme="minorHAnsi"/>
              </w:rPr>
              <w:t>3) NTS - oznacza czas niedostępności nieplanowanej tygodniowo</w:t>
            </w:r>
          </w:p>
          <w:p w14:paraId="3B232F8A" w14:textId="77777777" w:rsidR="00700D76" w:rsidRPr="001F0DD4" w:rsidRDefault="00011956" w:rsidP="00955117">
            <w:pPr>
              <w:spacing w:line="240" w:lineRule="auto"/>
              <w:jc w:val="both"/>
              <w:rPr>
                <w:rFonts w:asciiTheme="minorHAnsi" w:hAnsiTheme="minorHAnsi" w:cstheme="minorHAnsi"/>
                <w:b/>
              </w:rPr>
            </w:pPr>
            <w:r w:rsidRPr="001F0DD4">
              <w:rPr>
                <w:rFonts w:asciiTheme="minorHAnsi" w:hAnsiTheme="minorHAnsi" w:cstheme="minorHAnsi"/>
                <w:b/>
              </w:rPr>
              <w:t>Uzasadnienie</w:t>
            </w:r>
          </w:p>
          <w:p w14:paraId="4FE3A59C"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Zaproponowany wzór w sposób optymalny mierzy dostępność usługi skrzynek doręczeń.</w:t>
            </w:r>
          </w:p>
          <w:p w14:paraId="6B5541C3"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lastRenderedPageBreak/>
              <w:t>Zaproponowane podejście w rozporządzeniu, wymaga zbierania dla każdej skrzynki czterech dodatkowych parametrów na poziomie działania aplikacji, podczas wysyłania lub odbierania pojedynczej wiadomości tj.:</w:t>
            </w:r>
          </w:p>
          <w:p w14:paraId="40C8CBDA" w14:textId="77777777" w:rsidR="00700D76" w:rsidRPr="001F0DD4" w:rsidRDefault="00011956" w:rsidP="00955117">
            <w:pPr>
              <w:numPr>
                <w:ilvl w:val="0"/>
                <w:numId w:val="2"/>
              </w:numPr>
              <w:spacing w:after="0" w:line="240" w:lineRule="auto"/>
              <w:jc w:val="both"/>
              <w:rPr>
                <w:rFonts w:asciiTheme="minorHAnsi" w:hAnsiTheme="minorHAnsi" w:cstheme="minorHAnsi"/>
              </w:rPr>
            </w:pPr>
            <w:r w:rsidRPr="001F0DD4">
              <w:rPr>
                <w:rFonts w:asciiTheme="minorHAnsi" w:hAnsiTheme="minorHAnsi" w:cstheme="minorHAnsi"/>
              </w:rPr>
              <w:t xml:space="preserve">liczba wiadomości wysłanych </w:t>
            </w:r>
          </w:p>
          <w:p w14:paraId="72414754" w14:textId="77777777" w:rsidR="00700D76" w:rsidRPr="001F0DD4" w:rsidRDefault="00011956" w:rsidP="00955117">
            <w:pPr>
              <w:numPr>
                <w:ilvl w:val="0"/>
                <w:numId w:val="2"/>
              </w:numPr>
              <w:spacing w:after="0" w:line="240" w:lineRule="auto"/>
              <w:jc w:val="both"/>
              <w:rPr>
                <w:rFonts w:asciiTheme="minorHAnsi" w:hAnsiTheme="minorHAnsi" w:cstheme="minorHAnsi"/>
              </w:rPr>
            </w:pPr>
            <w:r w:rsidRPr="001F0DD4">
              <w:rPr>
                <w:rFonts w:asciiTheme="minorHAnsi" w:hAnsiTheme="minorHAnsi" w:cstheme="minorHAnsi"/>
              </w:rPr>
              <w:t>liczba wszystkich prób wysyłki</w:t>
            </w:r>
          </w:p>
          <w:p w14:paraId="4D5A5940" w14:textId="77777777" w:rsidR="00700D76" w:rsidRPr="001F0DD4" w:rsidRDefault="00011956" w:rsidP="00955117">
            <w:pPr>
              <w:numPr>
                <w:ilvl w:val="0"/>
                <w:numId w:val="2"/>
              </w:numPr>
              <w:spacing w:after="0" w:line="240" w:lineRule="auto"/>
              <w:jc w:val="both"/>
              <w:rPr>
                <w:rFonts w:asciiTheme="minorHAnsi" w:hAnsiTheme="minorHAnsi" w:cstheme="minorHAnsi"/>
              </w:rPr>
            </w:pPr>
            <w:r w:rsidRPr="001F0DD4">
              <w:rPr>
                <w:rFonts w:asciiTheme="minorHAnsi" w:hAnsiTheme="minorHAnsi" w:cstheme="minorHAnsi"/>
              </w:rPr>
              <w:t>liczba wiadomości odebranych</w:t>
            </w:r>
          </w:p>
          <w:p w14:paraId="1E1ED048" w14:textId="77777777" w:rsidR="00700D76" w:rsidRPr="001F0DD4" w:rsidRDefault="00011956" w:rsidP="00955117">
            <w:pPr>
              <w:numPr>
                <w:ilvl w:val="0"/>
                <w:numId w:val="2"/>
              </w:numPr>
              <w:spacing w:after="0" w:line="240" w:lineRule="auto"/>
              <w:jc w:val="both"/>
              <w:rPr>
                <w:rFonts w:asciiTheme="minorHAnsi" w:hAnsiTheme="minorHAnsi" w:cstheme="minorHAnsi"/>
              </w:rPr>
            </w:pPr>
            <w:r w:rsidRPr="001F0DD4">
              <w:rPr>
                <w:rFonts w:asciiTheme="minorHAnsi" w:hAnsiTheme="minorHAnsi" w:cstheme="minorHAnsi"/>
              </w:rPr>
              <w:t>liczba wszystkich prób odbioru</w:t>
            </w:r>
          </w:p>
          <w:p w14:paraId="1F292071" w14:textId="77777777" w:rsidR="00700D76" w:rsidRPr="001F0DD4" w:rsidRDefault="00700D76" w:rsidP="00955117">
            <w:pPr>
              <w:widowControl w:val="0"/>
              <w:spacing w:line="240" w:lineRule="auto"/>
              <w:jc w:val="both"/>
              <w:rPr>
                <w:rFonts w:asciiTheme="minorHAnsi" w:hAnsiTheme="minorHAnsi" w:cstheme="minorHAnsi"/>
              </w:rPr>
            </w:pPr>
          </w:p>
          <w:p w14:paraId="07CE5111"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b/>
              </w:rPr>
              <w:t xml:space="preserve">3. </w:t>
            </w:r>
            <w:r w:rsidRPr="001F0DD4">
              <w:rPr>
                <w:rFonts w:asciiTheme="minorHAnsi" w:hAnsiTheme="minorHAnsi" w:cstheme="minorHAnsi"/>
              </w:rPr>
              <w:t xml:space="preserve">Docelowo w systemie szacowane jest około 18 mln skrzynek, w związku z tym ilość zbieranych danych będzie dość duża, a samo wyliczenie co tydzień SLA dla usługi na poziomie pojedynczej skrzynki nie będzie miarodajne dla liczenia dostępności dla całości systemu. </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08ADA1"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1. Uwaga częściowo uwzględniona</w:t>
            </w:r>
          </w:p>
          <w:p w14:paraId="14F9B2A9" w14:textId="77777777" w:rsidR="00700D76" w:rsidRPr="001F0DD4" w:rsidRDefault="00700D76" w:rsidP="00955117">
            <w:pPr>
              <w:spacing w:after="0" w:line="240" w:lineRule="auto"/>
              <w:jc w:val="both"/>
              <w:rPr>
                <w:rFonts w:asciiTheme="minorHAnsi" w:hAnsiTheme="minorHAnsi" w:cstheme="minorHAnsi"/>
              </w:rPr>
            </w:pPr>
          </w:p>
          <w:p w14:paraId="4A47C793"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 xml:space="preserve">O ile dostawca usługi skrzynek może mierzyć dostępność całego rozwiązania, o tyle zewnętrzne względem niego niezależne narzędzie pomiarowe mogą mierzyć dla każdej skrzynki osobno. Według dostępnych informacji skrzynka doręczeń ma wystarczająco dużo ustawień, żeby różnice w dostępności skrzynek różnie skonfigurowanych były zauważalne. </w:t>
            </w:r>
          </w:p>
          <w:p w14:paraId="3EC02580" w14:textId="77777777" w:rsidR="00700D76" w:rsidRPr="001F0DD4" w:rsidRDefault="00700D76" w:rsidP="00955117">
            <w:pPr>
              <w:spacing w:after="0" w:line="240" w:lineRule="auto"/>
              <w:jc w:val="both"/>
              <w:rPr>
                <w:rFonts w:asciiTheme="minorHAnsi" w:hAnsiTheme="minorHAnsi" w:cstheme="minorHAnsi"/>
              </w:rPr>
            </w:pPr>
          </w:p>
          <w:p w14:paraId="6C6B63D5"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2.Uwaga nieuwzględniona</w:t>
            </w:r>
          </w:p>
          <w:p w14:paraId="6EE1D564"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Propozycja zmiany wzoru odrzucona.</w:t>
            </w:r>
          </w:p>
          <w:p w14:paraId="68C456A3"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Stanowisko Zgłaszającego uwagę zawiera niewyartykułowane wprost założenie, że to Poczta Polska ma prowadzić pomiar. Jest ono pozbawione podstaw, rozporządzenie nie nakłada takiego obowiązku. Ponadto w toku prac nad projektem rozporządzenia zostało przyjęte 2 lutego 2021 uzgodnienie stanowisk obu stron, z którego Poczta Polska teraz się wycofuje:</w:t>
            </w:r>
          </w:p>
          <w:p w14:paraId="4F3C880D"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rPr>
              <w:t>“</w:t>
            </w:r>
            <w:r w:rsidRPr="001F0DD4">
              <w:rPr>
                <w:rFonts w:asciiTheme="minorHAnsi" w:hAnsiTheme="minorHAnsi" w:cstheme="minorHAnsi"/>
                <w:i/>
              </w:rPr>
              <w:t xml:space="preserve">Uzgodnienie: jest potrzeba monitorowania technicznego funkcjonowania skrzynki i </w:t>
            </w:r>
            <w:r w:rsidRPr="001F0DD4">
              <w:rPr>
                <w:rFonts w:asciiTheme="minorHAnsi" w:hAnsiTheme="minorHAnsi" w:cstheme="minorHAnsi"/>
                <w:i/>
              </w:rPr>
              <w:lastRenderedPageBreak/>
              <w:t>wychwytywania błędów związanych z wysyłaniem i odbieraniem wiadomości - styk skrzynki i usługi RDE. Kwestie sposobu rozliczania parametru dostępności i rozwiązania technicznego monitoringu pozostawiamy na dalsze uzgodnienia projektowe.”</w:t>
            </w:r>
          </w:p>
          <w:p w14:paraId="603C3695" w14:textId="77777777" w:rsidR="00700D76" w:rsidRPr="001F0DD4" w:rsidRDefault="00700D76" w:rsidP="00955117">
            <w:pPr>
              <w:spacing w:after="0" w:line="240" w:lineRule="auto"/>
              <w:jc w:val="both"/>
              <w:rPr>
                <w:rFonts w:asciiTheme="minorHAnsi" w:hAnsiTheme="minorHAnsi" w:cstheme="minorHAnsi"/>
                <w:i/>
              </w:rPr>
            </w:pPr>
          </w:p>
          <w:p w14:paraId="0106E67F"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b/>
              </w:rPr>
              <w:t>3.</w:t>
            </w:r>
            <w:r w:rsidRPr="001F0DD4">
              <w:rPr>
                <w:rFonts w:asciiTheme="minorHAnsi" w:hAnsiTheme="minorHAnsi" w:cstheme="minorHAnsi"/>
              </w:rPr>
              <w:t xml:space="preserve"> Wyliczenie dostępności jest czym innym niż wyliczenie SLA, które jest zagadnieniem szerszym. Pułap 18 mln skrzynek najprawdopodobniej zostanie osiągnięty za około 5 lat. W pierwszych dwóch latach nie ma poważniejszego znaczenia decyzja, czy zbieranie danych pomiarowych będzie scentralizowane czy rozproszone.</w:t>
            </w:r>
          </w:p>
        </w:tc>
      </w:tr>
      <w:tr w:rsidR="00700D76" w:rsidRPr="001F0DD4" w14:paraId="20815177"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2737E4"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lastRenderedPageBreak/>
              <w:t>16</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97EAB8"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5 ust. 1</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1491F0"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NBP</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22F7470"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5. 1. Gwarantowana pojemność każdej ze skrzynek doręczeń wynosi 15 GB dla podmiotów publicznych i 1 GB dla podmiotów niepublicznych</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92B4C6"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uwzględniona</w:t>
            </w:r>
          </w:p>
          <w:p w14:paraId="40C3542E" w14:textId="3FCC76F6" w:rsidR="00700D76" w:rsidRPr="001F0DD4" w:rsidRDefault="00441312" w:rsidP="00955117">
            <w:pPr>
              <w:spacing w:after="0" w:line="240" w:lineRule="auto"/>
              <w:jc w:val="both"/>
              <w:rPr>
                <w:rFonts w:asciiTheme="minorHAnsi" w:hAnsiTheme="minorHAnsi" w:cstheme="minorHAnsi"/>
              </w:rPr>
            </w:pPr>
            <w:r w:rsidRPr="00441312">
              <w:rPr>
                <w:rFonts w:asciiTheme="minorHAnsi" w:hAnsiTheme="minorHAnsi" w:cstheme="minorHAnsi"/>
              </w:rPr>
              <w:t>Operator wyznaczony zaproponował podwyższenie pojemności skrzynek doręczeń dla podmiotów publicznych do 30 GB a 3 GB dla niepublicznych.</w:t>
            </w:r>
          </w:p>
        </w:tc>
      </w:tr>
      <w:tr w:rsidR="00700D76" w:rsidRPr="001F0DD4" w14:paraId="7950657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1EF329"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17</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6336D2"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5 ust. 2</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3B08B4"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NBP</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2C9C93E"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2. Operator wyznaczony zapewniając gwarantowaną pojemność skrzynki doręczeń umożliwia użytkownikom archiwizowanie znajdującej się w niej korespondencji albo usuwanie jej.</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23A2013" w14:textId="77777777" w:rsidR="00700D76" w:rsidRPr="001F0DD4" w:rsidRDefault="00011956" w:rsidP="00955117">
            <w:pPr>
              <w:spacing w:after="0" w:line="240" w:lineRule="auto"/>
              <w:jc w:val="both"/>
              <w:rPr>
                <w:rFonts w:asciiTheme="minorHAnsi" w:hAnsiTheme="minorHAnsi" w:cstheme="minorHAnsi"/>
                <w:b/>
                <w:u w:val="single"/>
              </w:rPr>
            </w:pPr>
            <w:r w:rsidRPr="001F0DD4">
              <w:rPr>
                <w:rFonts w:asciiTheme="minorHAnsi" w:hAnsiTheme="minorHAnsi" w:cstheme="minorHAnsi"/>
                <w:b/>
                <w:u w:val="single"/>
              </w:rPr>
              <w:t>Uwaga uwzględniona</w:t>
            </w:r>
          </w:p>
          <w:p w14:paraId="382D5E0F" w14:textId="21FC9F53" w:rsidR="00080267" w:rsidRPr="001F0DD4" w:rsidRDefault="00011956" w:rsidP="00955117">
            <w:pPr>
              <w:spacing w:after="0" w:line="240" w:lineRule="auto"/>
              <w:jc w:val="both"/>
              <w:rPr>
                <w:rFonts w:asciiTheme="minorHAnsi" w:hAnsiTheme="minorHAnsi" w:cstheme="minorHAnsi"/>
                <w:u w:val="single"/>
              </w:rPr>
            </w:pPr>
            <w:r w:rsidRPr="001F0DD4">
              <w:rPr>
                <w:rFonts w:asciiTheme="minorHAnsi" w:hAnsiTheme="minorHAnsi" w:cstheme="minorHAnsi"/>
              </w:rPr>
              <w:t>Jednostka redakcyjna otrzyma brzmienie</w:t>
            </w:r>
            <w:r w:rsidR="00080267" w:rsidRPr="001F0DD4">
              <w:rPr>
                <w:rFonts w:asciiTheme="minorHAnsi" w:hAnsiTheme="minorHAnsi" w:cstheme="minorHAnsi"/>
              </w:rPr>
              <w:t xml:space="preserve">, które </w:t>
            </w:r>
            <w:r w:rsidR="00080267" w:rsidRPr="001F0DD4">
              <w:rPr>
                <w:rFonts w:asciiTheme="minorHAnsi" w:hAnsiTheme="minorHAnsi" w:cstheme="minorHAnsi"/>
                <w:u w:val="single"/>
              </w:rPr>
              <w:t>uwzględnia także uwagę RCL:</w:t>
            </w:r>
          </w:p>
          <w:p w14:paraId="3F7E3CBE" w14:textId="77777777" w:rsidR="00080267" w:rsidRPr="001F0DD4" w:rsidRDefault="00080267" w:rsidP="00955117">
            <w:pPr>
              <w:spacing w:after="0" w:line="240" w:lineRule="auto"/>
              <w:jc w:val="both"/>
              <w:rPr>
                <w:rFonts w:asciiTheme="minorHAnsi" w:hAnsiTheme="minorHAnsi" w:cstheme="minorHAnsi"/>
                <w:i/>
              </w:rPr>
            </w:pPr>
            <w:r w:rsidRPr="001F0DD4">
              <w:rPr>
                <w:rFonts w:asciiTheme="minorHAnsi" w:hAnsiTheme="minorHAnsi" w:cstheme="minorHAnsi"/>
              </w:rPr>
              <w:t>„</w:t>
            </w:r>
            <w:r w:rsidRPr="001F0DD4">
              <w:rPr>
                <w:rFonts w:asciiTheme="minorHAnsi" w:hAnsiTheme="minorHAnsi" w:cstheme="minorHAnsi"/>
                <w:i/>
              </w:rPr>
              <w:t xml:space="preserve">2. Operator wyznaczony zapewniając gwarantowaną pojemność skrzynek doręczeń umożliwia pobranie na skrzynkę doręczeń korespondencji, w tym z wykorzystaniem reguł przekazywania korespondencji do innych systemów teleinformatycznych w sposób automatyczny oraz archiwizowanie jej poza skrzynką doręczeń z jednoczesnym usunięciem jej ze skrzynki doręczeń.” </w:t>
            </w:r>
          </w:p>
          <w:p w14:paraId="7AED367D" w14:textId="01FAABBB"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w:t>
            </w:r>
          </w:p>
        </w:tc>
      </w:tr>
      <w:tr w:rsidR="00700D76" w:rsidRPr="001F0DD4" w14:paraId="23D6B73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50D95A"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18</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AF0CD0"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Uzasadnienie</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8B6D77" w14:textId="77777777" w:rsidR="00700D76" w:rsidRPr="001F0DD4" w:rsidRDefault="00011956" w:rsidP="00955117">
            <w:pPr>
              <w:spacing w:after="0" w:line="240" w:lineRule="auto"/>
              <w:jc w:val="both"/>
              <w:rPr>
                <w:rFonts w:asciiTheme="minorHAnsi" w:hAnsiTheme="minorHAnsi" w:cstheme="minorHAnsi"/>
                <w:b/>
                <w:i/>
              </w:rPr>
            </w:pPr>
            <w:r w:rsidRPr="001F0DD4">
              <w:rPr>
                <w:rFonts w:asciiTheme="minorHAnsi" w:hAnsiTheme="minorHAnsi" w:cstheme="minorHAnsi"/>
                <w:b/>
                <w:i/>
              </w:rPr>
              <w:t>NBP</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F34945" w14:textId="5EB8626F" w:rsidR="00700D76" w:rsidRPr="001F0DD4" w:rsidRDefault="00B24B19" w:rsidP="00955117">
            <w:pPr>
              <w:widowControl w:val="0"/>
              <w:autoSpaceDE w:val="0"/>
              <w:autoSpaceDN w:val="0"/>
              <w:adjustRightInd w:val="0"/>
              <w:spacing w:after="0" w:line="240" w:lineRule="auto"/>
              <w:jc w:val="both"/>
              <w:rPr>
                <w:rFonts w:asciiTheme="minorHAnsi" w:hAnsiTheme="minorHAnsi" w:cstheme="minorHAnsi"/>
                <w:i/>
              </w:rPr>
            </w:pPr>
            <w:r w:rsidRPr="001F0DD4">
              <w:rPr>
                <w:rFonts w:asciiTheme="minorHAnsi" w:hAnsiTheme="minorHAnsi" w:cstheme="minorHAnsi"/>
                <w:i/>
              </w:rPr>
              <w:t>Do uzasadnienia zgłoszono uwagi redakcyjn</w:t>
            </w:r>
            <w:r w:rsidR="00BC6A90" w:rsidRPr="001F0DD4">
              <w:rPr>
                <w:rFonts w:asciiTheme="minorHAnsi" w:hAnsiTheme="minorHAnsi" w:cstheme="minorHAnsi"/>
                <w:i/>
              </w:rPr>
              <w:t>o-legislacyjne.</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9FCD38" w14:textId="77777777" w:rsidR="00453C99" w:rsidRPr="00F75D0E" w:rsidRDefault="00011956" w:rsidP="00955117">
            <w:pPr>
              <w:spacing w:after="0" w:line="240" w:lineRule="auto"/>
              <w:jc w:val="both"/>
              <w:rPr>
                <w:rFonts w:asciiTheme="minorHAnsi" w:hAnsiTheme="minorHAnsi" w:cstheme="minorHAnsi"/>
                <w:b/>
                <w:u w:val="single"/>
              </w:rPr>
            </w:pPr>
            <w:r w:rsidRPr="00F75D0E">
              <w:rPr>
                <w:rFonts w:asciiTheme="minorHAnsi" w:hAnsiTheme="minorHAnsi" w:cstheme="minorHAnsi"/>
                <w:b/>
                <w:u w:val="single"/>
              </w:rPr>
              <w:t xml:space="preserve">Uwaga </w:t>
            </w:r>
            <w:r w:rsidR="00D22E05" w:rsidRPr="00F75D0E">
              <w:rPr>
                <w:rFonts w:asciiTheme="minorHAnsi" w:hAnsiTheme="minorHAnsi" w:cstheme="minorHAnsi"/>
                <w:b/>
                <w:u w:val="single"/>
              </w:rPr>
              <w:t xml:space="preserve">uwzględniona. </w:t>
            </w:r>
          </w:p>
          <w:p w14:paraId="3DE20B42" w14:textId="26B51791" w:rsidR="00700D76" w:rsidRPr="001F0DD4" w:rsidRDefault="00D22E05" w:rsidP="00955117">
            <w:pPr>
              <w:spacing w:after="0" w:line="240" w:lineRule="auto"/>
              <w:jc w:val="both"/>
              <w:rPr>
                <w:rFonts w:asciiTheme="minorHAnsi" w:hAnsiTheme="minorHAnsi" w:cstheme="minorHAnsi"/>
              </w:rPr>
            </w:pPr>
            <w:r w:rsidRPr="001F0DD4">
              <w:rPr>
                <w:rFonts w:asciiTheme="minorHAnsi" w:hAnsiTheme="minorHAnsi" w:cstheme="minorHAnsi"/>
              </w:rPr>
              <w:t xml:space="preserve">Uzasadnienie zostanie </w:t>
            </w:r>
            <w:r w:rsidR="00B24B19" w:rsidRPr="001F0DD4">
              <w:rPr>
                <w:rFonts w:asciiTheme="minorHAnsi" w:hAnsiTheme="minorHAnsi" w:cstheme="minorHAnsi"/>
              </w:rPr>
              <w:t xml:space="preserve">poprawione. </w:t>
            </w:r>
            <w:r w:rsidRPr="001F0DD4">
              <w:rPr>
                <w:rFonts w:asciiTheme="minorHAnsi" w:hAnsiTheme="minorHAnsi" w:cstheme="minorHAnsi"/>
              </w:rPr>
              <w:t xml:space="preserve"> </w:t>
            </w:r>
          </w:p>
        </w:tc>
      </w:tr>
      <w:tr w:rsidR="00700D76" w:rsidRPr="001F0DD4" w14:paraId="1AD40115"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1326F8" w14:textId="66CC0918" w:rsidR="00700D76" w:rsidRPr="001F0DD4" w:rsidRDefault="00072E55" w:rsidP="00955117">
            <w:pPr>
              <w:spacing w:after="0" w:line="240" w:lineRule="auto"/>
              <w:jc w:val="both"/>
              <w:rPr>
                <w:rFonts w:asciiTheme="minorHAnsi" w:hAnsiTheme="minorHAnsi" w:cstheme="minorHAnsi"/>
              </w:rPr>
            </w:pPr>
            <w:r w:rsidRPr="001F0DD4">
              <w:rPr>
                <w:rFonts w:asciiTheme="minorHAnsi" w:hAnsiTheme="minorHAnsi" w:cstheme="minorHAnsi"/>
              </w:rPr>
              <w:t>19</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CAD60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Ogólna</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82A862"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829484"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xml:space="preserve">Projekt rozporządzenia Ministra Cyfryzacji w sprawie </w:t>
            </w:r>
            <w:r w:rsidRPr="001F0DD4">
              <w:rPr>
                <w:rFonts w:asciiTheme="minorHAnsi" w:hAnsiTheme="minorHAnsi" w:cstheme="minorHAnsi"/>
              </w:rPr>
              <w:lastRenderedPageBreak/>
              <w:t>gwarantowanych dostępności oraz pojemności skrzynek doręczeń dotyczy usługi publicznej świadczonej przez Operatora Wyznaczonego i w żaden sposób nie odnosi się do usługi skrzynek doręczeń dostarczanych przez dostawców kwalifikowanej usługi e-doręczeń.</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88486C" w14:textId="3C85BF6D"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Uwaga wyjaśniona</w:t>
            </w:r>
          </w:p>
          <w:p w14:paraId="344F211D" w14:textId="73587ABC"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lastRenderedPageBreak/>
              <w:t>Zgodnie z definicją ustawy o doręczeniach elektronicznych skrzynka doręczeń jest narzędziem przechowywania danych w ramach publicznej usługi rejestrowanego doręczenia elektronicznego, a także w ramach publicznej usługi hybrydowej</w:t>
            </w:r>
            <w:r w:rsidR="009C598B" w:rsidRPr="001F0DD4">
              <w:rPr>
                <w:rFonts w:asciiTheme="minorHAnsi" w:hAnsiTheme="minorHAnsi" w:cstheme="minorHAnsi"/>
              </w:rPr>
              <w:t>, do których świadczenia jest zobowiązany operator wyznaczony</w:t>
            </w:r>
            <w:r w:rsidRPr="001F0DD4">
              <w:rPr>
                <w:rFonts w:asciiTheme="minorHAnsi" w:hAnsiTheme="minorHAnsi" w:cstheme="minorHAnsi"/>
              </w:rPr>
              <w:t>.</w:t>
            </w:r>
          </w:p>
          <w:p w14:paraId="5AB6331F"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Kwalifikowani dostawcy usług nie świadczą publicznej usługi RDE ani publicznej usługi hybrydowej.</w:t>
            </w:r>
          </w:p>
        </w:tc>
      </w:tr>
      <w:tr w:rsidR="00700D76" w:rsidRPr="001F0DD4" w14:paraId="1742665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3A4DC8" w14:textId="720D8D0A"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lastRenderedPageBreak/>
              <w:t>2</w:t>
            </w:r>
            <w:r w:rsidR="00072E55" w:rsidRPr="001F0DD4">
              <w:rPr>
                <w:rFonts w:asciiTheme="minorHAnsi" w:hAnsiTheme="minorHAnsi" w:cstheme="minorHAnsi"/>
              </w:rPr>
              <w:t>0</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C6D29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Ogólna</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8AAC85"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096233"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Z tego względu należy podnieść wątpliwość  czy w zakresie dostępności oraz pojemności skrzynek doręczeń zostaną określone wymagania dla innych, niż Operator Wyznaczony, dostawców (kwalifikowanych) usług RDE, działających np. w ramach Krajowego Systemu e-Doręczeń.</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093058" w14:textId="0CE8ADAD"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3C907670"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Dostawcy kwalifikowani nie są zobowiązani oferować skrzynek doręczeń.</w:t>
            </w:r>
          </w:p>
          <w:p w14:paraId="0D1C71B2"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Jeśli zdecydują się to zrobić, KPRM nie widzi potrzeby szczegółowego regulowania usług wspierających, które nie zostały wymienione w rozporządzeniu eIDAS.</w:t>
            </w:r>
          </w:p>
        </w:tc>
      </w:tr>
      <w:tr w:rsidR="00700D76" w:rsidRPr="001F0DD4" w14:paraId="697EC55B"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5C3B84" w14:textId="555B6ED5"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2</w:t>
            </w:r>
            <w:r w:rsidR="00072E55" w:rsidRPr="001F0DD4">
              <w:rPr>
                <w:rFonts w:asciiTheme="minorHAnsi" w:hAnsiTheme="minorHAnsi" w:cstheme="minorHAnsi"/>
              </w:rPr>
              <w:t>1</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642E18"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Ogólna</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48FADA"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CC5683"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Czy brak ujęcia tego zagadnienia w przedstawionym projekcie pozostawia miejsce na dowolne działanie i parametry, czy też projekt  a następnie rozporządzenie) powinien być punktem odniesienia, a jego założenia uwzględnione przez innych dostawców w tworzeniu usługi kwalifikowanej.</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1FA6D9" w14:textId="2FB7C8EE"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0D50A2B6" w14:textId="77777777"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Usługa kwalifikowana jest wystarczająco wystandaryzowana, żeby z punktu widzenia innych dostawców nie miało znaczenia, czy wiadomość została nadesłana przez aplikację kliencką bezpośrednio do usługi RDE czy nadesłana z użyciem skrzynki nadawcy.</w:t>
            </w:r>
          </w:p>
        </w:tc>
      </w:tr>
      <w:tr w:rsidR="00700D76" w:rsidRPr="001F0DD4" w14:paraId="36A54D0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661876" w14:textId="38A42D5A"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2</w:t>
            </w:r>
            <w:r w:rsidR="00072E55" w:rsidRPr="001F0DD4">
              <w:rPr>
                <w:rFonts w:asciiTheme="minorHAnsi" w:hAnsiTheme="minorHAnsi" w:cstheme="minorHAnsi"/>
              </w:rPr>
              <w:t>2</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C54FF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5 ust. 3</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9A970C"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A15DAE"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Jaka jest wielkość przestrzeni na korespondencję oczekującą na pobranie?</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93D080" w14:textId="0D6C95D6"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39B294BE" w14:textId="7777777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Odpowiedź znajduje się w Standardzie opublikowanym na BIP Ministra Cyfryzacji.</w:t>
            </w:r>
          </w:p>
          <w:p w14:paraId="1301197D"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5.2.3.1      Usługa RDE zapewnia, że przesyłka przeznaczona do doręczenia będzie dostępna dla adresata przez okres nie krótszy niż 25 dni od momentu nadania.</w:t>
            </w:r>
          </w:p>
          <w:p w14:paraId="2C3B896F"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xml:space="preserve">5.2.3.4      Usługa RDE zapewnia, że przesyłki, które spełniają wymagania i ograniczenia wielkości określone w 5.2.3.2 nie będą </w:t>
            </w:r>
            <w:r w:rsidRPr="001F0DD4">
              <w:rPr>
                <w:rFonts w:asciiTheme="minorHAnsi" w:hAnsiTheme="minorHAnsi" w:cstheme="minorHAnsi"/>
                <w:i/>
              </w:rPr>
              <w:lastRenderedPageBreak/>
              <w:t>odrzucane w momencie nadania przez usługę RDE ze względu na liczbę przesyłek oczekujących na odebranie po stronie adresata.</w:t>
            </w:r>
          </w:p>
          <w:p w14:paraId="03142392"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5.2.3.5      Jeżeli przesyłka jest niedostępna do odbioru przez adresata po okresie wskazanym w  5.2.3.1, to dostawca RDE musi usunąć całą jej całą zawartość i zarejestrować zdarzenie związane z zakończeniem okresu udostępniania przesyłki do odbioru.</w:t>
            </w:r>
            <w:r w:rsidRPr="001F0DD4">
              <w:rPr>
                <w:rFonts w:asciiTheme="minorHAnsi" w:hAnsiTheme="minorHAnsi" w:cstheme="minorHAnsi"/>
                <w:i/>
              </w:rPr>
              <w:tab/>
            </w:r>
          </w:p>
        </w:tc>
      </w:tr>
      <w:tr w:rsidR="00700D76" w:rsidRPr="001F0DD4" w14:paraId="76C58665"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88560A" w14:textId="19BCF8CE"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lastRenderedPageBreak/>
              <w:t>2</w:t>
            </w:r>
            <w:r w:rsidR="00072E55" w:rsidRPr="001F0DD4">
              <w:rPr>
                <w:rFonts w:asciiTheme="minorHAnsi" w:hAnsiTheme="minorHAnsi" w:cstheme="minorHAnsi"/>
              </w:rPr>
              <w:t>3</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59A855"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Uzasadnienie</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9B9188"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42AE148"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2. Do strony 9 akapit 5 uzasadnienia do projektu: Czy w zacytowanym poniżej akapicie jest mowa jedynie o dowodach:</w:t>
            </w:r>
          </w:p>
          <w:p w14:paraId="4C113696"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A1 'Akceptacja nadania przesyłki' - potwierdzenie wysłania zdefiniowane w rozdziale 6.6 standardu Usługi RDE</w:t>
            </w:r>
          </w:p>
          <w:p w14:paraId="4B67F182"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E.1 'Dostarczenie przesyłki'- potwierdzenie otrzymania zdefiniowane w rozdziale 6.7 standardu usługi RDE</w:t>
            </w:r>
          </w:p>
          <w:p w14:paraId="6DA8D9F9"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Czy pozostałe typy dowodów nie będą wliczane do wielkości wykorzystanej pojemności skrzynki?</w:t>
            </w:r>
          </w:p>
          <w:p w14:paraId="01BF05D2"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Strona 9 akapit 5:</w:t>
            </w:r>
          </w:p>
          <w:p w14:paraId="184EED2F"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"Dla podmiotów publicznych wyznaczono maksymalną pojemność 15 GB. Przy czym pojemność ta została podzielona na przestrzeń podstawową, która wyniesie 8 GB z przeznaczeniem na korespondencję otrzymaną i wysłaną wraz z dowodami wysłania oraz dowodami otrzymania, a także na korespondencję usuniętą i roboczą".</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EDD7C7" w14:textId="01A1A3F2"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0D7BC483" w14:textId="77777777"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W tym akapicie jest mowa o dowodach wysłania i otrzymania. Są one osobnymi dowodami, nie występującymi w normach ETSI, choć powstają na ich podstawie.</w:t>
            </w:r>
          </w:p>
          <w:p w14:paraId="602E998C" w14:textId="7777777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rPr>
              <w:t>Dowody techniczne (o znikomej objętości) będą wliczane do wykorzystanej pojemności skrzynki.</w:t>
            </w:r>
          </w:p>
        </w:tc>
      </w:tr>
      <w:tr w:rsidR="00700D76" w:rsidRPr="001F0DD4" w14:paraId="5E0E6836"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C1B82C" w14:textId="311B3BBA"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t>2</w:t>
            </w:r>
            <w:r w:rsidR="00072E55" w:rsidRPr="001F0DD4">
              <w:rPr>
                <w:rFonts w:asciiTheme="minorHAnsi" w:hAnsiTheme="minorHAnsi" w:cstheme="minorHAnsi"/>
              </w:rPr>
              <w:t>4</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C31D9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Załącznik</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5401A0"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CF3F0D"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Wyjaśnienia wymaga czy wzór zastosowany do obliczenia parametru dostępności skrzynki użyty w projekcie rozporządzenia uwzględnia  wszystkich parametrów wskazane w rozporządzeniu oraz uzasadnieniu.</w:t>
            </w:r>
          </w:p>
          <w:p w14:paraId="6AB2AD16"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Po pierwsze ta dostępność jest liczona jako dostępność w przedziale czasowym jednego tygodnia. Tego nie ma w projekcie rozporządzenia, a jest to ujęte tylko jako objaśnienie do wzoru.</w:t>
            </w:r>
          </w:p>
          <w:p w14:paraId="63A71D40"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xml:space="preserve"> Ponadto nie do końca jasno wskazane , co oznacza pojęcie „czasu niedostępności z przyczyn niezależnych od operatora </w:t>
            </w:r>
            <w:r w:rsidRPr="001F0DD4">
              <w:rPr>
                <w:rFonts w:asciiTheme="minorHAnsi" w:hAnsiTheme="minorHAnsi" w:cstheme="minorHAnsi"/>
              </w:rPr>
              <w:lastRenderedPageBreak/>
              <w:t>wyznaczonego” – użyte w par. 2 ust. 3 nie jest ono zdefiniowane w ustawie ani w rozporządzeniu.  Nie jest to nieplanowana niedostępność gdyż ona jest ujęta we wzorze. Jest to jakiś inny rodzaj niedostępności – nie wiadomo jaki.</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1A0E8C" w14:textId="7CCF2CFA"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Uwaga wyjaśniona</w:t>
            </w:r>
          </w:p>
          <w:p w14:paraId="0BACD2BA"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Dostępność liczy się w czasie. Dobór jednostki pomiarowej (tydzień) jest propozycją.</w:t>
            </w:r>
          </w:p>
          <w:p w14:paraId="001CD016" w14:textId="77777777" w:rsidR="00700D76" w:rsidRPr="001F0DD4" w:rsidRDefault="00011956" w:rsidP="00955117">
            <w:pPr>
              <w:spacing w:line="240" w:lineRule="auto"/>
              <w:jc w:val="both"/>
              <w:rPr>
                <w:rFonts w:asciiTheme="minorHAnsi" w:hAnsiTheme="minorHAnsi" w:cstheme="minorHAnsi"/>
              </w:rPr>
            </w:pPr>
            <w:r w:rsidRPr="001F0DD4">
              <w:rPr>
                <w:rFonts w:asciiTheme="minorHAnsi" w:hAnsiTheme="minorHAnsi" w:cstheme="minorHAnsi"/>
              </w:rPr>
              <w:t>Rozporządzenie nie może wykraczać poza zakres wskazany w art. 38 ust 6.</w:t>
            </w:r>
          </w:p>
          <w:p w14:paraId="6C679D67" w14:textId="7777777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i/>
              </w:rPr>
              <w:t xml:space="preserve">“Czas niedostępności nieplanowanej" </w:t>
            </w:r>
            <w:r w:rsidRPr="001F0DD4">
              <w:rPr>
                <w:rFonts w:asciiTheme="minorHAnsi" w:hAnsiTheme="minorHAnsi" w:cstheme="minorHAnsi"/>
              </w:rPr>
              <w:t xml:space="preserve">jest przeciwstawiony </w:t>
            </w:r>
            <w:r w:rsidRPr="001F0DD4">
              <w:rPr>
                <w:rFonts w:asciiTheme="minorHAnsi" w:hAnsiTheme="minorHAnsi" w:cstheme="minorHAnsi"/>
                <w:i/>
              </w:rPr>
              <w:t>dostępności planowanej</w:t>
            </w:r>
            <w:r w:rsidRPr="001F0DD4">
              <w:rPr>
                <w:rFonts w:asciiTheme="minorHAnsi" w:hAnsiTheme="minorHAnsi" w:cstheme="minorHAnsi"/>
              </w:rPr>
              <w:t xml:space="preserve"> tj. pracom serwisowym anonsowanym z </w:t>
            </w:r>
            <w:r w:rsidRPr="001F0DD4">
              <w:rPr>
                <w:rFonts w:asciiTheme="minorHAnsi" w:hAnsiTheme="minorHAnsi" w:cstheme="minorHAnsi"/>
              </w:rPr>
              <w:lastRenderedPageBreak/>
              <w:t>wyprzedzeniem. Jeśli niedostępność nieplanowana nastąpiła z uwagi na siłę wyższą, jej czas zostanie pominięty w zliczaniu okresu dostępności nieplanowanej.</w:t>
            </w:r>
          </w:p>
        </w:tc>
      </w:tr>
      <w:tr w:rsidR="00700D76" w:rsidRPr="001F0DD4" w14:paraId="6F80A3BF"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C0C824" w14:textId="32FD796E" w:rsidR="00700D76" w:rsidRPr="001F0DD4" w:rsidRDefault="00011956" w:rsidP="00955117">
            <w:pPr>
              <w:spacing w:after="0" w:line="240" w:lineRule="auto"/>
              <w:jc w:val="both"/>
              <w:rPr>
                <w:rFonts w:asciiTheme="minorHAnsi" w:hAnsiTheme="minorHAnsi" w:cstheme="minorHAnsi"/>
              </w:rPr>
            </w:pPr>
            <w:r w:rsidRPr="001F0DD4">
              <w:rPr>
                <w:rFonts w:asciiTheme="minorHAnsi" w:hAnsiTheme="minorHAnsi" w:cstheme="minorHAnsi"/>
              </w:rPr>
              <w:lastRenderedPageBreak/>
              <w:t>2</w:t>
            </w:r>
            <w:r w:rsidR="00072E55" w:rsidRPr="001F0DD4">
              <w:rPr>
                <w:rFonts w:asciiTheme="minorHAnsi" w:hAnsiTheme="minorHAnsi" w:cstheme="minorHAnsi"/>
              </w:rPr>
              <w:t>5</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CAF5D4"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Uzasadnienie</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459D4F"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B0AAA0"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Ponadto nie wiadomo (w uzasadnieniu też tego precyzyjnie nie wyjaśniono chociaż jest tam długi fragment na ten temat)  co oznacza pojęcie: okres niedostępności nieplanowanej ( DON) zwłaszcza nie ma wyznaczonych precyzyjnych granic miedzy pojęciem okresu niedostępności nieplanowanej a czasu niedostępności z przyczyn niezależnych od operatora wyznaczonego. We wzorze do rozporządzenia jest wskazane, że DON oznacza dopuszczalny okres niedostępności nieplanowanej tygodniowo. Wynosi on 3,5 godziny tygodniowo.</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8EAE8A" w14:textId="412843E8"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 xml:space="preserve">Uwaga wyjaśniona </w:t>
            </w:r>
          </w:p>
          <w:p w14:paraId="7DCACBFB" w14:textId="77777777"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Zostanie wprowadzone jaśniejsze objaśnienie: okres niedostępności nieplanowanej to czas, w którym system posiadacza skrzynki lub osób przez niego upoważnionych a) nie może korzystać ze skrzynki z uwagi na jej niedostępność i b) okres ten nie został zaanonsowany z 24 godzinnym wyprzedzeniem.</w:t>
            </w:r>
          </w:p>
          <w:p w14:paraId="68005318" w14:textId="77777777"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rPr>
              <w:t>Jeśli niedostępność nieplanowana nastąpiła z uwagi na siłę wyższą, jej czas zostanie pominięty w zliczaniu okresu dostępności nieplanowanej.</w:t>
            </w:r>
          </w:p>
        </w:tc>
      </w:tr>
      <w:tr w:rsidR="00700D76" w:rsidRPr="001F0DD4" w14:paraId="565C061D"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16C309" w14:textId="40C1F80B" w:rsidR="00700D76" w:rsidRPr="001F0DD4" w:rsidRDefault="00072E55" w:rsidP="00955117">
            <w:pPr>
              <w:spacing w:after="0" w:line="240" w:lineRule="auto"/>
              <w:jc w:val="both"/>
              <w:rPr>
                <w:rFonts w:asciiTheme="minorHAnsi" w:hAnsiTheme="minorHAnsi" w:cstheme="minorHAnsi"/>
              </w:rPr>
            </w:pPr>
            <w:r w:rsidRPr="001F0DD4">
              <w:rPr>
                <w:rFonts w:asciiTheme="minorHAnsi" w:hAnsiTheme="minorHAnsi" w:cstheme="minorHAnsi"/>
              </w:rPr>
              <w:t>26</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44F26E"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Ogólna</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154EB7"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797369"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 xml:space="preserve">Czy DON to awaria i usterka leżąca po stronie operatora?  Czy DON obejmuje też czas przywrócenia dostępności skrzynki doręczeń dla podmiotu publicznego oraz podmiotu niepublicznego po zaistnieniu nieplanowanej niedostępności np. awarii, usterki (regulacja zawarta w par 3). Czas przywrócenia dostępności skrzynki doręczeń dla podmiotu publicznego oraz podmiotu niepublicznego po zaistnieniu nieplanowanej niedostępności wynosi zgodnie z par. 3 maksymalnie 4 godziny, więc z definicji wykracza poza limit DON, wskazany przy objaśnieniu do wzoru. Jeśli ten czas nie jest oznaczany jako DON – to w jaki sposób jest on ujęty we wzorze służącym do obliczania dostępności skrzynki? Nic w tym zakresie nie wynika z projektu rozporządzenia.  Ten czas 4 godzin wynikający z par. 3 nie został określony jako limit tygodniowy wiec nie wiadomo jak go liczyć i ujmować w dostępności skrzynki. Jeśli nie jest on ujęty w limicie DON ( a wydaje się wynikać że nie ) to oznacza że jeśli w ciągu dnia były 3 nieplanowane niedostępności po 20 min każda, to czas przywrócenia dostępności po każdej z nich może zająć 4 godziny </w:t>
            </w:r>
            <w:r w:rsidRPr="001F0DD4">
              <w:rPr>
                <w:rFonts w:asciiTheme="minorHAnsi" w:hAnsiTheme="minorHAnsi" w:cstheme="minorHAnsi"/>
              </w:rPr>
              <w:lastRenderedPageBreak/>
              <w:t>po każdej – co oznacza  12 godzin.  Tak regulacja nie będzie naruszać literalnie zapisów rozporządzenia a skrzynki nie będą dostępne w praktyce cały dzień.</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4D4E13" w14:textId="6C5592E3"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lastRenderedPageBreak/>
              <w:t>Uwaga wyjaśniona</w:t>
            </w:r>
          </w:p>
          <w:p w14:paraId="37B90675" w14:textId="77777777"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DON obejmuje czas, w którym skrzynka jest niedostępna; rozporządzenie nie będzie określać, czy jest to typowa awaria sprzętu, brak zgodności oprogramowania lub wygaśnięcie certyfikatu lub inny konflikt reguł.</w:t>
            </w:r>
          </w:p>
          <w:p w14:paraId="503986A4" w14:textId="77777777"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 xml:space="preserve">Od chwili wyznaczającej początek okresu DON operator wyznaczony podejmuje (lub nie) działania zmierzające do przywrócenia dostępności. Jest to poza sferą zainteresowania posiadacza skrzynki, on oczekuje nie napraw lecz efektu - przywróconej dostępności. </w:t>
            </w:r>
            <w:r w:rsidRPr="001F0DD4">
              <w:rPr>
                <w:rFonts w:asciiTheme="minorHAnsi" w:hAnsiTheme="minorHAnsi" w:cstheme="minorHAnsi"/>
                <w:b/>
              </w:rPr>
              <w:t>Zatem czas przywrócenia zawiera się w DON</w:t>
            </w:r>
            <w:r w:rsidRPr="001F0DD4">
              <w:rPr>
                <w:rFonts w:asciiTheme="minorHAnsi" w:hAnsiTheme="minorHAnsi" w:cstheme="minorHAnsi"/>
              </w:rPr>
              <w:t>, tj. DON może potrwać nie dłużej niż 4 godziny dla jednego okresu niedostępności, jeśli się przedłuży nie jest to już niedostępność dopuszczalna.</w:t>
            </w:r>
          </w:p>
          <w:p w14:paraId="49EF125A" w14:textId="2D347B08"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lastRenderedPageBreak/>
              <w:t>Czas przywrócenia skrzynki nie jest osobno ujęty we wzorze, wystarczy bowiem, że operator wyznaczony będzie niedostępny 3,5 godz</w:t>
            </w:r>
            <w:r w:rsidR="00D540B7" w:rsidRPr="001F0DD4">
              <w:rPr>
                <w:rFonts w:asciiTheme="minorHAnsi" w:hAnsiTheme="minorHAnsi" w:cstheme="minorHAnsi"/>
              </w:rPr>
              <w:t>.</w:t>
            </w:r>
            <w:r w:rsidRPr="001F0DD4">
              <w:rPr>
                <w:rFonts w:asciiTheme="minorHAnsi" w:hAnsiTheme="minorHAnsi" w:cstheme="minorHAnsi"/>
              </w:rPr>
              <w:t xml:space="preserve"> w całym tygodniu, a jego gwarantowana dostępność spadnie poniżej dopuszczalnego poziomu. Czas przywrócenia sprawności zostanie usunięty z tekstu rozporządzenia.</w:t>
            </w:r>
          </w:p>
          <w:p w14:paraId="739FD930" w14:textId="0C55DCF0" w:rsidR="00B12A0B" w:rsidRPr="001F0DD4" w:rsidRDefault="00011956" w:rsidP="00F75D0E">
            <w:pPr>
              <w:spacing w:after="120" w:line="240" w:lineRule="auto"/>
              <w:jc w:val="both"/>
              <w:rPr>
                <w:rFonts w:asciiTheme="minorHAnsi" w:hAnsiTheme="minorHAnsi" w:cstheme="minorHAnsi"/>
                <w:b/>
                <w:u w:val="single"/>
              </w:rPr>
            </w:pPr>
            <w:r w:rsidRPr="001F0DD4">
              <w:rPr>
                <w:rFonts w:asciiTheme="minorHAnsi" w:hAnsiTheme="minorHAnsi" w:cstheme="minorHAnsi"/>
              </w:rPr>
              <w:t>Podsumowując: operator wyznaczony albo ma czas dopuszczalnej niedostępności ograniczony limitem tygodniowym albo czasem pojedynczego przywrócenia sprawności. Nie zdarzy się zatem 12 godzinna niedostępność, która będzie uznawana za dopuszczalną.</w:t>
            </w:r>
            <w:bookmarkStart w:id="2" w:name="_GoBack"/>
            <w:bookmarkEnd w:id="2"/>
          </w:p>
        </w:tc>
      </w:tr>
      <w:tr w:rsidR="00700D76" w:rsidRPr="001F0DD4" w14:paraId="5E1BA8C3"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637428" w14:textId="29F106F4" w:rsidR="00700D76" w:rsidRPr="001F0DD4" w:rsidRDefault="00072E55" w:rsidP="00955117">
            <w:pPr>
              <w:spacing w:after="0" w:line="240" w:lineRule="auto"/>
              <w:jc w:val="both"/>
              <w:rPr>
                <w:rFonts w:asciiTheme="minorHAnsi" w:hAnsiTheme="minorHAnsi" w:cstheme="minorHAnsi"/>
              </w:rPr>
            </w:pPr>
            <w:r w:rsidRPr="001F0DD4">
              <w:rPr>
                <w:rFonts w:asciiTheme="minorHAnsi" w:hAnsiTheme="minorHAnsi" w:cstheme="minorHAnsi"/>
              </w:rPr>
              <w:t>27</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6BF268"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Ogólna</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3F4B61"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3BD302"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 związku z tym nie wiadomo, w jaki sposób czas na przywrócenie dostępności skrzynki zawarty w par. 3  wypływa na  parametry gwarantowanej  minimalnej dostępności skrzynki uregulowane w par. 2 ust. 1 projektu rozporządzenia.</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1AB67E" w14:textId="1EA4751E"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Uwaga wyjaśniona</w:t>
            </w:r>
          </w:p>
          <w:p w14:paraId="25D7AD2F" w14:textId="262DB566" w:rsidR="00700D76" w:rsidRPr="001F0DD4" w:rsidRDefault="00B12A0B" w:rsidP="00955117">
            <w:pPr>
              <w:spacing w:after="120" w:line="240" w:lineRule="auto"/>
              <w:jc w:val="both"/>
              <w:rPr>
                <w:rFonts w:asciiTheme="minorHAnsi" w:hAnsiTheme="minorHAnsi" w:cstheme="minorHAnsi"/>
              </w:rPr>
            </w:pPr>
            <w:r w:rsidRPr="001F0DD4">
              <w:rPr>
                <w:rFonts w:asciiTheme="minorHAnsi" w:hAnsiTheme="minorHAnsi" w:cstheme="minorHAnsi"/>
                <w:u w:val="single"/>
              </w:rPr>
              <w:t>Przepis</w:t>
            </w:r>
            <w:r w:rsidRPr="001F0DD4">
              <w:rPr>
                <w:rFonts w:asciiTheme="minorHAnsi" w:hAnsiTheme="minorHAnsi" w:cstheme="minorHAnsi"/>
              </w:rPr>
              <w:t xml:space="preserve"> </w:t>
            </w:r>
            <w:r w:rsidRPr="001F0DD4">
              <w:rPr>
                <w:rFonts w:asciiTheme="minorHAnsi" w:hAnsiTheme="minorHAnsi" w:cstheme="minorHAnsi"/>
                <w:u w:val="single"/>
              </w:rPr>
              <w:t xml:space="preserve">par. 3  ust. 3 został usunięty z tekstu projektu rozporządzenia na skutek uwagi RCL. </w:t>
            </w:r>
          </w:p>
        </w:tc>
      </w:tr>
      <w:tr w:rsidR="00700D76" w:rsidRPr="001F0DD4" w14:paraId="0D8EC019"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263833" w14:textId="03A1494D" w:rsidR="00700D76" w:rsidRPr="001F0DD4" w:rsidRDefault="00072E55" w:rsidP="00955117">
            <w:pPr>
              <w:spacing w:after="0" w:line="240" w:lineRule="auto"/>
              <w:jc w:val="both"/>
              <w:rPr>
                <w:rFonts w:asciiTheme="minorHAnsi" w:hAnsiTheme="minorHAnsi" w:cstheme="minorHAnsi"/>
              </w:rPr>
            </w:pPr>
            <w:r w:rsidRPr="001F0DD4">
              <w:rPr>
                <w:rFonts w:asciiTheme="minorHAnsi" w:hAnsiTheme="minorHAnsi" w:cstheme="minorHAnsi"/>
              </w:rPr>
              <w:t>28</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46E3ED" w14:textId="77777777" w:rsidR="00700D76" w:rsidRPr="001F0DD4" w:rsidRDefault="00011956" w:rsidP="00955117">
            <w:pPr>
              <w:spacing w:after="0" w:line="240" w:lineRule="auto"/>
              <w:jc w:val="both"/>
              <w:rPr>
                <w:rFonts w:asciiTheme="minorHAnsi" w:hAnsiTheme="minorHAnsi" w:cstheme="minorHAnsi"/>
                <w:i/>
              </w:rPr>
            </w:pPr>
            <w:r w:rsidRPr="001F0DD4">
              <w:rPr>
                <w:rFonts w:asciiTheme="minorHAnsi" w:hAnsiTheme="minorHAnsi" w:cstheme="minorHAnsi"/>
                <w:i/>
              </w:rPr>
              <w:t>§ 4 ust. 2</w:t>
            </w:r>
          </w:p>
        </w:tc>
        <w:tc>
          <w:tcPr>
            <w:tcW w:w="14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A2EE6A" w14:textId="77777777" w:rsidR="00700D76" w:rsidRPr="001F0DD4" w:rsidRDefault="00011956" w:rsidP="00955117">
            <w:pPr>
              <w:spacing w:after="0" w:line="240" w:lineRule="auto"/>
              <w:jc w:val="both"/>
              <w:rPr>
                <w:rFonts w:asciiTheme="minorHAnsi" w:hAnsiTheme="minorHAnsi" w:cstheme="minorHAnsi"/>
                <w:b/>
              </w:rPr>
            </w:pPr>
            <w:r w:rsidRPr="001F0DD4">
              <w:rPr>
                <w:rFonts w:asciiTheme="minorHAnsi" w:hAnsiTheme="minorHAnsi" w:cstheme="minorHAnsi"/>
                <w:b/>
              </w:rPr>
              <w:t>PWPW</w:t>
            </w:r>
          </w:p>
        </w:tc>
        <w:tc>
          <w:tcPr>
            <w:tcW w:w="61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A120E3" w14:textId="77777777" w:rsidR="00700D76" w:rsidRPr="001F0DD4" w:rsidRDefault="00011956" w:rsidP="00955117">
            <w:pPr>
              <w:widowControl w:val="0"/>
              <w:spacing w:line="240" w:lineRule="auto"/>
              <w:jc w:val="both"/>
              <w:rPr>
                <w:rFonts w:asciiTheme="minorHAnsi" w:hAnsiTheme="minorHAnsi" w:cstheme="minorHAnsi"/>
              </w:rPr>
            </w:pPr>
            <w:r w:rsidRPr="001F0DD4">
              <w:rPr>
                <w:rFonts w:asciiTheme="minorHAnsi" w:hAnsiTheme="minorHAnsi" w:cstheme="minorHAnsi"/>
              </w:rPr>
              <w:t>Wprowadzenie dwóch trybów zaplanowanych prac serwisowych – pilne (wymaga stworzenia katalogu) - np. 24h oraz standardowe - np. 7 dni, zwiększy pewność działania usługi w kontekście gotowości i oczekiwań właściciela skrzynki. Informowanie z 24h wyprzedzeniem dla zwykłych prac to zdecydowanie za krótki okres. Do posiadania elektronicznych adresów są zobowiązane podmioty, dla których możliwość wysłania korespondencji jest kluczowym elementem działalności (przedsiębiorcy, zawody prawnicze,  administracja). Usługa musi być pewna i przewidywalna.</w:t>
            </w:r>
          </w:p>
        </w:tc>
        <w:tc>
          <w:tcPr>
            <w:tcW w:w="439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779024" w14:textId="07965481" w:rsidR="00700D76" w:rsidRPr="001F0DD4" w:rsidRDefault="00011956" w:rsidP="00955117">
            <w:pPr>
              <w:spacing w:after="120" w:line="240" w:lineRule="auto"/>
              <w:jc w:val="both"/>
              <w:rPr>
                <w:rFonts w:asciiTheme="minorHAnsi" w:hAnsiTheme="minorHAnsi" w:cstheme="minorHAnsi"/>
                <w:b/>
                <w:u w:val="single"/>
              </w:rPr>
            </w:pPr>
            <w:r w:rsidRPr="001F0DD4">
              <w:rPr>
                <w:rFonts w:asciiTheme="minorHAnsi" w:hAnsiTheme="minorHAnsi" w:cstheme="minorHAnsi"/>
                <w:b/>
                <w:u w:val="single"/>
              </w:rPr>
              <w:t xml:space="preserve">Uwaga </w:t>
            </w:r>
            <w:r w:rsidR="00D540B7" w:rsidRPr="001F0DD4">
              <w:rPr>
                <w:rFonts w:asciiTheme="minorHAnsi" w:hAnsiTheme="minorHAnsi" w:cstheme="minorHAnsi"/>
                <w:b/>
                <w:u w:val="single"/>
              </w:rPr>
              <w:t>uwzględniona</w:t>
            </w:r>
          </w:p>
          <w:p w14:paraId="27E1693B" w14:textId="4294D80E" w:rsidR="00700D76" w:rsidRPr="001F0DD4" w:rsidRDefault="00011956" w:rsidP="00955117">
            <w:pPr>
              <w:spacing w:after="120" w:line="240" w:lineRule="auto"/>
              <w:jc w:val="both"/>
              <w:rPr>
                <w:rFonts w:asciiTheme="minorHAnsi" w:hAnsiTheme="minorHAnsi" w:cstheme="minorHAnsi"/>
              </w:rPr>
            </w:pPr>
            <w:r w:rsidRPr="001F0DD4">
              <w:rPr>
                <w:rFonts w:asciiTheme="minorHAnsi" w:hAnsiTheme="minorHAnsi" w:cstheme="minorHAnsi"/>
              </w:rPr>
              <w:t xml:space="preserve">W przypadku jeśli </w:t>
            </w:r>
            <w:r w:rsidR="004066BD" w:rsidRPr="001F0DD4">
              <w:rPr>
                <w:rFonts w:asciiTheme="minorHAnsi" w:hAnsiTheme="minorHAnsi" w:cstheme="minorHAnsi"/>
              </w:rPr>
              <w:t>operator wyznaczony</w:t>
            </w:r>
            <w:r w:rsidRPr="001F0DD4">
              <w:rPr>
                <w:rFonts w:asciiTheme="minorHAnsi" w:hAnsiTheme="minorHAnsi" w:cstheme="minorHAnsi"/>
              </w:rPr>
              <w:t xml:space="preserve"> planuje z kilkutygodniowym wyprzedzeniem wdrożenie nowych rozwiązań lub platform technologicznych, może o tym bez trudu poinformować z wyprzedzeniem 7 dni.</w:t>
            </w:r>
          </w:p>
        </w:tc>
      </w:tr>
    </w:tbl>
    <w:p w14:paraId="386C3362" w14:textId="77777777" w:rsidR="00700D76" w:rsidRPr="001F0DD4" w:rsidRDefault="00700D76" w:rsidP="00955117">
      <w:pPr>
        <w:spacing w:line="240" w:lineRule="auto"/>
        <w:jc w:val="both"/>
        <w:rPr>
          <w:rFonts w:asciiTheme="minorHAnsi" w:hAnsiTheme="minorHAnsi" w:cstheme="minorHAnsi"/>
        </w:rPr>
      </w:pPr>
    </w:p>
    <w:sectPr w:rsidR="00700D76" w:rsidRPr="001F0DD4" w:rsidSect="00F75D0E">
      <w:pgSz w:w="16838" w:h="11906" w:orient="landscape"/>
      <w:pgMar w:top="851" w:right="1417" w:bottom="851"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4BC90" w14:textId="77777777" w:rsidR="0076164C" w:rsidRDefault="0076164C" w:rsidP="0026553C">
      <w:pPr>
        <w:spacing w:after="0" w:line="240" w:lineRule="auto"/>
      </w:pPr>
      <w:r>
        <w:separator/>
      </w:r>
    </w:p>
  </w:endnote>
  <w:endnote w:type="continuationSeparator" w:id="0">
    <w:p w14:paraId="5F15B500" w14:textId="77777777" w:rsidR="0076164C" w:rsidRDefault="0076164C" w:rsidP="00265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CCA0D" w14:textId="77777777" w:rsidR="0076164C" w:rsidRDefault="0076164C" w:rsidP="0026553C">
      <w:pPr>
        <w:spacing w:after="0" w:line="240" w:lineRule="auto"/>
      </w:pPr>
      <w:r>
        <w:separator/>
      </w:r>
    </w:p>
  </w:footnote>
  <w:footnote w:type="continuationSeparator" w:id="0">
    <w:p w14:paraId="55A132A2" w14:textId="77777777" w:rsidR="0076164C" w:rsidRDefault="0076164C" w:rsidP="002655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42BC8"/>
    <w:multiLevelType w:val="multilevel"/>
    <w:tmpl w:val="AC687E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3745A01"/>
    <w:multiLevelType w:val="multilevel"/>
    <w:tmpl w:val="31CA8AD8"/>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D76"/>
    <w:rsid w:val="00011956"/>
    <w:rsid w:val="00072E55"/>
    <w:rsid w:val="00080267"/>
    <w:rsid w:val="00091056"/>
    <w:rsid w:val="000D6CDF"/>
    <w:rsid w:val="001217E3"/>
    <w:rsid w:val="00123716"/>
    <w:rsid w:val="00127965"/>
    <w:rsid w:val="001733C3"/>
    <w:rsid w:val="001F0DD4"/>
    <w:rsid w:val="00220974"/>
    <w:rsid w:val="0026553C"/>
    <w:rsid w:val="002E3265"/>
    <w:rsid w:val="00331B54"/>
    <w:rsid w:val="003743CE"/>
    <w:rsid w:val="003B2A24"/>
    <w:rsid w:val="003E1E03"/>
    <w:rsid w:val="004066BD"/>
    <w:rsid w:val="004213B2"/>
    <w:rsid w:val="00441312"/>
    <w:rsid w:val="00453C99"/>
    <w:rsid w:val="00584AB0"/>
    <w:rsid w:val="00586EFA"/>
    <w:rsid w:val="005F5776"/>
    <w:rsid w:val="00613768"/>
    <w:rsid w:val="00683B69"/>
    <w:rsid w:val="006C2DEE"/>
    <w:rsid w:val="00700D76"/>
    <w:rsid w:val="0071601B"/>
    <w:rsid w:val="0076164C"/>
    <w:rsid w:val="0079784E"/>
    <w:rsid w:val="007B099A"/>
    <w:rsid w:val="00901700"/>
    <w:rsid w:val="00955117"/>
    <w:rsid w:val="00985F3C"/>
    <w:rsid w:val="009A7055"/>
    <w:rsid w:val="009C598B"/>
    <w:rsid w:val="00A05CFE"/>
    <w:rsid w:val="00A0779E"/>
    <w:rsid w:val="00A3065D"/>
    <w:rsid w:val="00A76F4F"/>
    <w:rsid w:val="00AB3313"/>
    <w:rsid w:val="00AD6ACB"/>
    <w:rsid w:val="00AF5A49"/>
    <w:rsid w:val="00B12A0B"/>
    <w:rsid w:val="00B12EC2"/>
    <w:rsid w:val="00B239BB"/>
    <w:rsid w:val="00B24B19"/>
    <w:rsid w:val="00BC6A90"/>
    <w:rsid w:val="00CB6C0E"/>
    <w:rsid w:val="00D01378"/>
    <w:rsid w:val="00D2128E"/>
    <w:rsid w:val="00D22E05"/>
    <w:rsid w:val="00D540B7"/>
    <w:rsid w:val="00E8482D"/>
    <w:rsid w:val="00F070B8"/>
    <w:rsid w:val="00F75D0E"/>
    <w:rsid w:val="00FA5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F30D6"/>
  <w15:docId w15:val="{F58CAB14-17EC-4340-BF15-8F7658195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Odwoaniedokomentarza">
    <w:name w:val="annotation reference"/>
    <w:basedOn w:val="Domylnaczcionkaakapitu"/>
    <w:uiPriority w:val="99"/>
    <w:semiHidden/>
    <w:unhideWhenUsed/>
    <w:rsid w:val="00FA42D3"/>
    <w:rPr>
      <w:sz w:val="16"/>
      <w:szCs w:val="16"/>
    </w:rPr>
  </w:style>
  <w:style w:type="paragraph" w:styleId="Tekstkomentarza">
    <w:name w:val="annotation text"/>
    <w:basedOn w:val="Normalny"/>
    <w:link w:val="TekstkomentarzaZnak"/>
    <w:uiPriority w:val="99"/>
    <w:semiHidden/>
    <w:unhideWhenUsed/>
    <w:rsid w:val="00FA42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A42D3"/>
    <w:rPr>
      <w:sz w:val="20"/>
      <w:szCs w:val="20"/>
    </w:rPr>
  </w:style>
  <w:style w:type="paragraph" w:styleId="Tematkomentarza">
    <w:name w:val="annotation subject"/>
    <w:basedOn w:val="Tekstkomentarza"/>
    <w:next w:val="Tekstkomentarza"/>
    <w:link w:val="TematkomentarzaZnak"/>
    <w:uiPriority w:val="99"/>
    <w:semiHidden/>
    <w:unhideWhenUsed/>
    <w:rsid w:val="00FA42D3"/>
    <w:rPr>
      <w:b/>
      <w:bCs/>
    </w:rPr>
  </w:style>
  <w:style w:type="character" w:customStyle="1" w:styleId="TematkomentarzaZnak">
    <w:name w:val="Temat komentarza Znak"/>
    <w:basedOn w:val="TekstkomentarzaZnak"/>
    <w:link w:val="Tematkomentarza"/>
    <w:uiPriority w:val="99"/>
    <w:semiHidden/>
    <w:rsid w:val="00FA42D3"/>
    <w:rPr>
      <w:b/>
      <w:bCs/>
      <w:sz w:val="20"/>
      <w:szCs w:val="20"/>
    </w:rPr>
  </w:style>
  <w:style w:type="paragraph" w:styleId="Tekstdymka">
    <w:name w:val="Balloon Text"/>
    <w:basedOn w:val="Normalny"/>
    <w:link w:val="TekstdymkaZnak"/>
    <w:uiPriority w:val="99"/>
    <w:semiHidden/>
    <w:unhideWhenUsed/>
    <w:rsid w:val="00FA42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2D3"/>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175F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5F47"/>
    <w:rPr>
      <w:sz w:val="20"/>
      <w:szCs w:val="20"/>
    </w:rPr>
  </w:style>
  <w:style w:type="character" w:styleId="Odwoanieprzypisukocowego">
    <w:name w:val="endnote reference"/>
    <w:basedOn w:val="Domylnaczcionkaakapitu"/>
    <w:uiPriority w:val="99"/>
    <w:semiHidden/>
    <w:unhideWhenUsed/>
    <w:rsid w:val="00175F47"/>
    <w:rPr>
      <w:vertAlign w:val="superscript"/>
    </w:rPr>
  </w:style>
  <w:style w:type="character" w:customStyle="1" w:styleId="TeksttreciOdstpy1pt">
    <w:name w:val="Tekst treści + Odstępy 1 pt"/>
    <w:rsid w:val="008E0848"/>
    <w:rPr>
      <w:rFonts w:ascii="Times New Roman" w:eastAsia="Times New Roman" w:hAnsi="Times New Roman" w:cs="Times New Roman"/>
      <w:b w:val="0"/>
      <w:bCs w:val="0"/>
      <w:i w:val="0"/>
      <w:iCs w:val="0"/>
      <w:smallCaps w:val="0"/>
      <w:strike w:val="0"/>
      <w:spacing w:val="20"/>
      <w:sz w:val="23"/>
      <w:szCs w:val="23"/>
    </w:rPr>
  </w:style>
  <w:style w:type="character" w:customStyle="1" w:styleId="Teksttreci">
    <w:name w:val="Tekst treści_"/>
    <w:link w:val="Teksttreci0"/>
    <w:rsid w:val="008E0848"/>
    <w:rPr>
      <w:sz w:val="23"/>
      <w:szCs w:val="23"/>
      <w:shd w:val="clear" w:color="auto" w:fill="FFFFFF"/>
    </w:rPr>
  </w:style>
  <w:style w:type="paragraph" w:customStyle="1" w:styleId="Teksttreci0">
    <w:name w:val="Tekst treści"/>
    <w:basedOn w:val="Normalny"/>
    <w:link w:val="Teksttreci"/>
    <w:rsid w:val="008E0848"/>
    <w:pPr>
      <w:shd w:val="clear" w:color="auto" w:fill="FFFFFF"/>
      <w:spacing w:before="360" w:after="180" w:line="0" w:lineRule="atLeast"/>
      <w:ind w:hanging="460"/>
    </w:pPr>
    <w:rPr>
      <w:sz w:val="23"/>
      <w:szCs w:val="23"/>
    </w:rPr>
  </w:style>
  <w:style w:type="paragraph" w:customStyle="1" w:styleId="ARTartustawynprozporzdzenia">
    <w:name w:val="ART(§) – art. ustawy (§ np. rozporządzenia)"/>
    <w:uiPriority w:val="11"/>
    <w:qFormat/>
    <w:rsid w:val="001017AB"/>
    <w:pPr>
      <w:suppressAutoHyphens/>
      <w:autoSpaceDE w:val="0"/>
      <w:autoSpaceDN w:val="0"/>
      <w:adjustRightInd w:val="0"/>
      <w:spacing w:before="120" w:after="0" w:line="360" w:lineRule="auto"/>
      <w:ind w:firstLine="510"/>
      <w:jc w:val="both"/>
    </w:pPr>
    <w:rPr>
      <w:rFonts w:ascii="Times" w:eastAsia="Times New Roman" w:hAnsi="Times" w:cs="Arial"/>
      <w:sz w:val="24"/>
      <w:szCs w:val="20"/>
    </w:rPr>
  </w:style>
  <w:style w:type="character" w:customStyle="1" w:styleId="Kkursywa">
    <w:name w:val="_K_ – kursywa"/>
    <w:uiPriority w:val="1"/>
    <w:qFormat/>
    <w:rsid w:val="001017AB"/>
    <w:rPr>
      <w:i/>
    </w:rPr>
  </w:style>
  <w:style w:type="paragraph" w:styleId="Poprawka">
    <w:name w:val="Revision"/>
    <w:hidden/>
    <w:uiPriority w:val="99"/>
    <w:semiHidden/>
    <w:rsid w:val="00F508EA"/>
    <w:pPr>
      <w:spacing w:after="0" w:line="240" w:lineRule="auto"/>
    </w:p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Z4v9RTOIr8hPSDMg4fBnKD9NDw==">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3969</Words>
  <Characters>23814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 Anna</dc:creator>
  <cp:keywords/>
  <dc:description/>
  <cp:lastModifiedBy>Piekart Andrzej</cp:lastModifiedBy>
  <cp:revision>5</cp:revision>
  <dcterms:created xsi:type="dcterms:W3CDTF">2021-04-22T10:41:00Z</dcterms:created>
  <dcterms:modified xsi:type="dcterms:W3CDTF">2021-04-22T11:17:00Z</dcterms:modified>
</cp:coreProperties>
</file>