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990DB" w14:textId="77777777" w:rsidR="00E94641" w:rsidRDefault="00E94641" w:rsidP="002D20EC">
      <w:pPr>
        <w:autoSpaceDE w:val="0"/>
        <w:autoSpaceDN w:val="0"/>
        <w:adjustRightInd w:val="0"/>
        <w:spacing w:after="240"/>
        <w:rPr>
          <w:sz w:val="22"/>
        </w:rPr>
      </w:pPr>
      <w:bookmarkStart w:id="0" w:name="_GoBack"/>
      <w:bookmarkEnd w:id="0"/>
      <w:r w:rsidRPr="00E94641">
        <w:rPr>
          <w:sz w:val="22"/>
        </w:rPr>
        <w:t xml:space="preserve">Załącznik B.3. </w:t>
      </w:r>
    </w:p>
    <w:p w14:paraId="331316BF" w14:textId="5B66F6E7" w:rsidR="00CB0FB5" w:rsidRPr="002D20EC" w:rsidRDefault="00CB0FB5" w:rsidP="002D20EC">
      <w:pPr>
        <w:autoSpaceDE w:val="0"/>
        <w:autoSpaceDN w:val="0"/>
        <w:adjustRightInd w:val="0"/>
        <w:spacing w:after="240"/>
        <w:rPr>
          <w:sz w:val="18"/>
          <w:szCs w:val="28"/>
        </w:rPr>
      </w:pPr>
      <w:r w:rsidRPr="00CB0FB5">
        <w:rPr>
          <w:b/>
          <w:sz w:val="28"/>
          <w:szCs w:val="28"/>
        </w:rPr>
        <w:t>LECZENIE NOWOTWORÓW POD</w:t>
      </w:r>
      <w:r w:rsidR="00390690">
        <w:rPr>
          <w:b/>
          <w:sz w:val="28"/>
          <w:szCs w:val="28"/>
        </w:rPr>
        <w:t xml:space="preserve">ŚCIELISKA PRZEWODU POKARMOWEGO </w:t>
      </w:r>
      <w:r w:rsidRPr="00CB0FB5">
        <w:rPr>
          <w:b/>
          <w:sz w:val="28"/>
          <w:szCs w:val="28"/>
        </w:rPr>
        <w:t>(GIST)</w:t>
      </w:r>
      <w:r w:rsidR="00390690">
        <w:rPr>
          <w:b/>
          <w:sz w:val="28"/>
          <w:szCs w:val="28"/>
        </w:rPr>
        <w:t xml:space="preserve">  </w:t>
      </w:r>
      <w:r w:rsidR="00423EE9" w:rsidRPr="00423EE9">
        <w:rPr>
          <w:b/>
          <w:sz w:val="28"/>
          <w:szCs w:val="28"/>
        </w:rPr>
        <w:t xml:space="preserve">(ICD-10 </w:t>
      </w:r>
      <w:r w:rsidR="00423EE9">
        <w:rPr>
          <w:b/>
          <w:sz w:val="28"/>
          <w:szCs w:val="28"/>
        </w:rPr>
        <w:t xml:space="preserve"> </w:t>
      </w:r>
      <w:r w:rsidR="00423EE9" w:rsidRPr="00423EE9">
        <w:rPr>
          <w:b/>
          <w:sz w:val="28"/>
          <w:szCs w:val="28"/>
        </w:rPr>
        <w:t>C</w:t>
      </w:r>
      <w:r w:rsidR="00423EE9">
        <w:rPr>
          <w:b/>
          <w:sz w:val="28"/>
          <w:szCs w:val="28"/>
        </w:rPr>
        <w:t xml:space="preserve"> </w:t>
      </w:r>
      <w:r w:rsidR="00423EE9" w:rsidRPr="00423EE9">
        <w:rPr>
          <w:b/>
          <w:sz w:val="28"/>
          <w:szCs w:val="28"/>
        </w:rPr>
        <w:t>15, C</w:t>
      </w:r>
      <w:r w:rsidR="00423EE9">
        <w:rPr>
          <w:b/>
          <w:sz w:val="28"/>
          <w:szCs w:val="28"/>
        </w:rPr>
        <w:t xml:space="preserve"> </w:t>
      </w:r>
      <w:r w:rsidR="00423EE9" w:rsidRPr="00423EE9">
        <w:rPr>
          <w:b/>
          <w:sz w:val="28"/>
          <w:szCs w:val="28"/>
        </w:rPr>
        <w:t>16, C</w:t>
      </w:r>
      <w:r w:rsidR="00423EE9">
        <w:rPr>
          <w:b/>
          <w:sz w:val="28"/>
          <w:szCs w:val="28"/>
        </w:rPr>
        <w:t xml:space="preserve"> </w:t>
      </w:r>
      <w:r w:rsidR="00423EE9" w:rsidRPr="00423EE9">
        <w:rPr>
          <w:b/>
          <w:sz w:val="28"/>
          <w:szCs w:val="28"/>
        </w:rPr>
        <w:t>17, C</w:t>
      </w:r>
      <w:r w:rsidR="00423EE9">
        <w:rPr>
          <w:b/>
          <w:sz w:val="28"/>
          <w:szCs w:val="28"/>
        </w:rPr>
        <w:t xml:space="preserve"> </w:t>
      </w:r>
      <w:r w:rsidR="00423EE9" w:rsidRPr="00423EE9">
        <w:rPr>
          <w:b/>
          <w:sz w:val="28"/>
          <w:szCs w:val="28"/>
        </w:rPr>
        <w:t>18, C</w:t>
      </w:r>
      <w:r w:rsidR="00B4345B">
        <w:rPr>
          <w:b/>
          <w:sz w:val="28"/>
          <w:szCs w:val="28"/>
        </w:rPr>
        <w:t> </w:t>
      </w:r>
      <w:r w:rsidR="00423EE9" w:rsidRPr="00423EE9">
        <w:rPr>
          <w:b/>
          <w:sz w:val="28"/>
          <w:szCs w:val="28"/>
        </w:rPr>
        <w:t>20, C</w:t>
      </w:r>
      <w:r w:rsidR="00423EE9">
        <w:rPr>
          <w:b/>
          <w:sz w:val="28"/>
          <w:szCs w:val="28"/>
        </w:rPr>
        <w:t xml:space="preserve"> </w:t>
      </w:r>
      <w:r w:rsidR="00423EE9" w:rsidRPr="00423EE9">
        <w:rPr>
          <w:b/>
          <w:sz w:val="28"/>
          <w:szCs w:val="28"/>
        </w:rPr>
        <w:t>48)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4771"/>
        <w:gridCol w:w="5350"/>
      </w:tblGrid>
      <w:tr w:rsidR="004D7609" w:rsidRPr="002D20EC" w14:paraId="3B260B74" w14:textId="77777777" w:rsidTr="002D20EC">
        <w:trPr>
          <w:trHeight w:val="31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C6F48" w14:textId="77777777" w:rsidR="004D7609" w:rsidRPr="002D20EC" w:rsidRDefault="004D7609" w:rsidP="001D6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ZAKRES ŚWIADCZENIA GWARANTOWANEGO</w:t>
            </w:r>
          </w:p>
        </w:tc>
      </w:tr>
      <w:tr w:rsidR="00283CF7" w:rsidRPr="002D20EC" w14:paraId="0999399F" w14:textId="77777777" w:rsidTr="00283CF7"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2301" w14:textId="77777777" w:rsidR="004D7609" w:rsidRPr="002D20EC" w:rsidRDefault="004D7609" w:rsidP="001D6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AA3E" w14:textId="77777777" w:rsidR="004D7609" w:rsidRPr="002D20EC" w:rsidRDefault="004D7609" w:rsidP="001D6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SCHEMAT DAWKOWANIA LEKÓW W PROGRAMIE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CDF0" w14:textId="77777777" w:rsidR="004D7609" w:rsidRPr="002D20EC" w:rsidRDefault="004D7609" w:rsidP="001D6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BADANIA DIAGNOSTYCZNE WYKONYWANE W RAMACH PROGRAMU</w:t>
            </w:r>
          </w:p>
        </w:tc>
      </w:tr>
      <w:tr w:rsidR="00283CF7" w:rsidRPr="002D20EC" w14:paraId="6DE1D8C3" w14:textId="77777777" w:rsidTr="00283CF7"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3C89" w14:textId="77777777" w:rsidR="008E5F4E" w:rsidRPr="002D20EC" w:rsidRDefault="008E5F4E" w:rsidP="008E5F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Leczenie ad</w:t>
            </w:r>
            <w:r w:rsidR="00867C43" w:rsidRPr="002D20EC">
              <w:rPr>
                <w:b/>
                <w:bCs/>
                <w:sz w:val="20"/>
                <w:szCs w:val="20"/>
              </w:rPr>
              <w:t>j</w:t>
            </w:r>
            <w:r w:rsidR="002E44C1">
              <w:rPr>
                <w:b/>
                <w:bCs/>
                <w:sz w:val="20"/>
                <w:szCs w:val="20"/>
              </w:rPr>
              <w:t xml:space="preserve">uwantowe </w:t>
            </w:r>
            <w:r w:rsidRPr="002D20EC">
              <w:rPr>
                <w:b/>
                <w:bCs/>
                <w:sz w:val="20"/>
                <w:szCs w:val="20"/>
              </w:rPr>
              <w:t xml:space="preserve">imatynibem chorych z wysokim ryzykiem nawrotu ≥ 50% wg klasyfikacji AJCC-NCCN-AFIP po zabiegu radykalnego usunięcia guza GIST żołądka, dwunastnicy, jelita cienkiego i odbytnicy z KIT – CD117 dodatnim wynikiem, oraz leczenie paliatywne imatynibem chorych z rozsianym lub nieoperacyjnym nowotworem podścieliska przewodu pokarmowego, które ma na celu zahamowanie rozwoju choroby </w:t>
            </w:r>
          </w:p>
          <w:p w14:paraId="12D34151" w14:textId="77777777" w:rsidR="008E5F4E" w:rsidRPr="00283CF7" w:rsidRDefault="008E5F4E" w:rsidP="008E5F4E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  <w:p w14:paraId="4D7D8955" w14:textId="143B6C39" w:rsidR="004D7609" w:rsidRPr="002D20EC" w:rsidRDefault="008E5F4E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D20EC">
              <w:rPr>
                <w:b/>
                <w:sz w:val="20"/>
                <w:szCs w:val="20"/>
              </w:rPr>
              <w:t>1.1. Kryteria kwalifikacji do leczenia imat</w:t>
            </w:r>
            <w:r w:rsidR="00867C43" w:rsidRPr="002D20EC">
              <w:rPr>
                <w:b/>
                <w:sz w:val="20"/>
                <w:szCs w:val="20"/>
              </w:rPr>
              <w:t>y</w:t>
            </w:r>
            <w:r w:rsidRPr="002D20EC">
              <w:rPr>
                <w:b/>
                <w:sz w:val="20"/>
                <w:szCs w:val="20"/>
              </w:rPr>
              <w:t>nibem</w:t>
            </w:r>
            <w:r w:rsidR="00E70CED">
              <w:rPr>
                <w:b/>
                <w:sz w:val="20"/>
                <w:szCs w:val="20"/>
              </w:rPr>
              <w:t xml:space="preserve"> dzieci i </w:t>
            </w:r>
            <w:r w:rsidR="001E59A3" w:rsidRPr="002D20EC">
              <w:rPr>
                <w:b/>
                <w:sz w:val="20"/>
                <w:szCs w:val="20"/>
              </w:rPr>
              <w:t>dorosłych</w:t>
            </w:r>
          </w:p>
          <w:p w14:paraId="640A519A" w14:textId="77777777" w:rsidR="004D7609" w:rsidRPr="009A4459" w:rsidRDefault="004D7609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rozpoznanie mięsaka </w:t>
            </w:r>
            <w:r w:rsidR="001850B2" w:rsidRPr="009A4459">
              <w:rPr>
                <w:sz w:val="20"/>
                <w:szCs w:val="20"/>
              </w:rPr>
              <w:t xml:space="preserve">podścieliskowego przewodu pokarmowego </w:t>
            </w:r>
            <w:r w:rsidRPr="009A4459">
              <w:rPr>
                <w:sz w:val="20"/>
                <w:szCs w:val="20"/>
              </w:rPr>
              <w:t>potwierdzone histologicznie;</w:t>
            </w:r>
          </w:p>
          <w:p w14:paraId="7AE964F9" w14:textId="77777777" w:rsidR="004D7609" w:rsidRPr="009A4459" w:rsidRDefault="004D7609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ekspresja CD117 potwierdzona immunohistochemicznie;</w:t>
            </w:r>
          </w:p>
          <w:p w14:paraId="66D3911A" w14:textId="77777777" w:rsidR="009B2631" w:rsidRPr="009A4459" w:rsidRDefault="007B1157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leczenie adjuwantowe: obecność wysokiego ryzyka ≥50%  nawrotu  po  zabiegu radyka</w:t>
            </w:r>
            <w:r w:rsidR="009A4459">
              <w:rPr>
                <w:sz w:val="20"/>
                <w:szCs w:val="20"/>
              </w:rPr>
              <w:t>lnego usunięcia nowotworu z  </w:t>
            </w:r>
            <w:r w:rsidRPr="009A4459">
              <w:rPr>
                <w:sz w:val="20"/>
                <w:szCs w:val="20"/>
              </w:rPr>
              <w:t xml:space="preserve">KIT (CD117- dodatniego GIST żołądka, dwunastnicy, jelita cienkiego i odbytnicy, określonego według klasyfikacji AJCC-NCCN-AFIP ); czas od operacji pierwotnego GIST, </w:t>
            </w:r>
            <w:r w:rsidR="002E44C1">
              <w:rPr>
                <w:sz w:val="20"/>
                <w:szCs w:val="20"/>
              </w:rPr>
              <w:t xml:space="preserve">a </w:t>
            </w:r>
            <w:r w:rsidRPr="009A4459">
              <w:rPr>
                <w:sz w:val="20"/>
                <w:szCs w:val="20"/>
              </w:rPr>
              <w:t>wdrożeniem leczenia uzupełniającego nie powinien przekroczyć 4 miesiące;</w:t>
            </w:r>
            <w:r w:rsidR="00D4061C" w:rsidRPr="009A4459">
              <w:rPr>
                <w:sz w:val="20"/>
                <w:szCs w:val="20"/>
              </w:rPr>
              <w:t xml:space="preserve"> </w:t>
            </w:r>
            <w:r w:rsidR="0097642E" w:rsidRPr="009A4459">
              <w:rPr>
                <w:sz w:val="20"/>
                <w:szCs w:val="20"/>
              </w:rPr>
              <w:t>obecność</w:t>
            </w:r>
            <w:r w:rsidR="00D4061C" w:rsidRPr="009A4459">
              <w:rPr>
                <w:sz w:val="20"/>
                <w:szCs w:val="20"/>
              </w:rPr>
              <w:t xml:space="preserve"> </w:t>
            </w:r>
            <w:r w:rsidR="0097642E" w:rsidRPr="009A4459">
              <w:rPr>
                <w:sz w:val="20"/>
                <w:szCs w:val="20"/>
              </w:rPr>
              <w:t>mutacji KIT lub</w:t>
            </w:r>
            <w:r w:rsidR="00C93FF4" w:rsidRPr="009A4459">
              <w:rPr>
                <w:sz w:val="20"/>
                <w:szCs w:val="20"/>
              </w:rPr>
              <w:t xml:space="preserve"> </w:t>
            </w:r>
            <w:r w:rsidR="0097642E" w:rsidRPr="009A4459">
              <w:rPr>
                <w:sz w:val="20"/>
                <w:szCs w:val="20"/>
              </w:rPr>
              <w:t xml:space="preserve">PDGFR-α z wykluczeniem mutacji </w:t>
            </w:r>
            <w:r w:rsidR="00704DC1" w:rsidRPr="009A4459">
              <w:rPr>
                <w:sz w:val="20"/>
                <w:szCs w:val="20"/>
              </w:rPr>
              <w:t>PDG</w:t>
            </w:r>
            <w:r w:rsidR="00C93FF4" w:rsidRPr="009A4459">
              <w:rPr>
                <w:sz w:val="20"/>
                <w:szCs w:val="20"/>
              </w:rPr>
              <w:t>F</w:t>
            </w:r>
            <w:r w:rsidR="00704DC1" w:rsidRPr="009A4459">
              <w:rPr>
                <w:sz w:val="20"/>
                <w:szCs w:val="20"/>
              </w:rPr>
              <w:t>R</w:t>
            </w:r>
            <w:r w:rsidR="0097642E" w:rsidRPr="009A4459">
              <w:rPr>
                <w:sz w:val="20"/>
                <w:szCs w:val="20"/>
              </w:rPr>
              <w:t>-αD842V</w:t>
            </w:r>
            <w:r w:rsidR="00D4061C" w:rsidRPr="009A4459">
              <w:rPr>
                <w:sz w:val="20"/>
                <w:szCs w:val="20"/>
              </w:rPr>
              <w:t>;</w:t>
            </w:r>
          </w:p>
          <w:p w14:paraId="5D727AF8" w14:textId="58129C8C" w:rsidR="004D7609" w:rsidRPr="009A4459" w:rsidRDefault="007B1157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leczenie choroby zaawansowanej: brak możliwości wykonania resekcji  lub obecność przerzutów udokumentowana na </w:t>
            </w:r>
            <w:r w:rsidR="007546DC" w:rsidRPr="009A4459">
              <w:rPr>
                <w:sz w:val="20"/>
                <w:szCs w:val="20"/>
              </w:rPr>
              <w:t xml:space="preserve">podstawie badania klinicznego </w:t>
            </w:r>
            <w:r w:rsidR="00E66CAA">
              <w:rPr>
                <w:sz w:val="20"/>
                <w:szCs w:val="20"/>
              </w:rPr>
              <w:t>lub </w:t>
            </w:r>
            <w:r w:rsidRPr="009A4459">
              <w:rPr>
                <w:sz w:val="20"/>
                <w:szCs w:val="20"/>
              </w:rPr>
              <w:t>wyników badań obrazowych;</w:t>
            </w:r>
          </w:p>
          <w:p w14:paraId="0BE464D9" w14:textId="77777777" w:rsidR="004D7609" w:rsidRPr="009A4459" w:rsidRDefault="004D7609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lastRenderedPageBreak/>
              <w:t xml:space="preserve">obecność zmian możliwych do zmierzenia w badaniu </w:t>
            </w:r>
            <w:r w:rsidR="007B1157" w:rsidRPr="009A4459">
              <w:rPr>
                <w:sz w:val="20"/>
                <w:szCs w:val="20"/>
              </w:rPr>
              <w:t xml:space="preserve">tomografii </w:t>
            </w:r>
            <w:r w:rsidRPr="009A4459">
              <w:rPr>
                <w:sz w:val="20"/>
                <w:szCs w:val="20"/>
              </w:rPr>
              <w:t>komputerowej;</w:t>
            </w:r>
          </w:p>
          <w:p w14:paraId="53FD89C2" w14:textId="77777777" w:rsidR="004D7609" w:rsidRPr="009A4459" w:rsidRDefault="004D7609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stan sprawności (według klasyfikacji WHO 0-2 )</w:t>
            </w:r>
            <w:r w:rsidR="009A4459">
              <w:rPr>
                <w:sz w:val="20"/>
                <w:szCs w:val="20"/>
              </w:rPr>
              <w:t>;</w:t>
            </w:r>
          </w:p>
          <w:p w14:paraId="409AC8C5" w14:textId="77777777" w:rsidR="004D7609" w:rsidRPr="009A4459" w:rsidRDefault="004D7609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prawidłow</w:t>
            </w:r>
            <w:r w:rsidR="007B1157" w:rsidRPr="009A4459">
              <w:rPr>
                <w:sz w:val="20"/>
                <w:szCs w:val="20"/>
              </w:rPr>
              <w:t>e wyniki badań czynności szpiku (liczba płytek krwi ≥</w:t>
            </w:r>
            <w:r w:rsidR="006D7112" w:rsidRPr="009A4459">
              <w:rPr>
                <w:sz w:val="20"/>
                <w:szCs w:val="20"/>
              </w:rPr>
              <w:t>75000/mm</w:t>
            </w:r>
            <w:r w:rsidR="006D7112" w:rsidRPr="009A4459">
              <w:rPr>
                <w:sz w:val="20"/>
                <w:szCs w:val="20"/>
                <w:vertAlign w:val="superscript"/>
              </w:rPr>
              <w:t>3</w:t>
            </w:r>
            <w:r w:rsidR="006D7112" w:rsidRPr="009A4459">
              <w:rPr>
                <w:sz w:val="20"/>
                <w:szCs w:val="20"/>
              </w:rPr>
              <w:t>, liczba bezw</w:t>
            </w:r>
            <w:r w:rsidR="00C93FF4" w:rsidRPr="009A4459">
              <w:rPr>
                <w:sz w:val="20"/>
                <w:szCs w:val="20"/>
              </w:rPr>
              <w:t>z</w:t>
            </w:r>
            <w:r w:rsidR="006D7112" w:rsidRPr="009A4459">
              <w:rPr>
                <w:sz w:val="20"/>
                <w:szCs w:val="20"/>
              </w:rPr>
              <w:t>ględna neutrofili ≥1000/mm</w:t>
            </w:r>
            <w:r w:rsidR="006D7112" w:rsidRPr="009A4459">
              <w:rPr>
                <w:sz w:val="20"/>
                <w:szCs w:val="20"/>
                <w:vertAlign w:val="superscript"/>
              </w:rPr>
              <w:t>3</w:t>
            </w:r>
            <w:r w:rsidR="006D7112" w:rsidRPr="009A4459">
              <w:rPr>
                <w:sz w:val="20"/>
                <w:szCs w:val="20"/>
              </w:rPr>
              <w:t>, stężenie hemoglobiny ≥ 8.0 g/dl)</w:t>
            </w:r>
            <w:r w:rsidR="009A4459">
              <w:rPr>
                <w:sz w:val="20"/>
                <w:szCs w:val="20"/>
              </w:rPr>
              <w:t>;</w:t>
            </w:r>
          </w:p>
          <w:p w14:paraId="0D14F99F" w14:textId="45F5D5BE" w:rsidR="004D7609" w:rsidRPr="009A4459" w:rsidRDefault="004D7609" w:rsidP="009A445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prawidłowe wartości</w:t>
            </w:r>
            <w:r w:rsidR="0000367B">
              <w:rPr>
                <w:sz w:val="20"/>
                <w:szCs w:val="20"/>
              </w:rPr>
              <w:t xml:space="preserve"> wskaźników czynności wątroby i </w:t>
            </w:r>
            <w:r w:rsidRPr="009A4459">
              <w:rPr>
                <w:sz w:val="20"/>
                <w:szCs w:val="20"/>
              </w:rPr>
              <w:t>nerek</w:t>
            </w:r>
            <w:r w:rsidR="006D7112" w:rsidRPr="009A4459">
              <w:rPr>
                <w:sz w:val="20"/>
                <w:szCs w:val="20"/>
              </w:rPr>
              <w:t xml:space="preserve"> (nieprzekraczające 2,5 raza górnej granicy normy lub 5 razy dla prób wątrob</w:t>
            </w:r>
            <w:r w:rsidR="00283CF7">
              <w:rPr>
                <w:sz w:val="20"/>
                <w:szCs w:val="20"/>
              </w:rPr>
              <w:t>owych w przypadku przerzutów do  </w:t>
            </w:r>
            <w:r w:rsidR="006D7112" w:rsidRPr="009A4459">
              <w:rPr>
                <w:sz w:val="20"/>
                <w:szCs w:val="20"/>
              </w:rPr>
              <w:t>wątroby)</w:t>
            </w:r>
            <w:r w:rsidRPr="009A4459">
              <w:rPr>
                <w:sz w:val="20"/>
                <w:szCs w:val="20"/>
              </w:rPr>
              <w:t>.</w:t>
            </w:r>
          </w:p>
          <w:p w14:paraId="78B90A3F" w14:textId="77777777" w:rsidR="001D641E" w:rsidRPr="00283CF7" w:rsidRDefault="001D641E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6DCB09A5" w14:textId="77777777" w:rsidR="004D7609" w:rsidRPr="002D20EC" w:rsidRDefault="0082055B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1.</w:t>
            </w:r>
            <w:r w:rsidR="004D7609" w:rsidRPr="002D20EC">
              <w:rPr>
                <w:b/>
                <w:bCs/>
                <w:sz w:val="20"/>
                <w:szCs w:val="20"/>
              </w:rPr>
              <w:t>2. Określenie czasu leczenia imat</w:t>
            </w:r>
            <w:r w:rsidR="00867C43" w:rsidRPr="002D20EC">
              <w:rPr>
                <w:b/>
                <w:bCs/>
                <w:sz w:val="20"/>
                <w:szCs w:val="20"/>
              </w:rPr>
              <w:t>y</w:t>
            </w:r>
            <w:r w:rsidR="004D7609" w:rsidRPr="002D20EC">
              <w:rPr>
                <w:b/>
                <w:bCs/>
                <w:sz w:val="20"/>
                <w:szCs w:val="20"/>
              </w:rPr>
              <w:t>nibem w programie</w:t>
            </w:r>
          </w:p>
          <w:p w14:paraId="213DFB66" w14:textId="77777777" w:rsidR="004D7609" w:rsidRPr="002D20EC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Leczenie trwa do czasu podjęcia przez lekarza prowadzącego decyzji o wyłączeniu świadcze</w:t>
            </w:r>
            <w:r w:rsidR="009A4459">
              <w:rPr>
                <w:sz w:val="20"/>
                <w:szCs w:val="20"/>
              </w:rPr>
              <w:t>niobiorcy z programu, zgodnie z  </w:t>
            </w:r>
            <w:r w:rsidRPr="002D20EC">
              <w:rPr>
                <w:sz w:val="20"/>
                <w:szCs w:val="20"/>
              </w:rPr>
              <w:t>kryteriami wyłączenia.</w:t>
            </w:r>
          </w:p>
          <w:p w14:paraId="61E246A7" w14:textId="77777777" w:rsidR="001D641E" w:rsidRPr="00283CF7" w:rsidRDefault="001D641E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0BD6343" w14:textId="77777777" w:rsidR="004D7609" w:rsidRPr="002D20EC" w:rsidRDefault="0082055B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1.</w:t>
            </w:r>
            <w:r w:rsidR="004D7609" w:rsidRPr="002D20EC">
              <w:rPr>
                <w:b/>
                <w:bCs/>
                <w:sz w:val="20"/>
                <w:szCs w:val="20"/>
              </w:rPr>
              <w:t>3. Kryt</w:t>
            </w:r>
            <w:r w:rsidR="008E5F4E" w:rsidRPr="002D20EC">
              <w:rPr>
                <w:b/>
                <w:bCs/>
                <w:sz w:val="20"/>
                <w:szCs w:val="20"/>
              </w:rPr>
              <w:t>eria wyłączenia z leczenia imat</w:t>
            </w:r>
            <w:r w:rsidR="00867C43" w:rsidRPr="002D20EC">
              <w:rPr>
                <w:b/>
                <w:bCs/>
                <w:sz w:val="20"/>
                <w:szCs w:val="20"/>
              </w:rPr>
              <w:t>y</w:t>
            </w:r>
            <w:r w:rsidR="004D7609" w:rsidRPr="002D20EC">
              <w:rPr>
                <w:b/>
                <w:bCs/>
                <w:sz w:val="20"/>
                <w:szCs w:val="20"/>
              </w:rPr>
              <w:t>nibem</w:t>
            </w:r>
          </w:p>
          <w:p w14:paraId="3C95DF13" w14:textId="77777777" w:rsidR="004D7609" w:rsidRPr="009A4459" w:rsidRDefault="004D7609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wystąpienie objawów nadwrażliwości na imat</w:t>
            </w:r>
            <w:r w:rsidR="00867C43" w:rsidRPr="009A4459">
              <w:rPr>
                <w:sz w:val="20"/>
                <w:szCs w:val="20"/>
              </w:rPr>
              <w:t>y</w:t>
            </w:r>
            <w:r w:rsidRPr="009A4459">
              <w:rPr>
                <w:sz w:val="20"/>
                <w:szCs w:val="20"/>
              </w:rPr>
              <w:t>nib;</w:t>
            </w:r>
          </w:p>
          <w:p w14:paraId="5C9BBEA8" w14:textId="77777777" w:rsidR="006D7112" w:rsidRPr="009A4459" w:rsidRDefault="006D7112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nawrót GIST podczas leczenia adjuwantowego, które może trwać </w:t>
            </w:r>
            <w:r w:rsidR="00867C43" w:rsidRPr="009A4459">
              <w:rPr>
                <w:sz w:val="20"/>
                <w:szCs w:val="20"/>
              </w:rPr>
              <w:t>maksymalnie do</w:t>
            </w:r>
            <w:r w:rsidRPr="009A4459">
              <w:rPr>
                <w:sz w:val="20"/>
                <w:szCs w:val="20"/>
              </w:rPr>
              <w:t xml:space="preserve"> 36 miesięcy;</w:t>
            </w:r>
          </w:p>
          <w:p w14:paraId="5DEE1C4E" w14:textId="5AD3A843" w:rsidR="004D7609" w:rsidRPr="009A4459" w:rsidRDefault="004D7609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progresja choroby w trakc</w:t>
            </w:r>
            <w:r w:rsidR="00304509">
              <w:rPr>
                <w:sz w:val="20"/>
                <w:szCs w:val="20"/>
              </w:rPr>
              <w:t>ie stosowania leku po </w:t>
            </w:r>
            <w:r w:rsidRPr="009A4459">
              <w:rPr>
                <w:sz w:val="20"/>
                <w:szCs w:val="20"/>
              </w:rPr>
              <w:t xml:space="preserve">zwiększeniu </w:t>
            </w:r>
            <w:r w:rsidR="007546DC" w:rsidRPr="009A4459">
              <w:rPr>
                <w:sz w:val="20"/>
                <w:szCs w:val="20"/>
              </w:rPr>
              <w:t>dawki imat</w:t>
            </w:r>
            <w:r w:rsidR="00867C43" w:rsidRPr="009A4459">
              <w:rPr>
                <w:sz w:val="20"/>
                <w:szCs w:val="20"/>
              </w:rPr>
              <w:t>y</w:t>
            </w:r>
            <w:r w:rsidR="007546DC" w:rsidRPr="009A4459">
              <w:rPr>
                <w:sz w:val="20"/>
                <w:szCs w:val="20"/>
              </w:rPr>
              <w:t>nibu do 800 mg/dobę;</w:t>
            </w:r>
            <w:r w:rsidR="00867C43" w:rsidRPr="009A4459">
              <w:rPr>
                <w:sz w:val="20"/>
                <w:szCs w:val="20"/>
              </w:rPr>
              <w:t xml:space="preserve"> zwłaszcza pierwotna oporność na imatynib;</w:t>
            </w:r>
            <w:r w:rsidR="00CC5371" w:rsidRPr="009A4459">
              <w:rPr>
                <w:sz w:val="20"/>
                <w:szCs w:val="20"/>
              </w:rPr>
              <w:t xml:space="preserve"> u dzieci o pow.</w:t>
            </w:r>
            <w:r w:rsidR="00F562E1" w:rsidRPr="009A4459">
              <w:rPr>
                <w:sz w:val="20"/>
                <w:szCs w:val="20"/>
              </w:rPr>
              <w:t xml:space="preserve"> </w:t>
            </w:r>
            <w:r w:rsidR="00CC5371" w:rsidRPr="009A4459">
              <w:rPr>
                <w:sz w:val="20"/>
                <w:szCs w:val="20"/>
              </w:rPr>
              <w:t>ciała do 1m</w:t>
            </w:r>
            <w:r w:rsidR="00CC5371" w:rsidRPr="009A4459">
              <w:rPr>
                <w:sz w:val="20"/>
                <w:szCs w:val="20"/>
                <w:vertAlign w:val="superscript"/>
              </w:rPr>
              <w:t>2</w:t>
            </w:r>
            <w:r w:rsidR="00CC5371" w:rsidRPr="009A4459">
              <w:rPr>
                <w:sz w:val="20"/>
                <w:szCs w:val="20"/>
              </w:rPr>
              <w:t xml:space="preserve"> progresja choroby w trakcie stosowania leku po zwiększeniu dawki imatynibu dwukrotnie</w:t>
            </w:r>
            <w:r w:rsidR="009A4459">
              <w:rPr>
                <w:sz w:val="20"/>
                <w:szCs w:val="20"/>
              </w:rPr>
              <w:t>;</w:t>
            </w:r>
          </w:p>
          <w:p w14:paraId="12C0BE0C" w14:textId="03F7675E" w:rsidR="004D7609" w:rsidRPr="009A4459" w:rsidRDefault="004D7609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brak skuteczności po 4 miesiącach stosowania leku (zwiększenie sumy wielkości zmian w TK spiralnej, powyżej 20% z wyjątkiem sytuacji</w:t>
            </w:r>
            <w:r w:rsidR="0082055B" w:rsidRPr="009A4459">
              <w:rPr>
                <w:sz w:val="20"/>
                <w:szCs w:val="20"/>
              </w:rPr>
              <w:t>,</w:t>
            </w:r>
            <w:r w:rsidRPr="009A4459">
              <w:rPr>
                <w:sz w:val="20"/>
                <w:szCs w:val="20"/>
              </w:rPr>
              <w:t xml:space="preserve"> gdy gęstość tych zmian jest mniejsza niż 15% w stosunku do gęstości wyjściowej</w:t>
            </w:r>
            <w:r w:rsidR="006D7112" w:rsidRPr="009A4459">
              <w:rPr>
                <w:sz w:val="20"/>
                <w:szCs w:val="20"/>
              </w:rPr>
              <w:t>,</w:t>
            </w:r>
            <w:r w:rsidRPr="009A4459">
              <w:rPr>
                <w:sz w:val="20"/>
                <w:szCs w:val="20"/>
              </w:rPr>
              <w:t xml:space="preserve"> lub pojawienie się no</w:t>
            </w:r>
            <w:r w:rsidR="00304509">
              <w:rPr>
                <w:sz w:val="20"/>
                <w:szCs w:val="20"/>
              </w:rPr>
              <w:t>wej/nowych zmian o wielkości co </w:t>
            </w:r>
            <w:r w:rsidRPr="009A4459">
              <w:rPr>
                <w:sz w:val="20"/>
                <w:szCs w:val="20"/>
              </w:rPr>
              <w:t xml:space="preserve">najmniej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A4459">
                <w:rPr>
                  <w:sz w:val="20"/>
                  <w:szCs w:val="20"/>
                </w:rPr>
                <w:t>10 mm</w:t>
              </w:r>
            </w:smartTag>
            <w:r w:rsidRPr="009A4459">
              <w:rPr>
                <w:sz w:val="20"/>
                <w:szCs w:val="20"/>
              </w:rPr>
              <w:t>);</w:t>
            </w:r>
          </w:p>
          <w:p w14:paraId="07478072" w14:textId="77777777" w:rsidR="004D7609" w:rsidRPr="009A4459" w:rsidRDefault="006D7112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utrzymywanie się toksyczności według skali WHO większej bądź równej</w:t>
            </w:r>
            <w:r w:rsidR="004D7609" w:rsidRPr="009A4459">
              <w:rPr>
                <w:sz w:val="20"/>
                <w:szCs w:val="20"/>
              </w:rPr>
              <w:t xml:space="preserve"> 3 (zwłaszcza 3-krotny wzrost stężenia bilirubiny</w:t>
            </w:r>
            <w:r w:rsidRPr="009A4459">
              <w:rPr>
                <w:sz w:val="20"/>
                <w:szCs w:val="20"/>
              </w:rPr>
              <w:t xml:space="preserve"> powyżej górnej granicy normy</w:t>
            </w:r>
            <w:r w:rsidR="004D7609" w:rsidRPr="009A4459">
              <w:rPr>
                <w:sz w:val="20"/>
                <w:szCs w:val="20"/>
              </w:rPr>
              <w:t>, 5-krotny wzrost aktywności aminotransferaz wątrobowych</w:t>
            </w:r>
            <w:r w:rsidRPr="009A4459">
              <w:rPr>
                <w:sz w:val="20"/>
                <w:szCs w:val="20"/>
              </w:rPr>
              <w:t xml:space="preserve"> </w:t>
            </w:r>
            <w:r w:rsidRPr="009A4459">
              <w:rPr>
                <w:sz w:val="20"/>
                <w:szCs w:val="20"/>
              </w:rPr>
              <w:lastRenderedPageBreak/>
              <w:t>powyżej górnej granicy normy</w:t>
            </w:r>
            <w:r w:rsidR="004D7609" w:rsidRPr="009A4459">
              <w:rPr>
                <w:sz w:val="20"/>
                <w:szCs w:val="20"/>
              </w:rPr>
              <w:t>, ciężka niedokrwistość, neutropenia lub małopłytkowość);</w:t>
            </w:r>
          </w:p>
          <w:p w14:paraId="5D173DB9" w14:textId="77777777" w:rsidR="004D7609" w:rsidRPr="009A4459" w:rsidRDefault="006D7112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stan sprawności według WHO 3-4;</w:t>
            </w:r>
          </w:p>
          <w:p w14:paraId="5FA7D7C5" w14:textId="77777777" w:rsidR="0082055B" w:rsidRPr="009A4459" w:rsidRDefault="0082055B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obecność istotnych chorób współistniejących lub nie</w:t>
            </w:r>
            <w:r w:rsidR="00867C43" w:rsidRPr="009A4459">
              <w:rPr>
                <w:sz w:val="20"/>
                <w:szCs w:val="20"/>
              </w:rPr>
              <w:t>wydolności narządowej (do oceny</w:t>
            </w:r>
            <w:r w:rsidRPr="009A4459">
              <w:rPr>
                <w:sz w:val="20"/>
                <w:szCs w:val="20"/>
              </w:rPr>
              <w:t xml:space="preserve"> przez lekarza prowadzącego);</w:t>
            </w:r>
          </w:p>
          <w:p w14:paraId="450D7A2E" w14:textId="77777777" w:rsidR="0082055B" w:rsidRPr="009A4459" w:rsidRDefault="0082055B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choroba serca oceniana na III lub IV klasę wg WHO (NYHA);</w:t>
            </w:r>
          </w:p>
          <w:p w14:paraId="311519D8" w14:textId="77777777" w:rsidR="0082055B" w:rsidRPr="009A4459" w:rsidRDefault="0082055B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stosowanie warfaryny w pełnych dziennych dawkach;</w:t>
            </w:r>
          </w:p>
          <w:p w14:paraId="118D32DC" w14:textId="77777777" w:rsidR="0082055B" w:rsidRPr="009A4459" w:rsidRDefault="0082055B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ciąża;</w:t>
            </w:r>
          </w:p>
          <w:p w14:paraId="70E4EF05" w14:textId="77777777" w:rsidR="0082055B" w:rsidRPr="009A4459" w:rsidRDefault="0082055B" w:rsidP="009A445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karmienie piersią</w:t>
            </w:r>
            <w:r w:rsidR="005411E3" w:rsidRPr="009A4459">
              <w:rPr>
                <w:sz w:val="20"/>
                <w:szCs w:val="20"/>
              </w:rPr>
              <w:t>.</w:t>
            </w:r>
          </w:p>
          <w:p w14:paraId="19B28F80" w14:textId="77777777" w:rsidR="008E5F4E" w:rsidRPr="002D20EC" w:rsidRDefault="008E5F4E" w:rsidP="008205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7237DE90" w14:textId="77777777" w:rsidR="006D7112" w:rsidRPr="002D20EC" w:rsidRDefault="008E5F4E" w:rsidP="008E5F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D20EC">
              <w:rPr>
                <w:b/>
                <w:sz w:val="20"/>
                <w:szCs w:val="20"/>
              </w:rPr>
              <w:t>Leczenie sunitynibem</w:t>
            </w:r>
          </w:p>
          <w:p w14:paraId="64623BF0" w14:textId="77777777" w:rsidR="001D641E" w:rsidRPr="00283CF7" w:rsidRDefault="001D641E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27A24952" w14:textId="0F9F5E3A" w:rsidR="004D7609" w:rsidRPr="002D20EC" w:rsidRDefault="005411E3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2.1</w:t>
            </w:r>
            <w:r w:rsidR="00BA623E">
              <w:rPr>
                <w:b/>
                <w:bCs/>
                <w:sz w:val="20"/>
                <w:szCs w:val="20"/>
              </w:rPr>
              <w:t>.</w:t>
            </w:r>
            <w:r w:rsidRPr="002D20EC">
              <w:rPr>
                <w:b/>
                <w:bCs/>
                <w:sz w:val="20"/>
                <w:szCs w:val="20"/>
              </w:rPr>
              <w:t xml:space="preserve"> </w:t>
            </w:r>
            <w:r w:rsidR="004D7609" w:rsidRPr="002D20EC">
              <w:rPr>
                <w:b/>
                <w:bCs/>
                <w:sz w:val="20"/>
                <w:szCs w:val="20"/>
              </w:rPr>
              <w:t>Kryteria kwalifikacji do leczenia sunitynibem</w:t>
            </w:r>
            <w:r w:rsidR="00D25041">
              <w:rPr>
                <w:b/>
                <w:bCs/>
                <w:sz w:val="20"/>
                <w:szCs w:val="20"/>
              </w:rPr>
              <w:t xml:space="preserve"> dzieci i </w:t>
            </w:r>
            <w:r w:rsidR="00523920" w:rsidRPr="002D20EC">
              <w:rPr>
                <w:b/>
                <w:bCs/>
                <w:sz w:val="20"/>
                <w:szCs w:val="20"/>
              </w:rPr>
              <w:t>dorosłych</w:t>
            </w:r>
          </w:p>
          <w:p w14:paraId="17E38E2E" w14:textId="77777777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rozpoznanie mięsaka podścieliska przewodu pokarmowego (GIST) potwierdzone histologicznie;</w:t>
            </w:r>
          </w:p>
          <w:p w14:paraId="0FD247D1" w14:textId="77777777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ekspresja CD117 potwierdzona immunohistochemicznie;</w:t>
            </w:r>
          </w:p>
          <w:p w14:paraId="1119CCE2" w14:textId="35B10CE7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brak możliwości resekcji zmian lub obecność przerzutów udokumentowane na pods</w:t>
            </w:r>
            <w:r w:rsidR="00592F09">
              <w:rPr>
                <w:sz w:val="20"/>
                <w:szCs w:val="20"/>
              </w:rPr>
              <w:t>tawie oceny stanu klinicznego i </w:t>
            </w:r>
            <w:r w:rsidRPr="009A4459">
              <w:rPr>
                <w:sz w:val="20"/>
                <w:szCs w:val="20"/>
              </w:rPr>
              <w:t xml:space="preserve">wyników </w:t>
            </w:r>
            <w:r w:rsidR="00867C43" w:rsidRPr="009A4459">
              <w:rPr>
                <w:sz w:val="20"/>
                <w:szCs w:val="20"/>
              </w:rPr>
              <w:t>badań obrazowych</w:t>
            </w:r>
            <w:r w:rsidRPr="009A4459">
              <w:rPr>
                <w:sz w:val="20"/>
                <w:szCs w:val="20"/>
              </w:rPr>
              <w:t>;</w:t>
            </w:r>
          </w:p>
          <w:p w14:paraId="25D5B72C" w14:textId="77777777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obecność zmian możliwych do zmierzenia w badaniu komputerowej tomografii;</w:t>
            </w:r>
          </w:p>
          <w:p w14:paraId="12E0C7E3" w14:textId="77777777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udokumentowana p</w:t>
            </w:r>
            <w:r w:rsidR="005411E3" w:rsidRPr="009A4459">
              <w:rPr>
                <w:sz w:val="20"/>
                <w:szCs w:val="20"/>
              </w:rPr>
              <w:t>rogresja w czasie leczenia imat</w:t>
            </w:r>
            <w:r w:rsidR="00867C43" w:rsidRPr="009A4459">
              <w:rPr>
                <w:sz w:val="20"/>
                <w:szCs w:val="20"/>
              </w:rPr>
              <w:t>y</w:t>
            </w:r>
            <w:r w:rsidRPr="009A4459">
              <w:rPr>
                <w:sz w:val="20"/>
                <w:szCs w:val="20"/>
              </w:rPr>
              <w:t>nibem (oporność) lub nietolerancja imat</w:t>
            </w:r>
            <w:r w:rsidR="00867C43" w:rsidRPr="009A4459">
              <w:rPr>
                <w:sz w:val="20"/>
                <w:szCs w:val="20"/>
              </w:rPr>
              <w:t>y</w:t>
            </w:r>
            <w:r w:rsidRPr="009A4459">
              <w:rPr>
                <w:sz w:val="20"/>
                <w:szCs w:val="20"/>
              </w:rPr>
              <w:t>nibu (3-4 stopień toksyczności);</w:t>
            </w:r>
          </w:p>
          <w:p w14:paraId="54610C15" w14:textId="7CB251D4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stan sprawn</w:t>
            </w:r>
            <w:r w:rsidR="0094298B">
              <w:rPr>
                <w:sz w:val="20"/>
                <w:szCs w:val="20"/>
              </w:rPr>
              <w:t xml:space="preserve">ości według klasyfikacji WHO </w:t>
            </w:r>
            <w:r w:rsidR="0094002B" w:rsidRPr="0094002B">
              <w:rPr>
                <w:sz w:val="20"/>
                <w:szCs w:val="20"/>
              </w:rPr>
              <w:t>0-3</w:t>
            </w:r>
            <w:r w:rsidRPr="009A4459">
              <w:rPr>
                <w:sz w:val="20"/>
                <w:szCs w:val="20"/>
              </w:rPr>
              <w:t>;</w:t>
            </w:r>
          </w:p>
          <w:p w14:paraId="2A195972" w14:textId="77777777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wyniki badania morfologii krwi z rozmazem: liczba płytek krwi </w:t>
            </w:r>
            <w:r w:rsidR="00CB0FB5" w:rsidRPr="009A4459">
              <w:rPr>
                <w:sz w:val="20"/>
                <w:szCs w:val="20"/>
              </w:rPr>
              <w:t>≥</w:t>
            </w:r>
            <w:r w:rsidRPr="009A4459">
              <w:rPr>
                <w:sz w:val="20"/>
                <w:szCs w:val="20"/>
              </w:rPr>
              <w:t xml:space="preserve"> 75000/mm</w:t>
            </w:r>
            <w:r w:rsidRPr="009A4459">
              <w:rPr>
                <w:sz w:val="20"/>
                <w:szCs w:val="20"/>
                <w:vertAlign w:val="superscript"/>
              </w:rPr>
              <w:t>3</w:t>
            </w:r>
            <w:r w:rsidRPr="009A4459">
              <w:rPr>
                <w:sz w:val="20"/>
                <w:szCs w:val="20"/>
              </w:rPr>
              <w:t xml:space="preserve">, liczba bezwzględna neutrofili </w:t>
            </w:r>
            <w:r w:rsidR="00CB0FB5" w:rsidRPr="009A4459">
              <w:rPr>
                <w:sz w:val="20"/>
                <w:szCs w:val="20"/>
              </w:rPr>
              <w:t>≥</w:t>
            </w:r>
            <w:r w:rsidRPr="009A4459">
              <w:rPr>
                <w:sz w:val="20"/>
                <w:szCs w:val="20"/>
              </w:rPr>
              <w:t xml:space="preserve"> 1000/ mm</w:t>
            </w:r>
            <w:r w:rsidRPr="009A4459">
              <w:rPr>
                <w:sz w:val="20"/>
                <w:szCs w:val="20"/>
                <w:vertAlign w:val="superscript"/>
              </w:rPr>
              <w:t>3</w:t>
            </w:r>
            <w:r w:rsidRPr="009A4459">
              <w:rPr>
                <w:sz w:val="20"/>
                <w:szCs w:val="20"/>
              </w:rPr>
              <w:t xml:space="preserve">, stężenie hemoglobiny </w:t>
            </w:r>
            <w:r w:rsidR="00CB0FB5" w:rsidRPr="009A4459">
              <w:rPr>
                <w:sz w:val="20"/>
                <w:szCs w:val="20"/>
              </w:rPr>
              <w:t>≥</w:t>
            </w:r>
            <w:r w:rsidRPr="009A4459">
              <w:rPr>
                <w:sz w:val="20"/>
                <w:szCs w:val="20"/>
              </w:rPr>
              <w:t xml:space="preserve"> 8.0 g/dl;</w:t>
            </w:r>
          </w:p>
          <w:p w14:paraId="29893FC2" w14:textId="060CB8F6" w:rsidR="004D7609" w:rsidRPr="009A4459" w:rsidRDefault="004D7609" w:rsidP="009A445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prawidłowe wartości</w:t>
            </w:r>
            <w:r w:rsidR="00D25041">
              <w:rPr>
                <w:sz w:val="20"/>
                <w:szCs w:val="20"/>
              </w:rPr>
              <w:t xml:space="preserve"> wskaźników czynności wątroby i </w:t>
            </w:r>
            <w:r w:rsidRPr="009A4459">
              <w:rPr>
                <w:sz w:val="20"/>
                <w:szCs w:val="20"/>
              </w:rPr>
              <w:t>nerek (nieprzekraczające 2,5 raza górnej granicy normy lub 5 razy dla prób wątrobowych w przypadku przerzutów do wątroby).</w:t>
            </w:r>
          </w:p>
          <w:p w14:paraId="115FCB0C" w14:textId="77777777" w:rsidR="001D641E" w:rsidRDefault="001D641E" w:rsidP="00CE0FE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  <w:p w14:paraId="22FD4F79" w14:textId="77777777" w:rsidR="00E52F2C" w:rsidRPr="00283CF7" w:rsidRDefault="00E52F2C" w:rsidP="00CE0FE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  <w:p w14:paraId="6ADE8CB4" w14:textId="77777777" w:rsidR="004D7609" w:rsidRPr="002D20EC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lastRenderedPageBreak/>
              <w:t>2.</w:t>
            </w:r>
            <w:r w:rsidR="005411E3" w:rsidRPr="002D20EC">
              <w:rPr>
                <w:b/>
                <w:bCs/>
                <w:sz w:val="20"/>
                <w:szCs w:val="20"/>
              </w:rPr>
              <w:t>2</w:t>
            </w:r>
            <w:r w:rsidR="00BA623E">
              <w:rPr>
                <w:b/>
                <w:bCs/>
                <w:sz w:val="20"/>
                <w:szCs w:val="20"/>
              </w:rPr>
              <w:t>.</w:t>
            </w:r>
            <w:r w:rsidRPr="002D20EC">
              <w:rPr>
                <w:b/>
                <w:bCs/>
                <w:sz w:val="20"/>
                <w:szCs w:val="20"/>
              </w:rPr>
              <w:t xml:space="preserve"> Określenie czasu leczenia </w:t>
            </w:r>
            <w:r w:rsidR="00940B37" w:rsidRPr="002D20EC">
              <w:rPr>
                <w:b/>
                <w:bCs/>
                <w:sz w:val="20"/>
                <w:szCs w:val="20"/>
              </w:rPr>
              <w:t xml:space="preserve">sunitynibem </w:t>
            </w:r>
            <w:r w:rsidRPr="002D20EC">
              <w:rPr>
                <w:b/>
                <w:bCs/>
                <w:sz w:val="20"/>
                <w:szCs w:val="20"/>
              </w:rPr>
              <w:t>w programie.</w:t>
            </w:r>
          </w:p>
          <w:p w14:paraId="76C8B49F" w14:textId="77777777" w:rsidR="004D7609" w:rsidRPr="002D20EC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Leczenie trwa do czasu podjęcia przez lekarza prowadzącego decyzji o wyłączeniu świadcze</w:t>
            </w:r>
            <w:r w:rsidR="00283CF7">
              <w:rPr>
                <w:sz w:val="20"/>
                <w:szCs w:val="20"/>
              </w:rPr>
              <w:t>niobiorcy z programu, zgodnie z  </w:t>
            </w:r>
            <w:r w:rsidRPr="002D20EC">
              <w:rPr>
                <w:sz w:val="20"/>
                <w:szCs w:val="20"/>
              </w:rPr>
              <w:t>kryteriami wyłączenia.</w:t>
            </w:r>
          </w:p>
          <w:p w14:paraId="0CC632DF" w14:textId="77777777" w:rsidR="001D641E" w:rsidRPr="00283CF7" w:rsidRDefault="001D641E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2A9A5946" w14:textId="77777777" w:rsidR="004D7609" w:rsidRPr="002D20EC" w:rsidRDefault="005411E3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2.3</w:t>
            </w:r>
            <w:r w:rsidR="00BA623E">
              <w:rPr>
                <w:b/>
                <w:bCs/>
                <w:sz w:val="20"/>
                <w:szCs w:val="20"/>
              </w:rPr>
              <w:t>.</w:t>
            </w:r>
            <w:r w:rsidR="004D7609" w:rsidRPr="002D20EC">
              <w:rPr>
                <w:b/>
                <w:bCs/>
                <w:sz w:val="20"/>
                <w:szCs w:val="20"/>
              </w:rPr>
              <w:t xml:space="preserve"> Wyłączenie z programu leczenia sunitynibem:</w:t>
            </w:r>
          </w:p>
          <w:p w14:paraId="7E5F981C" w14:textId="77777777" w:rsidR="004D7609" w:rsidRPr="00366A3E" w:rsidRDefault="004D7609" w:rsidP="00366A3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wystąpienie obja</w:t>
            </w:r>
            <w:r w:rsidR="00BA623E">
              <w:rPr>
                <w:sz w:val="20"/>
                <w:szCs w:val="20"/>
              </w:rPr>
              <w:t>wów nadwrażliwości na sunitynib;</w:t>
            </w:r>
          </w:p>
          <w:p w14:paraId="345B6787" w14:textId="77777777" w:rsidR="004D7609" w:rsidRPr="00366A3E" w:rsidRDefault="004D7609" w:rsidP="00366A3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udokumentowana progresja ch</w:t>
            </w:r>
            <w:r w:rsidR="00BA623E">
              <w:rPr>
                <w:sz w:val="20"/>
                <w:szCs w:val="20"/>
              </w:rPr>
              <w:t>oroby w trakcie stosowania leku;</w:t>
            </w:r>
          </w:p>
          <w:p w14:paraId="319F7B8A" w14:textId="77777777" w:rsidR="004D7609" w:rsidRPr="00366A3E" w:rsidRDefault="004D7609" w:rsidP="00366A3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 xml:space="preserve">brak skuteczności (pod postacią progresji choroby) po 3 miesiącach stosowania leku, nieakceptowalna, nawracająca (pomimo modyfikacji dawkowania) toksyczność według skali WHO </w:t>
            </w:r>
            <w:r w:rsidR="00CB0FB5" w:rsidRPr="00366A3E">
              <w:rPr>
                <w:sz w:val="20"/>
                <w:szCs w:val="20"/>
              </w:rPr>
              <w:t>≥</w:t>
            </w:r>
            <w:r w:rsidRPr="00366A3E">
              <w:rPr>
                <w:sz w:val="20"/>
                <w:szCs w:val="20"/>
              </w:rPr>
              <w:t xml:space="preserve"> 3 (zwłaszcza 3-krotny wzrost stężenia bilirubiny, 5-krotny wzrost aktywności aminotransferaz wątrobowych, neutropenia lub małopłytkowość; wystąpienie objawów zastoinowej niewydolności serca, ostrych incydentów niewydolności wieńcowej, niekontrolowanego nadciśnienia tętniczego oraz niestabilnych zaburzeń ryt</w:t>
            </w:r>
            <w:r w:rsidR="00BA623E">
              <w:rPr>
                <w:sz w:val="20"/>
                <w:szCs w:val="20"/>
              </w:rPr>
              <w:t>mu serca wymagających leczenia);</w:t>
            </w:r>
          </w:p>
          <w:p w14:paraId="4E531A46" w14:textId="5FFA3B82" w:rsidR="004D7609" w:rsidRDefault="004D7609" w:rsidP="00CE0FED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 xml:space="preserve">stan sprawności </w:t>
            </w:r>
            <w:r w:rsidRPr="0094002B">
              <w:rPr>
                <w:sz w:val="20"/>
                <w:szCs w:val="20"/>
              </w:rPr>
              <w:t>4</w:t>
            </w:r>
            <w:r w:rsidRPr="00366A3E">
              <w:rPr>
                <w:sz w:val="20"/>
                <w:szCs w:val="20"/>
              </w:rPr>
              <w:t xml:space="preserve"> według WHO.</w:t>
            </w:r>
          </w:p>
          <w:p w14:paraId="6523D1A9" w14:textId="77777777" w:rsidR="0056002E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2A2F1F41" w14:textId="77777777" w:rsidR="0056002E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6CCED8CD" w14:textId="77777777" w:rsidR="0056002E" w:rsidRPr="002D20EC" w:rsidRDefault="0056002E" w:rsidP="0056002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D20EC">
              <w:rPr>
                <w:b/>
                <w:sz w:val="20"/>
                <w:szCs w:val="20"/>
              </w:rPr>
              <w:t>Leczenie s</w:t>
            </w:r>
            <w:r>
              <w:rPr>
                <w:b/>
                <w:sz w:val="20"/>
                <w:szCs w:val="20"/>
              </w:rPr>
              <w:t>orafenibem</w:t>
            </w:r>
          </w:p>
          <w:p w14:paraId="566028A8" w14:textId="77777777" w:rsidR="0056002E" w:rsidRPr="00283CF7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049C5C" w14:textId="77777777" w:rsidR="0056002E" w:rsidRPr="002D20EC" w:rsidRDefault="00E52F2C" w:rsidP="005600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6002E" w:rsidRPr="002D20EC">
              <w:rPr>
                <w:b/>
                <w:bCs/>
                <w:sz w:val="20"/>
                <w:szCs w:val="20"/>
              </w:rPr>
              <w:t>.1</w:t>
            </w:r>
            <w:r w:rsidR="0056002E">
              <w:rPr>
                <w:b/>
                <w:bCs/>
                <w:sz w:val="20"/>
                <w:szCs w:val="20"/>
              </w:rPr>
              <w:t>.</w:t>
            </w:r>
            <w:r w:rsidR="0056002E" w:rsidRPr="002D20EC">
              <w:rPr>
                <w:b/>
                <w:bCs/>
                <w:sz w:val="20"/>
                <w:szCs w:val="20"/>
              </w:rPr>
              <w:t xml:space="preserve"> Kryteria kwalifikacji do leczenia s</w:t>
            </w:r>
            <w:r w:rsidR="0056002E">
              <w:rPr>
                <w:b/>
                <w:bCs/>
                <w:sz w:val="20"/>
                <w:szCs w:val="20"/>
              </w:rPr>
              <w:t xml:space="preserve">orafenibem </w:t>
            </w:r>
          </w:p>
          <w:p w14:paraId="45EF3B68" w14:textId="77777777" w:rsidR="0056002E" w:rsidRDefault="00E52F2C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 powyżej 18 roku życia;</w:t>
            </w:r>
          </w:p>
          <w:p w14:paraId="05C6D149" w14:textId="70DFA2E8" w:rsidR="0056002E" w:rsidRPr="009A4459" w:rsidRDefault="00C54FEC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potwierdzone histologicznie </w:t>
            </w:r>
            <w:r w:rsidR="0056002E" w:rsidRPr="009A4459">
              <w:rPr>
                <w:sz w:val="20"/>
                <w:szCs w:val="20"/>
              </w:rPr>
              <w:t>rozpoznanie mięsaka podścieliska przewodu pokarmowego (GIST);</w:t>
            </w:r>
          </w:p>
          <w:p w14:paraId="3757A274" w14:textId="77777777" w:rsidR="0056002E" w:rsidRPr="009A4459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brak możliwości resekcji zmian </w:t>
            </w:r>
            <w:r>
              <w:rPr>
                <w:sz w:val="20"/>
                <w:szCs w:val="20"/>
              </w:rPr>
              <w:t xml:space="preserve">pierwotnych </w:t>
            </w:r>
            <w:r w:rsidRPr="009A4459">
              <w:rPr>
                <w:sz w:val="20"/>
                <w:szCs w:val="20"/>
              </w:rPr>
              <w:t>lub obecność przerzutów udokumentowane na podstawie oceny stanu klinicznego i wyników badań obrazowych</w:t>
            </w:r>
            <w:r w:rsidR="00E52F2C">
              <w:rPr>
                <w:sz w:val="20"/>
                <w:szCs w:val="20"/>
              </w:rPr>
              <w:t>;</w:t>
            </w:r>
          </w:p>
          <w:p w14:paraId="38001A2D" w14:textId="77777777" w:rsidR="0056002E" w:rsidRPr="009A4459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obecność zmian możliwych do zmierzenia w </w:t>
            </w:r>
            <w:r w:rsidR="00E52F2C">
              <w:rPr>
                <w:sz w:val="20"/>
                <w:szCs w:val="20"/>
              </w:rPr>
              <w:t>badaniu tomografii</w:t>
            </w:r>
            <w:r w:rsidR="004302FB">
              <w:rPr>
                <w:sz w:val="20"/>
                <w:szCs w:val="20"/>
              </w:rPr>
              <w:t xml:space="preserve"> komputerowej</w:t>
            </w:r>
            <w:r w:rsidR="00E52F2C">
              <w:rPr>
                <w:sz w:val="20"/>
                <w:szCs w:val="20"/>
              </w:rPr>
              <w:t>;</w:t>
            </w:r>
          </w:p>
          <w:p w14:paraId="76F9089C" w14:textId="77777777" w:rsidR="0056002E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udokumentowane niepowodzenie wcześniejszego leczenia z zastosowaniem imatynibu</w:t>
            </w:r>
            <w:r w:rsidRPr="009A4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A4459">
              <w:rPr>
                <w:sz w:val="20"/>
                <w:szCs w:val="20"/>
              </w:rPr>
              <w:t>progresja w czasie leczenia imatynibem</w:t>
            </w:r>
            <w:r>
              <w:rPr>
                <w:sz w:val="20"/>
                <w:szCs w:val="20"/>
              </w:rPr>
              <w:t>) oraz udokumentowana progresja</w:t>
            </w:r>
            <w:r w:rsidR="00525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czasie leczenia sunitynibem</w:t>
            </w:r>
            <w:r w:rsidRPr="009A4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(oporność) lub nietolerancja suni</w:t>
            </w:r>
            <w:r w:rsidRPr="009A4459">
              <w:rPr>
                <w:sz w:val="20"/>
                <w:szCs w:val="20"/>
              </w:rPr>
              <w:t>ty</w:t>
            </w:r>
            <w:r w:rsidR="00E52F2C">
              <w:rPr>
                <w:sz w:val="20"/>
                <w:szCs w:val="20"/>
              </w:rPr>
              <w:t>nibu;</w:t>
            </w:r>
          </w:p>
          <w:p w14:paraId="4ACC47D3" w14:textId="77777777" w:rsidR="0056002E" w:rsidRPr="009A4459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przerzutów</w:t>
            </w:r>
            <w:r w:rsidR="00E52F2C">
              <w:rPr>
                <w:sz w:val="20"/>
                <w:szCs w:val="20"/>
              </w:rPr>
              <w:t xml:space="preserve"> w ośrodkowym układzie nerwowym;</w:t>
            </w:r>
          </w:p>
          <w:p w14:paraId="19EC4CEF" w14:textId="77777777" w:rsidR="0056002E" w:rsidRPr="009A4459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4002B">
              <w:rPr>
                <w:sz w:val="20"/>
                <w:szCs w:val="20"/>
              </w:rPr>
              <w:t>potwierdzony stan sprawności ogólnej według klasyfikacji Zubroda-WHO 0-1</w:t>
            </w:r>
            <w:r w:rsidRPr="009A4459">
              <w:rPr>
                <w:sz w:val="20"/>
                <w:szCs w:val="20"/>
              </w:rPr>
              <w:t>;</w:t>
            </w:r>
          </w:p>
          <w:p w14:paraId="19503A27" w14:textId="77777777" w:rsidR="0056002E" w:rsidRPr="009A4459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wyniki badania morfologii krwi z rozmazem: liczba płytek krwi ≥</w:t>
            </w:r>
            <w:r>
              <w:rPr>
                <w:sz w:val="20"/>
                <w:szCs w:val="20"/>
              </w:rPr>
              <w:t xml:space="preserve"> 100</w:t>
            </w:r>
            <w:r w:rsidRPr="009A4459">
              <w:rPr>
                <w:sz w:val="20"/>
                <w:szCs w:val="20"/>
              </w:rPr>
              <w:t>000/mm</w:t>
            </w:r>
            <w:r w:rsidRPr="009A4459">
              <w:rPr>
                <w:sz w:val="20"/>
                <w:szCs w:val="20"/>
                <w:vertAlign w:val="superscript"/>
              </w:rPr>
              <w:t>3</w:t>
            </w:r>
            <w:r w:rsidRPr="009A4459">
              <w:rPr>
                <w:sz w:val="20"/>
                <w:szCs w:val="20"/>
              </w:rPr>
              <w:t>, liczba bezwzględna neutrofili ≥</w:t>
            </w:r>
            <w:r>
              <w:rPr>
                <w:sz w:val="20"/>
                <w:szCs w:val="20"/>
              </w:rPr>
              <w:t xml:space="preserve"> 15</w:t>
            </w:r>
            <w:r w:rsidRPr="009A4459">
              <w:rPr>
                <w:sz w:val="20"/>
                <w:szCs w:val="20"/>
              </w:rPr>
              <w:t>00/ mm</w:t>
            </w:r>
            <w:r w:rsidRPr="009A4459">
              <w:rPr>
                <w:sz w:val="20"/>
                <w:szCs w:val="20"/>
                <w:vertAlign w:val="superscript"/>
              </w:rPr>
              <w:t>3</w:t>
            </w:r>
            <w:r w:rsidRPr="009A4459">
              <w:rPr>
                <w:sz w:val="20"/>
                <w:szCs w:val="20"/>
              </w:rPr>
              <w:t>, stężenie hemoglobiny ≥</w:t>
            </w:r>
            <w:r w:rsidR="00E52F2C">
              <w:rPr>
                <w:sz w:val="20"/>
                <w:szCs w:val="20"/>
              </w:rPr>
              <w:t xml:space="preserve"> 10,0 g/dl;</w:t>
            </w:r>
          </w:p>
          <w:p w14:paraId="35D3AF07" w14:textId="4BF31937" w:rsidR="0056002E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prawidłowe wartości</w:t>
            </w:r>
            <w:r w:rsidR="00614D0F">
              <w:rPr>
                <w:sz w:val="20"/>
                <w:szCs w:val="20"/>
              </w:rPr>
              <w:t xml:space="preserve"> wskaźników czynności wątroby i </w:t>
            </w:r>
            <w:r w:rsidRPr="009A4459">
              <w:rPr>
                <w:sz w:val="20"/>
                <w:szCs w:val="20"/>
              </w:rPr>
              <w:t>nerek (nieprzekraczające 2,5 raza górnej granicy normy lub 5 razy dla prób wątrobowych w p</w:t>
            </w:r>
            <w:r w:rsidR="00E52F2C">
              <w:rPr>
                <w:sz w:val="20"/>
                <w:szCs w:val="20"/>
              </w:rPr>
              <w:t>rzypadku przerzutów do wątroby);</w:t>
            </w:r>
          </w:p>
          <w:p w14:paraId="14EE769D" w14:textId="77777777" w:rsidR="0056002E" w:rsidRPr="009A4459" w:rsidRDefault="0056002E" w:rsidP="0056002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przeciwwskazań do stosowania sorafenibu.</w:t>
            </w:r>
          </w:p>
          <w:p w14:paraId="1B491B10" w14:textId="77777777" w:rsidR="0056002E" w:rsidRPr="00283CF7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  <w:p w14:paraId="5E9FE6DD" w14:textId="77777777" w:rsidR="0056002E" w:rsidRPr="002D20EC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D20EC">
              <w:rPr>
                <w:b/>
                <w:bCs/>
                <w:sz w:val="20"/>
                <w:szCs w:val="20"/>
              </w:rPr>
              <w:t>.2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2D20EC">
              <w:rPr>
                <w:b/>
                <w:bCs/>
                <w:sz w:val="20"/>
                <w:szCs w:val="20"/>
              </w:rPr>
              <w:t xml:space="preserve"> Określenie czasu leczenia s</w:t>
            </w:r>
            <w:r>
              <w:rPr>
                <w:b/>
                <w:bCs/>
                <w:sz w:val="20"/>
                <w:szCs w:val="20"/>
              </w:rPr>
              <w:t>orafenibem</w:t>
            </w:r>
            <w:r w:rsidRPr="002D20EC">
              <w:rPr>
                <w:b/>
                <w:bCs/>
                <w:sz w:val="20"/>
                <w:szCs w:val="20"/>
              </w:rPr>
              <w:t xml:space="preserve"> w programie.</w:t>
            </w:r>
          </w:p>
          <w:p w14:paraId="37689303" w14:textId="77777777" w:rsidR="0056002E" w:rsidRPr="002D20EC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Leczenie trwa do czasu podjęcia przez lekarza prowadzącego decyzji o wyłączeniu świadcze</w:t>
            </w:r>
            <w:r>
              <w:rPr>
                <w:sz w:val="20"/>
                <w:szCs w:val="20"/>
              </w:rPr>
              <w:t>niobiorcy z programu, zgodnie z  </w:t>
            </w:r>
            <w:r w:rsidRPr="002D20EC">
              <w:rPr>
                <w:sz w:val="20"/>
                <w:szCs w:val="20"/>
              </w:rPr>
              <w:t>kryteriami wyłączenia.</w:t>
            </w:r>
          </w:p>
          <w:p w14:paraId="41DCB50E" w14:textId="77777777" w:rsidR="0056002E" w:rsidRPr="00283CF7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B1AA131" w14:textId="77777777" w:rsidR="0056002E" w:rsidRPr="002D20EC" w:rsidRDefault="0056002E" w:rsidP="005600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D20EC">
              <w:rPr>
                <w:b/>
                <w:bCs/>
                <w:sz w:val="20"/>
                <w:szCs w:val="20"/>
              </w:rPr>
              <w:t>.3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2D20EC">
              <w:rPr>
                <w:b/>
                <w:bCs/>
                <w:sz w:val="20"/>
                <w:szCs w:val="20"/>
              </w:rPr>
              <w:t xml:space="preserve"> Wyłączenie z programu leczenia </w:t>
            </w:r>
            <w:r>
              <w:rPr>
                <w:b/>
                <w:bCs/>
                <w:sz w:val="20"/>
                <w:szCs w:val="20"/>
              </w:rPr>
              <w:t>sorafenibem</w:t>
            </w:r>
            <w:r w:rsidRPr="002D20EC">
              <w:rPr>
                <w:b/>
                <w:bCs/>
                <w:sz w:val="20"/>
                <w:szCs w:val="20"/>
              </w:rPr>
              <w:t>:</w:t>
            </w:r>
          </w:p>
          <w:p w14:paraId="57A6BD1A" w14:textId="77777777" w:rsidR="0056002E" w:rsidRPr="00366A3E" w:rsidRDefault="0056002E" w:rsidP="0056002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wystąpienie obja</w:t>
            </w:r>
            <w:r w:rsidR="00E52F2C">
              <w:rPr>
                <w:sz w:val="20"/>
                <w:szCs w:val="20"/>
              </w:rPr>
              <w:t>wów nadwrażliwości na sorafenib;</w:t>
            </w:r>
          </w:p>
          <w:p w14:paraId="32B1624B" w14:textId="77777777" w:rsidR="0056002E" w:rsidRPr="00366A3E" w:rsidRDefault="0056002E" w:rsidP="0056002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udokumentowana progresja ch</w:t>
            </w:r>
            <w:r>
              <w:rPr>
                <w:sz w:val="20"/>
                <w:szCs w:val="20"/>
              </w:rPr>
              <w:t>oroby w trakcie stosowania sorafenibu;</w:t>
            </w:r>
          </w:p>
          <w:p w14:paraId="5A149489" w14:textId="4EC41CAE" w:rsidR="00525FF4" w:rsidRDefault="00525FF4" w:rsidP="0056002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długotrwałe (powyżej </w:t>
            </w:r>
            <w:r w:rsidR="00614D0F">
              <w:rPr>
                <w:sz w:val="20"/>
                <w:szCs w:val="20"/>
              </w:rPr>
              <w:t>28 dni) działania niepożądane w </w:t>
            </w:r>
            <w:r>
              <w:rPr>
                <w:sz w:val="20"/>
                <w:szCs w:val="20"/>
              </w:rPr>
              <w:t>stopniu równym lub większym od 3 według klasyfikacji WHO nie poddające się lecze</w:t>
            </w:r>
            <w:r w:rsidR="00E52F2C">
              <w:rPr>
                <w:sz w:val="20"/>
                <w:szCs w:val="20"/>
              </w:rPr>
              <w:t>niu objawowemu i redukcji dawki;</w:t>
            </w:r>
          </w:p>
          <w:p w14:paraId="62933BEF" w14:textId="69DB2A93" w:rsidR="00525FF4" w:rsidRDefault="00525FF4" w:rsidP="0056002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4002B">
              <w:rPr>
                <w:sz w:val="20"/>
                <w:szCs w:val="20"/>
              </w:rPr>
              <w:t xml:space="preserve">utrzymujące się pogorszenie stanu sprawności </w:t>
            </w:r>
            <w:r w:rsidR="0094298B" w:rsidRPr="0094002B">
              <w:rPr>
                <w:sz w:val="20"/>
                <w:szCs w:val="20"/>
              </w:rPr>
              <w:t xml:space="preserve">2-4 </w:t>
            </w:r>
            <w:r w:rsidR="00E52F2C" w:rsidRPr="0094002B">
              <w:rPr>
                <w:sz w:val="20"/>
                <w:szCs w:val="20"/>
              </w:rPr>
              <w:t>według klasyfikacji Zubroda-WHO</w:t>
            </w:r>
            <w:r w:rsidR="00E52F2C">
              <w:rPr>
                <w:sz w:val="20"/>
                <w:szCs w:val="20"/>
              </w:rPr>
              <w:t>;</w:t>
            </w:r>
          </w:p>
          <w:p w14:paraId="456F3CCE" w14:textId="77777777" w:rsidR="0056002E" w:rsidRDefault="00525FF4" w:rsidP="0056002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rezygnacja pacjenta.</w:t>
            </w:r>
          </w:p>
          <w:p w14:paraId="577C83C6" w14:textId="77777777" w:rsidR="00E52F2C" w:rsidRPr="00E52F2C" w:rsidRDefault="00E52F2C" w:rsidP="00E52F2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3412" w14:textId="1152B333" w:rsidR="004D7609" w:rsidRDefault="00867C43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lastRenderedPageBreak/>
              <w:t xml:space="preserve">1. Dawkowanie </w:t>
            </w:r>
            <w:r w:rsidR="00283CF7">
              <w:rPr>
                <w:b/>
                <w:bCs/>
                <w:sz w:val="20"/>
                <w:szCs w:val="20"/>
              </w:rPr>
              <w:t>imatynib</w:t>
            </w:r>
            <w:r w:rsidR="002E44C1">
              <w:rPr>
                <w:b/>
                <w:bCs/>
                <w:sz w:val="20"/>
                <w:szCs w:val="20"/>
              </w:rPr>
              <w:t>u</w:t>
            </w:r>
          </w:p>
          <w:p w14:paraId="27527B05" w14:textId="77777777" w:rsidR="000B5890" w:rsidRPr="002D20EC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1.1. Dorośli</w:t>
            </w:r>
          </w:p>
          <w:p w14:paraId="2246388C" w14:textId="77777777" w:rsidR="004D7609" w:rsidRPr="00366A3E" w:rsidRDefault="004D7609" w:rsidP="00366A3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dobowa dawka początkowa</w:t>
            </w:r>
            <w:r w:rsidR="00904BE8" w:rsidRPr="00366A3E">
              <w:rPr>
                <w:sz w:val="20"/>
                <w:szCs w:val="20"/>
              </w:rPr>
              <w:t xml:space="preserve"> </w:t>
            </w:r>
            <w:r w:rsidRPr="00366A3E">
              <w:rPr>
                <w:sz w:val="20"/>
                <w:szCs w:val="20"/>
              </w:rPr>
              <w:t>- 400 mg jednorazowo</w:t>
            </w:r>
            <w:r w:rsidR="000B5890" w:rsidRPr="00366A3E">
              <w:rPr>
                <w:sz w:val="20"/>
                <w:szCs w:val="20"/>
              </w:rPr>
              <w:t>,</w:t>
            </w:r>
          </w:p>
          <w:p w14:paraId="7AF42281" w14:textId="77777777" w:rsidR="004D7609" w:rsidRPr="00366A3E" w:rsidRDefault="004D7609" w:rsidP="00366A3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dobowa dawka w przypadku wystąpienia progresji 800 mg w dwóch dawkach (2x400mg)</w:t>
            </w:r>
            <w:r w:rsidR="000B5890" w:rsidRPr="00366A3E">
              <w:rPr>
                <w:sz w:val="20"/>
                <w:szCs w:val="20"/>
              </w:rPr>
              <w:t>.</w:t>
            </w:r>
          </w:p>
          <w:p w14:paraId="02DCB24B" w14:textId="77777777" w:rsidR="000B5890" w:rsidRPr="00283CF7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  <w:p w14:paraId="67B08B6F" w14:textId="77777777" w:rsidR="000B5890" w:rsidRPr="002D20EC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D20EC">
              <w:rPr>
                <w:b/>
                <w:sz w:val="20"/>
                <w:szCs w:val="20"/>
              </w:rPr>
              <w:t>1.2. Dzieci</w:t>
            </w:r>
          </w:p>
          <w:p w14:paraId="7AE21743" w14:textId="77777777" w:rsidR="000B5890" w:rsidRPr="00366A3E" w:rsidRDefault="000B5890" w:rsidP="00366A3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d</w:t>
            </w:r>
            <w:r w:rsidR="00BB2AB5" w:rsidRPr="00366A3E">
              <w:rPr>
                <w:sz w:val="20"/>
                <w:szCs w:val="20"/>
              </w:rPr>
              <w:t>zieci</w:t>
            </w:r>
            <w:r w:rsidR="006F369B" w:rsidRPr="00366A3E">
              <w:rPr>
                <w:sz w:val="20"/>
                <w:szCs w:val="20"/>
              </w:rPr>
              <w:t xml:space="preserve"> o powierzchni ciała do 1m</w:t>
            </w:r>
            <w:r w:rsidR="006F369B" w:rsidRPr="00366A3E">
              <w:rPr>
                <w:sz w:val="20"/>
                <w:szCs w:val="20"/>
                <w:vertAlign w:val="superscript"/>
              </w:rPr>
              <w:t>2</w:t>
            </w:r>
            <w:r w:rsidR="00BB2AB5" w:rsidRPr="00366A3E">
              <w:rPr>
                <w:sz w:val="20"/>
                <w:szCs w:val="20"/>
              </w:rPr>
              <w:t>: 340 mg/m</w:t>
            </w:r>
            <w:r w:rsidR="00BB2AB5" w:rsidRPr="00366A3E">
              <w:rPr>
                <w:sz w:val="20"/>
                <w:szCs w:val="20"/>
                <w:vertAlign w:val="superscript"/>
              </w:rPr>
              <w:t>2</w:t>
            </w:r>
            <w:r w:rsidR="00BB2AB5" w:rsidRPr="00366A3E">
              <w:rPr>
                <w:sz w:val="20"/>
                <w:szCs w:val="20"/>
              </w:rPr>
              <w:t>,</w:t>
            </w:r>
            <w:r w:rsidR="007F7119" w:rsidRPr="00366A3E">
              <w:rPr>
                <w:sz w:val="20"/>
                <w:szCs w:val="20"/>
              </w:rPr>
              <w:t xml:space="preserve"> dawka dobowa je</w:t>
            </w:r>
            <w:r w:rsidRPr="00366A3E">
              <w:rPr>
                <w:sz w:val="20"/>
                <w:szCs w:val="20"/>
              </w:rPr>
              <w:t xml:space="preserve">dnorazowo. W przypadku wystąpienia progresji możliwe zwiększenie dawki dobowej dwukrotnie, </w:t>
            </w:r>
          </w:p>
          <w:p w14:paraId="4EA3526F" w14:textId="77777777" w:rsidR="001D641E" w:rsidRPr="00366A3E" w:rsidRDefault="000B5890" w:rsidP="00366A3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6A3E">
              <w:rPr>
                <w:sz w:val="20"/>
                <w:szCs w:val="20"/>
              </w:rPr>
              <w:t>d</w:t>
            </w:r>
            <w:r w:rsidR="00BB2AB5" w:rsidRPr="00366A3E">
              <w:rPr>
                <w:sz w:val="20"/>
                <w:szCs w:val="20"/>
              </w:rPr>
              <w:t xml:space="preserve">zieci </w:t>
            </w:r>
            <w:r w:rsidR="006F369B" w:rsidRPr="00366A3E">
              <w:rPr>
                <w:sz w:val="20"/>
                <w:szCs w:val="20"/>
              </w:rPr>
              <w:t xml:space="preserve">o powierzchni ciała </w:t>
            </w:r>
            <w:r w:rsidR="00BB2AB5" w:rsidRPr="00366A3E">
              <w:rPr>
                <w:sz w:val="20"/>
                <w:szCs w:val="20"/>
              </w:rPr>
              <w:t>powyżej 1 m</w:t>
            </w:r>
            <w:r w:rsidR="00BB2AB5" w:rsidRPr="00366A3E">
              <w:rPr>
                <w:sz w:val="20"/>
                <w:szCs w:val="20"/>
                <w:vertAlign w:val="superscript"/>
              </w:rPr>
              <w:t xml:space="preserve">2 </w:t>
            </w:r>
            <w:r w:rsidR="00BB2AB5" w:rsidRPr="00366A3E">
              <w:rPr>
                <w:sz w:val="20"/>
                <w:szCs w:val="20"/>
              </w:rPr>
              <w:t>dawkowanie jak dla dorosłych</w:t>
            </w:r>
            <w:r w:rsidR="007F7119" w:rsidRPr="00366A3E">
              <w:rPr>
                <w:sz w:val="20"/>
                <w:szCs w:val="20"/>
              </w:rPr>
              <w:t>. W przypadku wystąpienia progresji możliwe zwiększenie dawki do 2 x 400 mg na dobę.</w:t>
            </w:r>
          </w:p>
          <w:p w14:paraId="6A9E5825" w14:textId="77777777" w:rsidR="000B5890" w:rsidRPr="002D20EC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14:paraId="57A86BE4" w14:textId="77777777" w:rsidR="004D7609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 xml:space="preserve">2. Dawkowanie </w:t>
            </w:r>
            <w:r w:rsidR="00283CF7">
              <w:rPr>
                <w:b/>
                <w:bCs/>
                <w:sz w:val="20"/>
                <w:szCs w:val="20"/>
              </w:rPr>
              <w:t>sunitynib</w:t>
            </w:r>
            <w:r w:rsidR="002E44C1">
              <w:rPr>
                <w:b/>
                <w:bCs/>
                <w:sz w:val="20"/>
                <w:szCs w:val="20"/>
              </w:rPr>
              <w:t>u</w:t>
            </w:r>
          </w:p>
          <w:p w14:paraId="733FEB9B" w14:textId="77777777" w:rsidR="000B5890" w:rsidRPr="002D20EC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2.1</w:t>
            </w:r>
            <w:r w:rsidR="00BA623E">
              <w:rPr>
                <w:b/>
                <w:bCs/>
                <w:sz w:val="20"/>
                <w:szCs w:val="20"/>
              </w:rPr>
              <w:t>.</w:t>
            </w:r>
            <w:r w:rsidRPr="002D20EC">
              <w:rPr>
                <w:b/>
                <w:bCs/>
                <w:sz w:val="20"/>
                <w:szCs w:val="20"/>
              </w:rPr>
              <w:t xml:space="preserve"> Dorośli</w:t>
            </w:r>
          </w:p>
          <w:p w14:paraId="763E9B15" w14:textId="3CA9614D" w:rsidR="004D7609" w:rsidRPr="002D20EC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Zalecana dawka początkowa preparatu sunitynib wynosi 50 mg doustnie raz na do</w:t>
            </w:r>
            <w:r w:rsidR="00EE37F4">
              <w:rPr>
                <w:sz w:val="20"/>
                <w:szCs w:val="20"/>
              </w:rPr>
              <w:t>bę przez 4 kolejne tygodnie, po </w:t>
            </w:r>
            <w:r w:rsidRPr="002D20EC">
              <w:rPr>
                <w:sz w:val="20"/>
                <w:szCs w:val="20"/>
              </w:rPr>
              <w:t>czym następuje dwutygodniowa przerwa (schemat 4/2), co stanowi pełny cykl 6 tygodni.</w:t>
            </w:r>
          </w:p>
          <w:p w14:paraId="5AD0658B" w14:textId="1371A219" w:rsidR="004D7609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Można stopniow</w:t>
            </w:r>
            <w:r w:rsidR="00454B26">
              <w:rPr>
                <w:sz w:val="20"/>
                <w:szCs w:val="20"/>
              </w:rPr>
              <w:t>o dokonywać zmian dawkowania za </w:t>
            </w:r>
            <w:r w:rsidRPr="002D20EC">
              <w:rPr>
                <w:sz w:val="20"/>
                <w:szCs w:val="20"/>
              </w:rPr>
              <w:t>każdym razem o 12,5 mg, zależnie od indywidualnie ocenianego bezpieczeństwa i tolerancji lub przedłużać przerwę w przyjmowaniu leku. Dawka dobowa nie powinna być mniejsza niż 25 mg.</w:t>
            </w:r>
          </w:p>
          <w:p w14:paraId="07D47B83" w14:textId="77777777" w:rsidR="000B5890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010817FD" w14:textId="77777777" w:rsidR="00155813" w:rsidRDefault="00155813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3DBD0DCB" w14:textId="77777777" w:rsidR="00006716" w:rsidRPr="00283CF7" w:rsidRDefault="00006716" w:rsidP="00CE0FED">
            <w:pPr>
              <w:autoSpaceDE w:val="0"/>
              <w:autoSpaceDN w:val="0"/>
              <w:adjustRightInd w:val="0"/>
              <w:spacing w:line="276" w:lineRule="auto"/>
              <w:rPr>
                <w:sz w:val="8"/>
                <w:szCs w:val="20"/>
              </w:rPr>
            </w:pPr>
          </w:p>
          <w:p w14:paraId="7D930749" w14:textId="77777777" w:rsidR="000B5890" w:rsidRPr="002D20EC" w:rsidRDefault="000B5890" w:rsidP="00CE0FE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D20EC">
              <w:rPr>
                <w:b/>
                <w:sz w:val="20"/>
                <w:szCs w:val="20"/>
              </w:rPr>
              <w:t>2.2. Dzieci</w:t>
            </w:r>
          </w:p>
          <w:p w14:paraId="0C8B6C4A" w14:textId="77777777" w:rsidR="000B5890" w:rsidRPr="009A4459" w:rsidRDefault="000B5890" w:rsidP="009A4459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>d</w:t>
            </w:r>
            <w:r w:rsidR="00537206" w:rsidRPr="009A4459">
              <w:rPr>
                <w:sz w:val="20"/>
                <w:szCs w:val="20"/>
              </w:rPr>
              <w:t>zieci powyżej 6 r</w:t>
            </w:r>
            <w:r w:rsidRPr="009A4459">
              <w:rPr>
                <w:sz w:val="20"/>
                <w:szCs w:val="20"/>
              </w:rPr>
              <w:t>. ż. dawkowanie jak u dorosłych,</w:t>
            </w:r>
            <w:r w:rsidR="00537206" w:rsidRPr="009A4459">
              <w:rPr>
                <w:sz w:val="20"/>
                <w:szCs w:val="20"/>
              </w:rPr>
              <w:t xml:space="preserve"> </w:t>
            </w:r>
          </w:p>
          <w:p w14:paraId="5BC61498" w14:textId="72516C5F" w:rsidR="004D7609" w:rsidRDefault="00537206" w:rsidP="009A4459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A4459">
              <w:rPr>
                <w:sz w:val="20"/>
                <w:szCs w:val="20"/>
              </w:rPr>
              <w:t xml:space="preserve">dzieci poniżej 6.r.ż. </w:t>
            </w:r>
            <w:r w:rsidR="000B5890" w:rsidRPr="009A4459">
              <w:rPr>
                <w:sz w:val="20"/>
                <w:szCs w:val="20"/>
              </w:rPr>
              <w:t xml:space="preserve">- </w:t>
            </w:r>
            <w:r w:rsidRPr="009A4459">
              <w:rPr>
                <w:sz w:val="20"/>
                <w:szCs w:val="20"/>
              </w:rPr>
              <w:t xml:space="preserve">dawka powinna być indywidualnie </w:t>
            </w:r>
            <w:r w:rsidR="0027422D">
              <w:rPr>
                <w:sz w:val="20"/>
                <w:szCs w:val="20"/>
              </w:rPr>
              <w:t>ustalana poczynając od 25 mg na </w:t>
            </w:r>
            <w:r w:rsidRPr="009A4459">
              <w:rPr>
                <w:sz w:val="20"/>
                <w:szCs w:val="20"/>
              </w:rPr>
              <w:t>dobę</w:t>
            </w:r>
            <w:r w:rsidR="000B5890" w:rsidRPr="009A4459">
              <w:rPr>
                <w:sz w:val="20"/>
                <w:szCs w:val="20"/>
              </w:rPr>
              <w:t>.</w:t>
            </w:r>
            <w:r w:rsidRPr="009A4459">
              <w:rPr>
                <w:sz w:val="20"/>
                <w:szCs w:val="20"/>
              </w:rPr>
              <w:t xml:space="preserve"> Można stopniowo dokonywać zmian dawkowania za każdym razem o 12,5 mg, zależnie od indywidual</w:t>
            </w:r>
            <w:r w:rsidR="00EE37F4">
              <w:rPr>
                <w:sz w:val="20"/>
                <w:szCs w:val="20"/>
              </w:rPr>
              <w:t>nie ocenianego bezpieczeństwa i </w:t>
            </w:r>
            <w:r w:rsidRPr="009A4459">
              <w:rPr>
                <w:sz w:val="20"/>
                <w:szCs w:val="20"/>
              </w:rPr>
              <w:t xml:space="preserve">tolerancji lub przedłużać przerwę w przyjmowaniu leku. </w:t>
            </w:r>
          </w:p>
          <w:p w14:paraId="5910F085" w14:textId="77777777" w:rsidR="00525FF4" w:rsidRDefault="00525FF4" w:rsidP="00525FF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79E80E55" w14:textId="77777777" w:rsidR="00525FF4" w:rsidRDefault="00525FF4" w:rsidP="00525FF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567AC1EC" w14:textId="77777777" w:rsidR="00525FF4" w:rsidRDefault="00525FF4" w:rsidP="00525FF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D20EC">
              <w:rPr>
                <w:b/>
                <w:bCs/>
                <w:sz w:val="20"/>
                <w:szCs w:val="20"/>
              </w:rPr>
              <w:t xml:space="preserve">. Dawkowanie </w:t>
            </w:r>
            <w:r>
              <w:rPr>
                <w:b/>
                <w:bCs/>
                <w:sz w:val="20"/>
                <w:szCs w:val="20"/>
              </w:rPr>
              <w:t>sorafenibu</w:t>
            </w:r>
          </w:p>
          <w:p w14:paraId="3E6E5C11" w14:textId="77777777" w:rsidR="00525FF4" w:rsidRDefault="00525FF4" w:rsidP="00525FF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Dobowa dawka 800 mg (w dwóch dawkach 2x400 mg)</w:t>
            </w:r>
          </w:p>
          <w:p w14:paraId="2ACED025" w14:textId="77777777" w:rsidR="00525FF4" w:rsidRPr="00525FF4" w:rsidRDefault="00525FF4" w:rsidP="00525FF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D85B" w14:textId="77777777" w:rsidR="004D7609" w:rsidRPr="002D20EC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lastRenderedPageBreak/>
              <w:t>1. Badania prz</w:t>
            </w:r>
            <w:r w:rsidR="00867C43" w:rsidRPr="002D20EC">
              <w:rPr>
                <w:b/>
                <w:bCs/>
                <w:sz w:val="20"/>
                <w:szCs w:val="20"/>
              </w:rPr>
              <w:t>y kwalifikacji do leczenia imaty</w:t>
            </w:r>
            <w:r w:rsidRPr="002D20EC">
              <w:rPr>
                <w:b/>
                <w:bCs/>
                <w:sz w:val="20"/>
                <w:szCs w:val="20"/>
              </w:rPr>
              <w:t>nibem albo sunitynibem</w:t>
            </w:r>
          </w:p>
          <w:p w14:paraId="23600EC0" w14:textId="77777777" w:rsidR="004D7609" w:rsidRPr="002D20EC" w:rsidRDefault="004D7609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morfologia krwi z rozmazem</w:t>
            </w:r>
            <w:r w:rsidR="00940B37" w:rsidRPr="002D20EC">
              <w:rPr>
                <w:sz w:val="20"/>
                <w:szCs w:val="20"/>
              </w:rPr>
              <w:t>;</w:t>
            </w:r>
          </w:p>
          <w:p w14:paraId="3722A09C" w14:textId="77777777" w:rsidR="004D7609" w:rsidRPr="002D20EC" w:rsidRDefault="004D7609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badanie ogólne moczu</w:t>
            </w:r>
            <w:r w:rsidR="00940B37" w:rsidRPr="002D20EC">
              <w:rPr>
                <w:sz w:val="20"/>
                <w:szCs w:val="20"/>
              </w:rPr>
              <w:t>;</w:t>
            </w:r>
          </w:p>
          <w:p w14:paraId="467857BD" w14:textId="77777777" w:rsidR="004D7609" w:rsidRPr="002D20EC" w:rsidRDefault="004D7609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</w:t>
            </w:r>
            <w:r w:rsidR="00940B37" w:rsidRPr="002D20EC">
              <w:rPr>
                <w:sz w:val="20"/>
                <w:szCs w:val="20"/>
              </w:rPr>
              <w:t>tywność transaminaz wątrobowych;</w:t>
            </w:r>
          </w:p>
          <w:p w14:paraId="11CACA0D" w14:textId="77777777" w:rsidR="004D7609" w:rsidRPr="002D20EC" w:rsidRDefault="004D7609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stężenie bilirubiny;</w:t>
            </w:r>
          </w:p>
          <w:p w14:paraId="2BB606C7" w14:textId="77777777" w:rsidR="004D7609" w:rsidRPr="002D20EC" w:rsidRDefault="004D7609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aktywności fosfatazy zasadowej;</w:t>
            </w:r>
          </w:p>
          <w:p w14:paraId="012EC0A9" w14:textId="77777777" w:rsidR="004D7609" w:rsidRPr="002D20EC" w:rsidRDefault="00940B37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poziom albumin;</w:t>
            </w:r>
          </w:p>
          <w:p w14:paraId="79A1C7FE" w14:textId="77777777" w:rsidR="004D7609" w:rsidRPr="002D20EC" w:rsidRDefault="00940B37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EKG;</w:t>
            </w:r>
          </w:p>
          <w:p w14:paraId="4E8248BF" w14:textId="77777777" w:rsidR="00940B37" w:rsidRPr="002D20EC" w:rsidRDefault="00940B37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tomografia komputerowa (TK) jamy brzusznej i miednicy (inne obszary w zależności od wskazań)</w:t>
            </w:r>
          </w:p>
          <w:p w14:paraId="772D94EF" w14:textId="77777777" w:rsidR="00940B37" w:rsidRPr="002D20EC" w:rsidRDefault="00940B37" w:rsidP="002D20EC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 xml:space="preserve">Badanie TK </w:t>
            </w:r>
            <w:r w:rsidR="00F17710" w:rsidRPr="002D20EC">
              <w:rPr>
                <w:sz w:val="20"/>
                <w:szCs w:val="20"/>
              </w:rPr>
              <w:t xml:space="preserve"> </w:t>
            </w:r>
            <w:r w:rsidRPr="002D20EC">
              <w:rPr>
                <w:sz w:val="20"/>
                <w:szCs w:val="20"/>
              </w:rPr>
              <w:t>nie dotyczy leczenia adj</w:t>
            </w:r>
            <w:r w:rsidR="00867C43" w:rsidRPr="002D20EC">
              <w:rPr>
                <w:sz w:val="20"/>
                <w:szCs w:val="20"/>
              </w:rPr>
              <w:t>uwantowego imaty</w:t>
            </w:r>
            <w:r w:rsidRPr="002D20EC">
              <w:rPr>
                <w:sz w:val="20"/>
                <w:szCs w:val="20"/>
              </w:rPr>
              <w:t>nibem, jeśli było wykonane przed zabiegiem operacyjnym</w:t>
            </w:r>
            <w:r w:rsidR="00867C43" w:rsidRPr="002D20EC">
              <w:rPr>
                <w:sz w:val="20"/>
                <w:szCs w:val="20"/>
              </w:rPr>
              <w:t>;</w:t>
            </w:r>
          </w:p>
          <w:p w14:paraId="2AB794F4" w14:textId="77777777" w:rsidR="00867C43" w:rsidRPr="002D20EC" w:rsidRDefault="00867C43" w:rsidP="002D20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oznaczenie mutacji KIT</w:t>
            </w:r>
            <w:r w:rsidR="00704DC1" w:rsidRPr="002D20EC">
              <w:rPr>
                <w:sz w:val="20"/>
                <w:szCs w:val="20"/>
              </w:rPr>
              <w:t xml:space="preserve"> i PDG</w:t>
            </w:r>
            <w:r w:rsidR="00D4061C" w:rsidRPr="002D20EC">
              <w:rPr>
                <w:sz w:val="20"/>
                <w:szCs w:val="20"/>
              </w:rPr>
              <w:t>F</w:t>
            </w:r>
            <w:r w:rsidR="00704DC1" w:rsidRPr="002D20EC">
              <w:rPr>
                <w:sz w:val="20"/>
                <w:szCs w:val="20"/>
              </w:rPr>
              <w:t>R</w:t>
            </w:r>
            <w:r w:rsidR="0097642E" w:rsidRPr="002D20EC">
              <w:rPr>
                <w:sz w:val="20"/>
                <w:szCs w:val="20"/>
              </w:rPr>
              <w:t>A</w:t>
            </w:r>
            <w:r w:rsidR="00D4061C" w:rsidRPr="002D20EC">
              <w:rPr>
                <w:sz w:val="20"/>
                <w:szCs w:val="20"/>
              </w:rPr>
              <w:t xml:space="preserve"> (dotyczy wyłącznie kwalifikacji do leczenia adjuwantowego imatynibem).</w:t>
            </w:r>
          </w:p>
          <w:p w14:paraId="5FDA1F7E" w14:textId="77777777" w:rsidR="001D641E" w:rsidRPr="002D20EC" w:rsidRDefault="001D641E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DF71038" w14:textId="77777777" w:rsidR="004D7609" w:rsidRPr="002D20EC" w:rsidRDefault="00867C43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b/>
                <w:bCs/>
                <w:sz w:val="20"/>
                <w:szCs w:val="20"/>
              </w:rPr>
              <w:t>2. Monitorowanie leczenia imaty</w:t>
            </w:r>
            <w:r w:rsidR="004D7609" w:rsidRPr="002D20EC">
              <w:rPr>
                <w:b/>
                <w:bCs/>
                <w:sz w:val="20"/>
                <w:szCs w:val="20"/>
              </w:rPr>
              <w:t>nibem albo sunitynibem</w:t>
            </w:r>
          </w:p>
          <w:p w14:paraId="29829373" w14:textId="77777777" w:rsidR="004D7609" w:rsidRPr="002D20EC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morfologia krwi z rozmazem;</w:t>
            </w:r>
          </w:p>
          <w:p w14:paraId="115F7C52" w14:textId="77777777" w:rsidR="004D7609" w:rsidRPr="002D20EC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badanie ogólne moczu;</w:t>
            </w:r>
          </w:p>
          <w:p w14:paraId="17310B97" w14:textId="77777777" w:rsidR="004D7609" w:rsidRPr="002D20EC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aktywność aminotransferaz wątrobowych;</w:t>
            </w:r>
          </w:p>
          <w:p w14:paraId="4F96635E" w14:textId="77777777" w:rsidR="004D7609" w:rsidRPr="002D20EC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stężenie bilirubiny;</w:t>
            </w:r>
          </w:p>
          <w:p w14:paraId="576ED9E0" w14:textId="77777777" w:rsidR="004D7609" w:rsidRPr="002D20EC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aktywność fosfatazy zasadowej;</w:t>
            </w:r>
          </w:p>
          <w:p w14:paraId="52A94037" w14:textId="77777777" w:rsidR="004D7609" w:rsidRPr="002D20EC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poziom albumin;</w:t>
            </w:r>
          </w:p>
          <w:p w14:paraId="4DD04DAE" w14:textId="77777777" w:rsidR="00CD00B4" w:rsidRDefault="004D7609" w:rsidP="002D20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tomografia komputerowa</w:t>
            </w:r>
          </w:p>
          <w:p w14:paraId="155020AE" w14:textId="26624ED6" w:rsidR="00CD00B4" w:rsidRDefault="00CD00B4" w:rsidP="002B667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D00B4">
              <w:rPr>
                <w:sz w:val="20"/>
                <w:szCs w:val="20"/>
              </w:rPr>
              <w:t xml:space="preserve">Badania </w:t>
            </w:r>
            <w:r>
              <w:rPr>
                <w:sz w:val="20"/>
                <w:szCs w:val="20"/>
              </w:rPr>
              <w:t xml:space="preserve">laboratoryjne </w:t>
            </w:r>
            <w:r w:rsidRPr="00CD00B4">
              <w:rPr>
                <w:sz w:val="20"/>
                <w:szCs w:val="20"/>
              </w:rPr>
              <w:t xml:space="preserve"> należy przeprowadzać podczas każdej wizyty świadczeniobiorcy - nie </w:t>
            </w:r>
            <w:r>
              <w:rPr>
                <w:sz w:val="20"/>
                <w:szCs w:val="20"/>
              </w:rPr>
              <w:t>rzadziej niż raz na 4-6 tygodni.</w:t>
            </w:r>
          </w:p>
          <w:p w14:paraId="24773CB6" w14:textId="77777777" w:rsidR="00CD00B4" w:rsidRDefault="00CD00B4" w:rsidP="002B667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obrazowe (TK) należy wykonywać:</w:t>
            </w:r>
          </w:p>
          <w:p w14:paraId="0F4B0113" w14:textId="77777777" w:rsidR="00CD00B4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a) </w:t>
            </w:r>
            <w:r w:rsidRPr="00CD00B4">
              <w:rPr>
                <w:sz w:val="20"/>
                <w:szCs w:val="20"/>
              </w:rPr>
              <w:t xml:space="preserve"> u pacjentów leczonych adjuwantowo imatynibem:</w:t>
            </w:r>
          </w:p>
          <w:p w14:paraId="166A2056" w14:textId="627FB980" w:rsidR="00CD00B4" w:rsidRPr="00CD00B4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D00B4">
              <w:rPr>
                <w:sz w:val="20"/>
                <w:szCs w:val="20"/>
              </w:rPr>
              <w:t xml:space="preserve">- pierwsze badanie - po 3 miesiącach od rozpoczęcia leczenia </w:t>
            </w:r>
            <w:r>
              <w:rPr>
                <w:sz w:val="20"/>
                <w:szCs w:val="20"/>
              </w:rPr>
              <w:t xml:space="preserve">             </w:t>
            </w:r>
            <w:r w:rsidRPr="00CD00B4">
              <w:rPr>
                <w:sz w:val="20"/>
                <w:szCs w:val="20"/>
              </w:rPr>
              <w:t>uzupełniającego,</w:t>
            </w:r>
          </w:p>
          <w:p w14:paraId="137FB8F3" w14:textId="04FC2BD0" w:rsidR="00CD00B4" w:rsidRPr="00CD00B4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D00B4">
              <w:rPr>
                <w:sz w:val="20"/>
                <w:szCs w:val="20"/>
              </w:rPr>
              <w:t>- następne badania – co 6 miesięcy do zakończenia uzupełniającego leczenia imatynibem (3 lata),</w:t>
            </w:r>
          </w:p>
          <w:p w14:paraId="59298335" w14:textId="55C2861F" w:rsidR="00CD00B4" w:rsidRPr="00D25041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D00B4">
              <w:rPr>
                <w:sz w:val="20"/>
                <w:szCs w:val="20"/>
              </w:rPr>
              <w:t>-</w:t>
            </w:r>
            <w:r w:rsidRPr="003E3CBF">
              <w:rPr>
                <w:color w:val="FF0000"/>
                <w:sz w:val="20"/>
                <w:szCs w:val="20"/>
              </w:rPr>
              <w:t xml:space="preserve"> </w:t>
            </w:r>
            <w:r w:rsidRPr="00D25041">
              <w:rPr>
                <w:color w:val="000000" w:themeColor="text1"/>
                <w:sz w:val="20"/>
                <w:szCs w:val="20"/>
              </w:rPr>
              <w:t xml:space="preserve">następne badania – co 6 miesięcy do upływu 5-letniego okresu od rozpoczęcia leczenia uzupełniającego, </w:t>
            </w:r>
          </w:p>
          <w:p w14:paraId="22A04022" w14:textId="58BC0AB2" w:rsidR="00CD00B4" w:rsidRPr="00D25041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5041">
              <w:rPr>
                <w:color w:val="000000" w:themeColor="text1"/>
                <w:sz w:val="20"/>
                <w:szCs w:val="20"/>
              </w:rPr>
              <w:t>- następne badania – co 12 miesięcy;</w:t>
            </w:r>
          </w:p>
          <w:p w14:paraId="40F327E7" w14:textId="4DD026B1" w:rsidR="00CD00B4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u pacjentów z </w:t>
            </w:r>
            <w:r w:rsidRPr="00CD00B4">
              <w:rPr>
                <w:sz w:val="20"/>
                <w:szCs w:val="20"/>
              </w:rPr>
              <w:t xml:space="preserve"> nieoperacyjnym lub rozsianym GIST</w:t>
            </w:r>
            <w:r>
              <w:rPr>
                <w:sz w:val="20"/>
                <w:szCs w:val="20"/>
              </w:rPr>
              <w:t>:</w:t>
            </w:r>
          </w:p>
          <w:p w14:paraId="184F5BC2" w14:textId="1554AEE9" w:rsidR="00CD00B4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D00B4">
              <w:rPr>
                <w:sz w:val="20"/>
                <w:szCs w:val="20"/>
              </w:rPr>
              <w:t>co 2 miesiące</w:t>
            </w:r>
            <w:r>
              <w:t xml:space="preserve"> </w:t>
            </w:r>
            <w:r w:rsidRPr="00CD00B4">
              <w:rPr>
                <w:sz w:val="20"/>
                <w:szCs w:val="20"/>
              </w:rPr>
              <w:t>w okresie pierwszych 6 miesięcy leczenia</w:t>
            </w:r>
            <w:r>
              <w:rPr>
                <w:sz w:val="20"/>
                <w:szCs w:val="20"/>
              </w:rPr>
              <w:t>,</w:t>
            </w:r>
          </w:p>
          <w:p w14:paraId="6CC6E188" w14:textId="4414492A" w:rsidR="00CD00B4" w:rsidRPr="00CD00B4" w:rsidRDefault="00CD00B4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następne badania – co 3 miesiące.</w:t>
            </w:r>
          </w:p>
          <w:p w14:paraId="42114FA7" w14:textId="48A98C51" w:rsidR="000A38BF" w:rsidRDefault="004D7609" w:rsidP="00CD00B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Należy oceniać zmiany pod względem różnic ich wielkości (skala RECIST) i gęstości.</w:t>
            </w:r>
          </w:p>
          <w:p w14:paraId="2D29930F" w14:textId="77777777" w:rsidR="00366A3E" w:rsidRDefault="00366A3E" w:rsidP="00366A3E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14:paraId="2EFB74AD" w14:textId="77777777" w:rsidR="0088510D" w:rsidRDefault="0088510D" w:rsidP="00366A3E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14:paraId="7FB7DC99" w14:textId="77777777" w:rsidR="0088510D" w:rsidRPr="002D20EC" w:rsidRDefault="0088510D" w:rsidP="0088510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2D20EC">
              <w:rPr>
                <w:b/>
                <w:bCs/>
                <w:sz w:val="20"/>
                <w:szCs w:val="20"/>
              </w:rPr>
              <w:t xml:space="preserve">Badania przy kwalifikacji do leczenia </w:t>
            </w:r>
            <w:r>
              <w:rPr>
                <w:b/>
                <w:bCs/>
                <w:sz w:val="20"/>
                <w:szCs w:val="20"/>
              </w:rPr>
              <w:t>sorafenibem</w:t>
            </w:r>
          </w:p>
          <w:p w14:paraId="4B96CBEC" w14:textId="77777777" w:rsidR="0088510D" w:rsidRPr="002D20EC" w:rsidRDefault="0088510D" w:rsidP="0088510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morfologia krwi z rozmazem;</w:t>
            </w:r>
          </w:p>
          <w:p w14:paraId="7319FDC4" w14:textId="77777777" w:rsidR="0088510D" w:rsidRPr="002D20EC" w:rsidRDefault="0088510D" w:rsidP="0088510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badanie ogólne moczu;</w:t>
            </w:r>
          </w:p>
          <w:p w14:paraId="47292AA9" w14:textId="77777777" w:rsidR="0088510D" w:rsidRPr="002D20EC" w:rsidRDefault="0088510D" w:rsidP="0088510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aktywność transaminaz wątrobowych;</w:t>
            </w:r>
          </w:p>
          <w:p w14:paraId="115662F3" w14:textId="77777777" w:rsidR="0088510D" w:rsidRPr="002D20EC" w:rsidRDefault="0088510D" w:rsidP="0088510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stężenie bilirubiny</w:t>
            </w:r>
            <w:r w:rsidR="004302FB">
              <w:rPr>
                <w:sz w:val="20"/>
                <w:szCs w:val="20"/>
              </w:rPr>
              <w:t xml:space="preserve"> i kreatyniny</w:t>
            </w:r>
            <w:r w:rsidRPr="002D20EC">
              <w:rPr>
                <w:sz w:val="20"/>
                <w:szCs w:val="20"/>
              </w:rPr>
              <w:t>;</w:t>
            </w:r>
          </w:p>
          <w:p w14:paraId="3A1EB7AE" w14:textId="77777777" w:rsidR="0088510D" w:rsidRPr="002D20EC" w:rsidRDefault="0088510D" w:rsidP="0088510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aktywności fosfatazy zasadowej;</w:t>
            </w:r>
          </w:p>
          <w:p w14:paraId="477958EA" w14:textId="77777777" w:rsidR="0088510D" w:rsidRPr="002D20EC" w:rsidRDefault="0088510D" w:rsidP="0088510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tomografia komputerowa (TK) jamy brzusznej i miednicy (inne obszary w zależności od wskazań)</w:t>
            </w:r>
            <w:r>
              <w:rPr>
                <w:sz w:val="20"/>
                <w:szCs w:val="20"/>
              </w:rPr>
              <w:t>.</w:t>
            </w:r>
          </w:p>
          <w:p w14:paraId="1554E685" w14:textId="77777777" w:rsidR="0088510D" w:rsidRDefault="0088510D" w:rsidP="00366A3E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14:paraId="751C4A2A" w14:textId="77777777" w:rsidR="0088510D" w:rsidRDefault="0088510D" w:rsidP="00366A3E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14:paraId="595622E5" w14:textId="77777777" w:rsidR="0088510D" w:rsidRPr="002D20EC" w:rsidRDefault="0088510D" w:rsidP="0088510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D20EC">
              <w:rPr>
                <w:b/>
                <w:bCs/>
                <w:sz w:val="20"/>
                <w:szCs w:val="20"/>
              </w:rPr>
              <w:t xml:space="preserve">. Monitorowanie leczenia </w:t>
            </w:r>
            <w:r>
              <w:rPr>
                <w:b/>
                <w:bCs/>
                <w:sz w:val="20"/>
                <w:szCs w:val="20"/>
              </w:rPr>
              <w:t>sorafenibem</w:t>
            </w:r>
          </w:p>
          <w:p w14:paraId="58858BEC" w14:textId="23F6E397" w:rsidR="0088510D" w:rsidRPr="002D20EC" w:rsidRDefault="0088510D" w:rsidP="0088510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badania monitorujące należy wykonać po 6-8 tygodniach od rozpoczęcia leczenia sorafenibem. N</w:t>
            </w:r>
            <w:r w:rsidR="00155813">
              <w:rPr>
                <w:sz w:val="20"/>
                <w:szCs w:val="20"/>
              </w:rPr>
              <w:t>astę</w:t>
            </w:r>
            <w:r>
              <w:rPr>
                <w:sz w:val="20"/>
                <w:szCs w:val="20"/>
              </w:rPr>
              <w:t>pne b</w:t>
            </w:r>
            <w:r w:rsidRPr="002D20EC">
              <w:rPr>
                <w:sz w:val="20"/>
                <w:szCs w:val="20"/>
              </w:rPr>
              <w:t>adania</w:t>
            </w:r>
            <w:r>
              <w:rPr>
                <w:sz w:val="20"/>
                <w:szCs w:val="20"/>
              </w:rPr>
              <w:t xml:space="preserve"> kontrolne należy przeprowadzać</w:t>
            </w:r>
            <w:r w:rsidRPr="002D20EC">
              <w:rPr>
                <w:sz w:val="20"/>
                <w:szCs w:val="20"/>
              </w:rPr>
              <w:t xml:space="preserve"> nie rza</w:t>
            </w:r>
            <w:r w:rsidR="00DC2A50">
              <w:rPr>
                <w:sz w:val="20"/>
                <w:szCs w:val="20"/>
              </w:rPr>
              <w:t>dziej niż raz na </w:t>
            </w:r>
            <w:r>
              <w:rPr>
                <w:sz w:val="20"/>
                <w:szCs w:val="20"/>
              </w:rPr>
              <w:t>12</w:t>
            </w:r>
            <w:r w:rsidRPr="002D20EC">
              <w:rPr>
                <w:sz w:val="20"/>
                <w:szCs w:val="20"/>
              </w:rPr>
              <w:t xml:space="preserve"> tygodni:</w:t>
            </w:r>
          </w:p>
          <w:p w14:paraId="1655C9AF" w14:textId="77777777" w:rsidR="0088510D" w:rsidRPr="002D20EC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morfologia krwi z rozmazem;</w:t>
            </w:r>
          </w:p>
          <w:p w14:paraId="7426F618" w14:textId="77777777" w:rsidR="0088510D" w:rsidRPr="002D20EC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badanie ogólne moczu;</w:t>
            </w:r>
          </w:p>
          <w:p w14:paraId="15BBE76A" w14:textId="77777777" w:rsidR="0088510D" w:rsidRPr="002D20EC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aktywność aminotransferaz wątrobowych;</w:t>
            </w:r>
          </w:p>
          <w:p w14:paraId="64A9882D" w14:textId="77777777" w:rsidR="0088510D" w:rsidRPr="002D20EC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stężenie bilirubiny</w:t>
            </w:r>
            <w:r w:rsidR="004302FB">
              <w:rPr>
                <w:sz w:val="20"/>
                <w:szCs w:val="20"/>
              </w:rPr>
              <w:t xml:space="preserve"> i kreatyniny</w:t>
            </w:r>
            <w:r w:rsidRPr="002D20EC">
              <w:rPr>
                <w:sz w:val="20"/>
                <w:szCs w:val="20"/>
              </w:rPr>
              <w:t>;</w:t>
            </w:r>
          </w:p>
          <w:p w14:paraId="56DA08CD" w14:textId="77777777" w:rsidR="0088510D" w:rsidRPr="002D20EC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t>aktywność fosfatazy zasadowej;</w:t>
            </w:r>
          </w:p>
          <w:p w14:paraId="0590943E" w14:textId="77777777" w:rsidR="0088510D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 ciśnienia tętniczego;</w:t>
            </w:r>
          </w:p>
          <w:p w14:paraId="1693B3FE" w14:textId="0A8850CD" w:rsidR="0088510D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D20EC">
              <w:rPr>
                <w:sz w:val="20"/>
                <w:szCs w:val="20"/>
              </w:rPr>
              <w:lastRenderedPageBreak/>
              <w:t>tomografia komputerowa</w:t>
            </w:r>
            <w:r>
              <w:rPr>
                <w:sz w:val="20"/>
                <w:szCs w:val="20"/>
              </w:rPr>
              <w:t xml:space="preserve"> odpowiednich obszaró</w:t>
            </w:r>
            <w:r w:rsidR="0061178E">
              <w:rPr>
                <w:sz w:val="20"/>
                <w:szCs w:val="20"/>
              </w:rPr>
              <w:t>w ciała w </w:t>
            </w:r>
            <w:r>
              <w:rPr>
                <w:sz w:val="20"/>
                <w:szCs w:val="20"/>
              </w:rPr>
              <w:t>zależności od wskazań klinicznych (minimum jama brzuszna i miednica);</w:t>
            </w:r>
          </w:p>
          <w:p w14:paraId="3B6CC3DB" w14:textId="77777777" w:rsidR="0088510D" w:rsidRDefault="0088510D" w:rsidP="0088510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badania w razie wskazań klinicznych.</w:t>
            </w:r>
          </w:p>
          <w:p w14:paraId="56A28552" w14:textId="77777777" w:rsidR="004302FB" w:rsidRPr="002D20EC" w:rsidRDefault="004302FB" w:rsidP="004302F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  <w:p w14:paraId="0FC47BCA" w14:textId="1D1C6684" w:rsidR="002F2D75" w:rsidRDefault="00AB0DAA" w:rsidP="002F2D7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F2D75">
              <w:rPr>
                <w:b/>
                <w:bCs/>
                <w:sz w:val="20"/>
                <w:szCs w:val="20"/>
              </w:rPr>
              <w:t>. Monitorowanie programu:</w:t>
            </w:r>
          </w:p>
          <w:p w14:paraId="7FCDABE7" w14:textId="35A62ED8" w:rsidR="002F2D75" w:rsidRDefault="002F2D75" w:rsidP="002F2D7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do NFZ zakresu informacji</w:t>
            </w:r>
          </w:p>
          <w:p w14:paraId="1048AD9D" w14:textId="77777777" w:rsidR="002F2D75" w:rsidRDefault="002F2D75" w:rsidP="002F2D7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sprawozdawczo – rozliczeniowych w formie papierowej</w:t>
            </w:r>
          </w:p>
          <w:p w14:paraId="4F391AB4" w14:textId="77777777" w:rsidR="002F2D75" w:rsidRDefault="002F2D75" w:rsidP="002F2D7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w formie elektronicznej, zgodnie z wymaganiami</w:t>
            </w:r>
          </w:p>
          <w:p w14:paraId="5CC24DD8" w14:textId="77777777" w:rsidR="002F2D75" w:rsidRDefault="002F2D75" w:rsidP="002F2D7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opublikowanymi przez Narodowy Fundusz Zdrowia;</w:t>
            </w:r>
          </w:p>
          <w:p w14:paraId="25314B3C" w14:textId="5058D90A" w:rsidR="002F2D75" w:rsidRDefault="002F2D75" w:rsidP="002F2D7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uzupełnianie danych zawartych w rejestrze (SMPT),</w:t>
            </w:r>
          </w:p>
          <w:p w14:paraId="6F20089F" w14:textId="77777777" w:rsidR="002F2D75" w:rsidRDefault="002F2D75" w:rsidP="002F2D7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dostępnym za pomocą aplikacji internetowej</w:t>
            </w:r>
          </w:p>
          <w:p w14:paraId="4BEA5060" w14:textId="5EEB3D31" w:rsidR="002F2D75" w:rsidRDefault="002F2D75" w:rsidP="002F2D7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udostępnionej przez OW NFZ, nie rzadziej niż co 3 miesiące oraz na zakończenie leczenia;</w:t>
            </w:r>
          </w:p>
          <w:p w14:paraId="771A4EBC" w14:textId="7ED7C2D7" w:rsidR="002F2D75" w:rsidRDefault="002F2D75" w:rsidP="002F2D7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dotyczące monitorowania leczenia należy gromadzić</w:t>
            </w:r>
          </w:p>
          <w:p w14:paraId="72CBEA3A" w14:textId="4D7D94CB" w:rsidR="000A38BF" w:rsidRPr="002D20EC" w:rsidRDefault="002F2D75" w:rsidP="002F2D7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dokumentacji pacjenta i każdorazowo przedstawiać na żądanie kontrolerom NFZ.</w:t>
            </w:r>
          </w:p>
          <w:p w14:paraId="13E5B1C7" w14:textId="77777777" w:rsidR="004D7609" w:rsidRPr="002D20EC" w:rsidRDefault="004D7609" w:rsidP="00CE0FE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4596E5" w14:textId="24C703C9" w:rsidR="000E4304" w:rsidRPr="000E4304" w:rsidRDefault="000E4304" w:rsidP="00E52F2C">
      <w:pPr>
        <w:autoSpaceDE w:val="0"/>
        <w:autoSpaceDN w:val="0"/>
        <w:adjustRightInd w:val="0"/>
        <w:rPr>
          <w:rFonts w:ascii="Courier New" w:hAnsi="Courier New"/>
        </w:rPr>
      </w:pPr>
    </w:p>
    <w:sectPr w:rsidR="000E4304" w:rsidRPr="000E4304" w:rsidSect="00A46482">
      <w:pgSz w:w="16838" w:h="11906" w:orient="landscape" w:code="9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094C" w14:textId="77777777" w:rsidR="00EC48F5" w:rsidRDefault="00EC48F5" w:rsidP="008F2F0B">
      <w:r>
        <w:separator/>
      </w:r>
    </w:p>
  </w:endnote>
  <w:endnote w:type="continuationSeparator" w:id="0">
    <w:p w14:paraId="14DAD148" w14:textId="77777777" w:rsidR="00EC48F5" w:rsidRDefault="00EC48F5" w:rsidP="008F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D36A" w14:textId="77777777" w:rsidR="00EC48F5" w:rsidRDefault="00EC48F5" w:rsidP="008F2F0B">
      <w:r>
        <w:separator/>
      </w:r>
    </w:p>
  </w:footnote>
  <w:footnote w:type="continuationSeparator" w:id="0">
    <w:p w14:paraId="586D7912" w14:textId="77777777" w:rsidR="00EC48F5" w:rsidRDefault="00EC48F5" w:rsidP="008F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9FA"/>
    <w:multiLevelType w:val="hybridMultilevel"/>
    <w:tmpl w:val="9B7C6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01A2"/>
    <w:multiLevelType w:val="hybridMultilevel"/>
    <w:tmpl w:val="A6E2C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D4440"/>
    <w:multiLevelType w:val="hybridMultilevel"/>
    <w:tmpl w:val="1BE68F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437CF"/>
    <w:multiLevelType w:val="hybridMultilevel"/>
    <w:tmpl w:val="757A338C"/>
    <w:lvl w:ilvl="0" w:tplc="CEA2D0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797A35"/>
    <w:multiLevelType w:val="hybridMultilevel"/>
    <w:tmpl w:val="32569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189882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B663F0"/>
    <w:multiLevelType w:val="hybridMultilevel"/>
    <w:tmpl w:val="CDA853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CE205C"/>
    <w:multiLevelType w:val="hybridMultilevel"/>
    <w:tmpl w:val="A05ED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67CE"/>
    <w:multiLevelType w:val="hybridMultilevel"/>
    <w:tmpl w:val="9B7C6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E4D38"/>
    <w:multiLevelType w:val="hybridMultilevel"/>
    <w:tmpl w:val="C90E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1E4F"/>
    <w:multiLevelType w:val="hybridMultilevel"/>
    <w:tmpl w:val="A0A0BD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B19C4"/>
    <w:multiLevelType w:val="hybridMultilevel"/>
    <w:tmpl w:val="35E03E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2F6BE2"/>
    <w:multiLevelType w:val="hybridMultilevel"/>
    <w:tmpl w:val="6A2EF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BB0"/>
    <w:multiLevelType w:val="hybridMultilevel"/>
    <w:tmpl w:val="B3A654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DF09CF"/>
    <w:multiLevelType w:val="hybridMultilevel"/>
    <w:tmpl w:val="04EE5F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CE630B"/>
    <w:multiLevelType w:val="hybridMultilevel"/>
    <w:tmpl w:val="23C45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D4366"/>
    <w:multiLevelType w:val="hybridMultilevel"/>
    <w:tmpl w:val="A0A0BD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24EDE"/>
    <w:multiLevelType w:val="hybridMultilevel"/>
    <w:tmpl w:val="2FD69D1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7" w15:restartNumberingAfterBreak="0">
    <w:nsid w:val="3BCD7953"/>
    <w:multiLevelType w:val="hybridMultilevel"/>
    <w:tmpl w:val="7BDAEE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96BB4"/>
    <w:multiLevelType w:val="multilevel"/>
    <w:tmpl w:val="92BE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891A22"/>
    <w:multiLevelType w:val="hybridMultilevel"/>
    <w:tmpl w:val="27E873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0672D5"/>
    <w:multiLevelType w:val="hybridMultilevel"/>
    <w:tmpl w:val="422610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65DA3"/>
    <w:multiLevelType w:val="hybridMultilevel"/>
    <w:tmpl w:val="9B7C6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223FC2"/>
    <w:multiLevelType w:val="hybridMultilevel"/>
    <w:tmpl w:val="908E35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816930"/>
    <w:multiLevelType w:val="hybridMultilevel"/>
    <w:tmpl w:val="500653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C72CF"/>
    <w:multiLevelType w:val="hybridMultilevel"/>
    <w:tmpl w:val="DC9C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3C7F"/>
    <w:multiLevelType w:val="hybridMultilevel"/>
    <w:tmpl w:val="46DCF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C45A7"/>
    <w:multiLevelType w:val="hybridMultilevel"/>
    <w:tmpl w:val="61208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72D8B"/>
    <w:multiLevelType w:val="hybridMultilevel"/>
    <w:tmpl w:val="BB762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58FD"/>
    <w:multiLevelType w:val="hybridMultilevel"/>
    <w:tmpl w:val="27E873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D51522"/>
    <w:multiLevelType w:val="hybridMultilevel"/>
    <w:tmpl w:val="B7F0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D1F71"/>
    <w:multiLevelType w:val="hybridMultilevel"/>
    <w:tmpl w:val="B2A2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8A390B"/>
    <w:multiLevelType w:val="hybridMultilevel"/>
    <w:tmpl w:val="8E9A5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91257"/>
    <w:multiLevelType w:val="hybridMultilevel"/>
    <w:tmpl w:val="9F8AF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F1974"/>
    <w:multiLevelType w:val="hybridMultilevel"/>
    <w:tmpl w:val="41748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F63DD6"/>
    <w:multiLevelType w:val="hybridMultilevel"/>
    <w:tmpl w:val="6E52E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D422D"/>
    <w:multiLevelType w:val="hybridMultilevel"/>
    <w:tmpl w:val="CDA853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9D25D1"/>
    <w:multiLevelType w:val="hybridMultilevel"/>
    <w:tmpl w:val="2FD69D1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7" w15:restartNumberingAfterBreak="0">
    <w:nsid w:val="73AD0FCF"/>
    <w:multiLevelType w:val="hybridMultilevel"/>
    <w:tmpl w:val="6E4E4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F4B2A"/>
    <w:multiLevelType w:val="hybridMultilevel"/>
    <w:tmpl w:val="4D646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B21C64"/>
    <w:multiLevelType w:val="multilevel"/>
    <w:tmpl w:val="27FA1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E42063"/>
    <w:multiLevelType w:val="hybridMultilevel"/>
    <w:tmpl w:val="44BAF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3C0278"/>
    <w:multiLevelType w:val="hybridMultilevel"/>
    <w:tmpl w:val="0E985DA2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7C150738"/>
    <w:multiLevelType w:val="hybridMultilevel"/>
    <w:tmpl w:val="500653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16E10"/>
    <w:multiLevelType w:val="hybridMultilevel"/>
    <w:tmpl w:val="B3A654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6"/>
  </w:num>
  <w:num w:numId="3">
    <w:abstractNumId w:val="43"/>
  </w:num>
  <w:num w:numId="4">
    <w:abstractNumId w:val="4"/>
  </w:num>
  <w:num w:numId="5">
    <w:abstractNumId w:val="3"/>
  </w:num>
  <w:num w:numId="6">
    <w:abstractNumId w:val="35"/>
  </w:num>
  <w:num w:numId="7">
    <w:abstractNumId w:val="19"/>
  </w:num>
  <w:num w:numId="8">
    <w:abstractNumId w:val="13"/>
  </w:num>
  <w:num w:numId="9">
    <w:abstractNumId w:val="38"/>
  </w:num>
  <w:num w:numId="10">
    <w:abstractNumId w:val="40"/>
  </w:num>
  <w:num w:numId="11">
    <w:abstractNumId w:val="2"/>
  </w:num>
  <w:num w:numId="12">
    <w:abstractNumId w:val="36"/>
  </w:num>
  <w:num w:numId="13">
    <w:abstractNumId w:val="12"/>
  </w:num>
  <w:num w:numId="14">
    <w:abstractNumId w:val="30"/>
  </w:num>
  <w:num w:numId="15">
    <w:abstractNumId w:val="5"/>
  </w:num>
  <w:num w:numId="16">
    <w:abstractNumId w:val="28"/>
  </w:num>
  <w:num w:numId="17">
    <w:abstractNumId w:val="18"/>
  </w:num>
  <w:num w:numId="18">
    <w:abstractNumId w:val="39"/>
  </w:num>
  <w:num w:numId="19">
    <w:abstractNumId w:val="8"/>
  </w:num>
  <w:num w:numId="20">
    <w:abstractNumId w:val="1"/>
  </w:num>
  <w:num w:numId="21">
    <w:abstractNumId w:val="24"/>
  </w:num>
  <w:num w:numId="22">
    <w:abstractNumId w:val="33"/>
  </w:num>
  <w:num w:numId="23">
    <w:abstractNumId w:val="31"/>
  </w:num>
  <w:num w:numId="24">
    <w:abstractNumId w:val="17"/>
  </w:num>
  <w:num w:numId="25">
    <w:abstractNumId w:val="25"/>
  </w:num>
  <w:num w:numId="26">
    <w:abstractNumId w:val="22"/>
  </w:num>
  <w:num w:numId="27">
    <w:abstractNumId w:val="37"/>
  </w:num>
  <w:num w:numId="28">
    <w:abstractNumId w:val="15"/>
  </w:num>
  <w:num w:numId="29">
    <w:abstractNumId w:val="34"/>
  </w:num>
  <w:num w:numId="30">
    <w:abstractNumId w:val="20"/>
  </w:num>
  <w:num w:numId="31">
    <w:abstractNumId w:val="27"/>
  </w:num>
  <w:num w:numId="32">
    <w:abstractNumId w:val="42"/>
  </w:num>
  <w:num w:numId="33">
    <w:abstractNumId w:val="6"/>
  </w:num>
  <w:num w:numId="34">
    <w:abstractNumId w:val="10"/>
  </w:num>
  <w:num w:numId="35">
    <w:abstractNumId w:val="29"/>
  </w:num>
  <w:num w:numId="36">
    <w:abstractNumId w:val="26"/>
  </w:num>
  <w:num w:numId="37">
    <w:abstractNumId w:val="14"/>
  </w:num>
  <w:num w:numId="38">
    <w:abstractNumId w:val="32"/>
  </w:num>
  <w:num w:numId="39">
    <w:abstractNumId w:val="23"/>
  </w:num>
  <w:num w:numId="40">
    <w:abstractNumId w:val="9"/>
  </w:num>
  <w:num w:numId="41">
    <w:abstractNumId w:val="21"/>
  </w:num>
  <w:num w:numId="42">
    <w:abstractNumId w:val="0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43"/>
    <w:rsid w:val="00001AF1"/>
    <w:rsid w:val="0000367B"/>
    <w:rsid w:val="00006716"/>
    <w:rsid w:val="00045070"/>
    <w:rsid w:val="00062931"/>
    <w:rsid w:val="00074D90"/>
    <w:rsid w:val="00096D90"/>
    <w:rsid w:val="000A38BF"/>
    <w:rsid w:val="000B0420"/>
    <w:rsid w:val="000B5890"/>
    <w:rsid w:val="000D7E8E"/>
    <w:rsid w:val="000E4304"/>
    <w:rsid w:val="0013537A"/>
    <w:rsid w:val="00144C47"/>
    <w:rsid w:val="0015091D"/>
    <w:rsid w:val="00155813"/>
    <w:rsid w:val="001850B2"/>
    <w:rsid w:val="0018622B"/>
    <w:rsid w:val="001B7842"/>
    <w:rsid w:val="001C1776"/>
    <w:rsid w:val="001D641E"/>
    <w:rsid w:val="001E578D"/>
    <w:rsid w:val="001E59A3"/>
    <w:rsid w:val="002046F4"/>
    <w:rsid w:val="00221D34"/>
    <w:rsid w:val="00252FE9"/>
    <w:rsid w:val="00254DCC"/>
    <w:rsid w:val="00271ECB"/>
    <w:rsid w:val="0027308A"/>
    <w:rsid w:val="0027422D"/>
    <w:rsid w:val="00283CF7"/>
    <w:rsid w:val="002B6677"/>
    <w:rsid w:val="002D20EC"/>
    <w:rsid w:val="002E44C1"/>
    <w:rsid w:val="002F2D75"/>
    <w:rsid w:val="00300977"/>
    <w:rsid w:val="00304509"/>
    <w:rsid w:val="0036573A"/>
    <w:rsid w:val="00366A3E"/>
    <w:rsid w:val="0038288D"/>
    <w:rsid w:val="00385052"/>
    <w:rsid w:val="00390690"/>
    <w:rsid w:val="003B631D"/>
    <w:rsid w:val="003E3CBF"/>
    <w:rsid w:val="003F4A58"/>
    <w:rsid w:val="00423EE9"/>
    <w:rsid w:val="004302FB"/>
    <w:rsid w:val="004311BB"/>
    <w:rsid w:val="00454B26"/>
    <w:rsid w:val="00463E0F"/>
    <w:rsid w:val="00472B65"/>
    <w:rsid w:val="00484513"/>
    <w:rsid w:val="00497A25"/>
    <w:rsid w:val="004B0414"/>
    <w:rsid w:val="004C73D1"/>
    <w:rsid w:val="004D7609"/>
    <w:rsid w:val="00511692"/>
    <w:rsid w:val="00523920"/>
    <w:rsid w:val="00523C92"/>
    <w:rsid w:val="00525FF4"/>
    <w:rsid w:val="00534370"/>
    <w:rsid w:val="00537206"/>
    <w:rsid w:val="005411E3"/>
    <w:rsid w:val="00547315"/>
    <w:rsid w:val="00551F82"/>
    <w:rsid w:val="0056002E"/>
    <w:rsid w:val="00590D46"/>
    <w:rsid w:val="00592F09"/>
    <w:rsid w:val="005A7154"/>
    <w:rsid w:val="00606F93"/>
    <w:rsid w:val="0061178E"/>
    <w:rsid w:val="00612354"/>
    <w:rsid w:val="00614D0F"/>
    <w:rsid w:val="00616FB2"/>
    <w:rsid w:val="006277BF"/>
    <w:rsid w:val="00641D56"/>
    <w:rsid w:val="00644979"/>
    <w:rsid w:val="006A0CF5"/>
    <w:rsid w:val="006A7132"/>
    <w:rsid w:val="006D7112"/>
    <w:rsid w:val="006F369B"/>
    <w:rsid w:val="006F42E7"/>
    <w:rsid w:val="00704DC1"/>
    <w:rsid w:val="007167B7"/>
    <w:rsid w:val="00722A69"/>
    <w:rsid w:val="00743C43"/>
    <w:rsid w:val="0075236B"/>
    <w:rsid w:val="007546DC"/>
    <w:rsid w:val="007840D8"/>
    <w:rsid w:val="007B1157"/>
    <w:rsid w:val="007B34F4"/>
    <w:rsid w:val="007D188D"/>
    <w:rsid w:val="007F7119"/>
    <w:rsid w:val="0082055B"/>
    <w:rsid w:val="00862722"/>
    <w:rsid w:val="00867C43"/>
    <w:rsid w:val="0088510D"/>
    <w:rsid w:val="008D4522"/>
    <w:rsid w:val="008E5C4E"/>
    <w:rsid w:val="008E5F4E"/>
    <w:rsid w:val="008E76A2"/>
    <w:rsid w:val="008F2F0B"/>
    <w:rsid w:val="00904BE8"/>
    <w:rsid w:val="00905DB5"/>
    <w:rsid w:val="009221DF"/>
    <w:rsid w:val="00933EBB"/>
    <w:rsid w:val="0094002B"/>
    <w:rsid w:val="00940B37"/>
    <w:rsid w:val="0094298B"/>
    <w:rsid w:val="00946CD4"/>
    <w:rsid w:val="009505BC"/>
    <w:rsid w:val="009530A8"/>
    <w:rsid w:val="00965E70"/>
    <w:rsid w:val="009759A1"/>
    <w:rsid w:val="0097642E"/>
    <w:rsid w:val="009838B1"/>
    <w:rsid w:val="009A4459"/>
    <w:rsid w:val="009A5830"/>
    <w:rsid w:val="009B0C32"/>
    <w:rsid w:val="009B2631"/>
    <w:rsid w:val="00A235F4"/>
    <w:rsid w:val="00A23F3F"/>
    <w:rsid w:val="00A46482"/>
    <w:rsid w:val="00A57E66"/>
    <w:rsid w:val="00AB0DAA"/>
    <w:rsid w:val="00AC597A"/>
    <w:rsid w:val="00AD3ECB"/>
    <w:rsid w:val="00AE4F6E"/>
    <w:rsid w:val="00B17A2D"/>
    <w:rsid w:val="00B4345B"/>
    <w:rsid w:val="00BA623E"/>
    <w:rsid w:val="00BB2AB5"/>
    <w:rsid w:val="00BD6DFD"/>
    <w:rsid w:val="00C1115D"/>
    <w:rsid w:val="00C141E2"/>
    <w:rsid w:val="00C2602F"/>
    <w:rsid w:val="00C54FEC"/>
    <w:rsid w:val="00C63EFA"/>
    <w:rsid w:val="00C91177"/>
    <w:rsid w:val="00C93FF4"/>
    <w:rsid w:val="00C97BAD"/>
    <w:rsid w:val="00CA491B"/>
    <w:rsid w:val="00CB0FB5"/>
    <w:rsid w:val="00CB6E3D"/>
    <w:rsid w:val="00CC5371"/>
    <w:rsid w:val="00CD00B4"/>
    <w:rsid w:val="00CE0FED"/>
    <w:rsid w:val="00CF4389"/>
    <w:rsid w:val="00D2146C"/>
    <w:rsid w:val="00D24D72"/>
    <w:rsid w:val="00D25041"/>
    <w:rsid w:val="00D4061C"/>
    <w:rsid w:val="00D47309"/>
    <w:rsid w:val="00D707F6"/>
    <w:rsid w:val="00DA0755"/>
    <w:rsid w:val="00DA6460"/>
    <w:rsid w:val="00DC2A50"/>
    <w:rsid w:val="00E04E7A"/>
    <w:rsid w:val="00E05391"/>
    <w:rsid w:val="00E141D8"/>
    <w:rsid w:val="00E52F2C"/>
    <w:rsid w:val="00E64256"/>
    <w:rsid w:val="00E66CAA"/>
    <w:rsid w:val="00E70CED"/>
    <w:rsid w:val="00E82034"/>
    <w:rsid w:val="00E94641"/>
    <w:rsid w:val="00EC48F5"/>
    <w:rsid w:val="00EE37F4"/>
    <w:rsid w:val="00F1280D"/>
    <w:rsid w:val="00F17710"/>
    <w:rsid w:val="00F562E1"/>
    <w:rsid w:val="00F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77334"/>
  <w15:docId w15:val="{59E5BA86-D259-4079-BA10-78B8563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10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16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Uwydatnienie">
    <w:name w:val="Emphasis"/>
    <w:uiPriority w:val="20"/>
    <w:qFormat/>
    <w:rsid w:val="00423EE9"/>
    <w:rPr>
      <w:b/>
      <w:bCs/>
      <w:i w:val="0"/>
      <w:iCs w:val="0"/>
    </w:rPr>
  </w:style>
  <w:style w:type="character" w:customStyle="1" w:styleId="st">
    <w:name w:val="st"/>
    <w:rsid w:val="00423EE9"/>
  </w:style>
  <w:style w:type="paragraph" w:styleId="Tekstpodstawowy">
    <w:name w:val="Body Text"/>
    <w:basedOn w:val="Normalny"/>
    <w:link w:val="TekstpodstawowyZnak"/>
    <w:rsid w:val="0082055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2055B"/>
    <w:rPr>
      <w:sz w:val="24"/>
      <w:szCs w:val="24"/>
    </w:rPr>
  </w:style>
  <w:style w:type="paragraph" w:styleId="Tekstdymka">
    <w:name w:val="Balloon Text"/>
    <w:basedOn w:val="Normalny"/>
    <w:link w:val="TekstdymkaZnak"/>
    <w:rsid w:val="008E5F4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E5F4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54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4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46DC"/>
  </w:style>
  <w:style w:type="paragraph" w:styleId="Tematkomentarza">
    <w:name w:val="annotation subject"/>
    <w:basedOn w:val="Tekstkomentarza"/>
    <w:next w:val="Tekstkomentarza"/>
    <w:link w:val="TematkomentarzaZnak"/>
    <w:rsid w:val="007546D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546DC"/>
    <w:rPr>
      <w:b/>
      <w:bCs/>
    </w:rPr>
  </w:style>
  <w:style w:type="paragraph" w:styleId="Poprawka">
    <w:name w:val="Revision"/>
    <w:hidden/>
    <w:uiPriority w:val="99"/>
    <w:semiHidden/>
    <w:rsid w:val="009B2631"/>
    <w:rPr>
      <w:sz w:val="24"/>
      <w:szCs w:val="24"/>
    </w:rPr>
  </w:style>
  <w:style w:type="paragraph" w:styleId="Nagwek">
    <w:name w:val="header"/>
    <w:basedOn w:val="Normalny"/>
    <w:link w:val="NagwekZnak"/>
    <w:rsid w:val="008F2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F2F0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2F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2F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B6B28-4C0B-4EB4-89C0-38CC186C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1518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2015-11-10T08:49:00Z</cp:lastPrinted>
  <dcterms:created xsi:type="dcterms:W3CDTF">2015-12-14T09:31:00Z</dcterms:created>
  <dcterms:modified xsi:type="dcterms:W3CDTF">2015-12-15T11:54:00Z</dcterms:modified>
</cp:coreProperties>
</file>